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6C0C" w:rsidRPr="000C437F" w:rsidRDefault="00136C0C" w:rsidP="0039422E">
      <w:pPr>
        <w:jc w:val="center"/>
        <w:rPr>
          <w:b/>
          <w:sz w:val="26"/>
          <w:szCs w:val="26"/>
          <w:u w:val="single"/>
        </w:rPr>
      </w:pPr>
      <w:bookmarkStart w:id="0" w:name="_GoBack"/>
      <w:bookmarkEnd w:id="0"/>
    </w:p>
    <w:p w:rsidR="00784EBE" w:rsidRPr="000C437F" w:rsidRDefault="00784EBE" w:rsidP="0039422E">
      <w:pPr>
        <w:jc w:val="center"/>
        <w:rPr>
          <w:b/>
          <w:sz w:val="26"/>
          <w:szCs w:val="26"/>
          <w:u w:val="single"/>
        </w:rPr>
      </w:pPr>
    </w:p>
    <w:p w:rsidR="00B65673" w:rsidRDefault="00B65673" w:rsidP="00784EBE">
      <w:pPr>
        <w:jc w:val="center"/>
        <w:rPr>
          <w:b/>
          <w:sz w:val="26"/>
          <w:szCs w:val="26"/>
          <w:u w:val="single"/>
        </w:rPr>
      </w:pPr>
    </w:p>
    <w:p w:rsidR="00B65673" w:rsidRDefault="00B65673" w:rsidP="00784EBE">
      <w:pPr>
        <w:jc w:val="center"/>
        <w:rPr>
          <w:b/>
          <w:sz w:val="26"/>
          <w:szCs w:val="26"/>
          <w:u w:val="single"/>
        </w:rPr>
      </w:pPr>
    </w:p>
    <w:p w:rsidR="0039422E" w:rsidRDefault="0039422E" w:rsidP="00784EBE">
      <w:pPr>
        <w:jc w:val="center"/>
        <w:rPr>
          <w:b/>
          <w:sz w:val="26"/>
          <w:szCs w:val="26"/>
          <w:u w:val="single"/>
        </w:rPr>
      </w:pPr>
      <w:r w:rsidRPr="000C437F">
        <w:rPr>
          <w:b/>
          <w:sz w:val="26"/>
          <w:szCs w:val="26"/>
          <w:u w:val="single"/>
        </w:rPr>
        <w:t xml:space="preserve">COMUNICAT </w:t>
      </w:r>
    </w:p>
    <w:p w:rsidR="00A5450A" w:rsidRPr="000C437F" w:rsidRDefault="00A5450A" w:rsidP="00784EBE">
      <w:pPr>
        <w:jc w:val="center"/>
        <w:rPr>
          <w:b/>
          <w:sz w:val="26"/>
          <w:szCs w:val="26"/>
        </w:rPr>
      </w:pPr>
    </w:p>
    <w:p w:rsidR="0039422E" w:rsidRDefault="00330C2A" w:rsidP="002E24BE">
      <w:pPr>
        <w:spacing w:line="360" w:lineRule="auto"/>
        <w:jc w:val="center"/>
        <w:rPr>
          <w:b/>
          <w:sz w:val="26"/>
          <w:szCs w:val="26"/>
        </w:rPr>
      </w:pPr>
      <w:proofErr w:type="spellStart"/>
      <w:proofErr w:type="gramStart"/>
      <w:r>
        <w:rPr>
          <w:b/>
          <w:sz w:val="26"/>
          <w:szCs w:val="26"/>
        </w:rPr>
        <w:t>privind</w:t>
      </w:r>
      <w:proofErr w:type="spellEnd"/>
      <w:proofErr w:type="gramEnd"/>
      <w:r>
        <w:rPr>
          <w:b/>
          <w:sz w:val="26"/>
          <w:szCs w:val="26"/>
        </w:rPr>
        <w:t xml:space="preserve"> </w:t>
      </w:r>
      <w:proofErr w:type="spellStart"/>
      <w:r>
        <w:rPr>
          <w:b/>
          <w:sz w:val="26"/>
          <w:szCs w:val="26"/>
        </w:rPr>
        <w:t>practicile</w:t>
      </w:r>
      <w:proofErr w:type="spellEnd"/>
      <w:r>
        <w:rPr>
          <w:b/>
          <w:sz w:val="26"/>
          <w:szCs w:val="26"/>
        </w:rPr>
        <w:t xml:space="preserve"> </w:t>
      </w:r>
      <w:proofErr w:type="spellStart"/>
      <w:r>
        <w:rPr>
          <w:b/>
          <w:sz w:val="26"/>
          <w:szCs w:val="26"/>
        </w:rPr>
        <w:t>comerciale</w:t>
      </w:r>
      <w:proofErr w:type="spellEnd"/>
      <w:r>
        <w:rPr>
          <w:b/>
          <w:sz w:val="26"/>
          <w:szCs w:val="26"/>
        </w:rPr>
        <w:t xml:space="preserve"> </w:t>
      </w:r>
      <w:proofErr w:type="spellStart"/>
      <w:r>
        <w:rPr>
          <w:b/>
          <w:sz w:val="26"/>
          <w:szCs w:val="26"/>
        </w:rPr>
        <w:t>incorecte</w:t>
      </w:r>
      <w:proofErr w:type="spellEnd"/>
    </w:p>
    <w:p w:rsidR="00330C2A" w:rsidRPr="000C437F" w:rsidRDefault="00330C2A" w:rsidP="002E24BE">
      <w:pPr>
        <w:spacing w:line="360" w:lineRule="auto"/>
        <w:jc w:val="center"/>
        <w:rPr>
          <w:b/>
          <w:sz w:val="26"/>
          <w:szCs w:val="26"/>
        </w:rPr>
      </w:pPr>
    </w:p>
    <w:p w:rsidR="007F2833" w:rsidRDefault="007F2833" w:rsidP="007F2833">
      <w:pPr>
        <w:spacing w:line="276" w:lineRule="auto"/>
        <w:jc w:val="both"/>
        <w:rPr>
          <w:bCs/>
          <w:sz w:val="26"/>
          <w:szCs w:val="26"/>
          <w:lang w:val="ro-RO"/>
        </w:rPr>
      </w:pPr>
      <w:r>
        <w:rPr>
          <w:bCs/>
          <w:sz w:val="26"/>
          <w:szCs w:val="26"/>
          <w:lang w:val="ro-RO"/>
        </w:rPr>
        <w:t>Unul dintre obiectivele principale ale ANRE este creșterea concurenței pe piața cu amănuntul prin sporirea gradului de implicare a clienților în schimbarea furnizorului.</w:t>
      </w:r>
    </w:p>
    <w:p w:rsidR="007F2833" w:rsidRDefault="007F2833" w:rsidP="007F2833">
      <w:pPr>
        <w:spacing w:line="276" w:lineRule="auto"/>
        <w:jc w:val="both"/>
        <w:rPr>
          <w:bCs/>
          <w:sz w:val="26"/>
          <w:szCs w:val="26"/>
          <w:lang w:val="ro-RO"/>
        </w:rPr>
      </w:pPr>
      <w:r>
        <w:rPr>
          <w:bCs/>
          <w:sz w:val="26"/>
          <w:szCs w:val="26"/>
          <w:lang w:val="ro-RO"/>
        </w:rPr>
        <w:t xml:space="preserve"> </w:t>
      </w:r>
    </w:p>
    <w:p w:rsidR="007F2833" w:rsidRDefault="007F2833" w:rsidP="007F2833">
      <w:pPr>
        <w:spacing w:line="276" w:lineRule="auto"/>
        <w:jc w:val="both"/>
        <w:rPr>
          <w:bCs/>
          <w:sz w:val="26"/>
          <w:szCs w:val="26"/>
          <w:lang w:val="ro-RO"/>
        </w:rPr>
      </w:pPr>
      <w:r>
        <w:rPr>
          <w:bCs/>
          <w:sz w:val="26"/>
          <w:szCs w:val="26"/>
          <w:lang w:val="ro-RO"/>
        </w:rPr>
        <w:t>Pe parcursul anului 2019, ANRE a constatat o creștere semnificativă a reclamațiilor clienților referitoare la nerespectarea de către furnizori a prevederilor legale privind schimbarea furnizorului și utilizarea de către aceștia a unor practici comerciale incorecte.</w:t>
      </w:r>
    </w:p>
    <w:p w:rsidR="007F2833" w:rsidRDefault="007F2833" w:rsidP="007F2833">
      <w:pPr>
        <w:spacing w:line="276" w:lineRule="auto"/>
        <w:jc w:val="both"/>
        <w:rPr>
          <w:bCs/>
          <w:sz w:val="26"/>
          <w:szCs w:val="26"/>
          <w:lang w:val="ro-RO"/>
        </w:rPr>
      </w:pPr>
    </w:p>
    <w:p w:rsidR="007F2833" w:rsidRDefault="007F2833" w:rsidP="007F2833">
      <w:pPr>
        <w:spacing w:line="276" w:lineRule="auto"/>
        <w:jc w:val="both"/>
        <w:rPr>
          <w:bCs/>
          <w:sz w:val="26"/>
          <w:szCs w:val="26"/>
          <w:lang w:val="ro-RO"/>
        </w:rPr>
      </w:pPr>
      <w:r>
        <w:rPr>
          <w:bCs/>
          <w:sz w:val="26"/>
          <w:szCs w:val="26"/>
          <w:lang w:val="ro-RO"/>
        </w:rPr>
        <w:t>În urma acestor constatări, au fost demarate acțiuni de control, finalizate prin aplicarea de amenzi contravenționale, în valoare de 1.545.000 lei (465.000 lei în domeniul energiei electrice și 1.080.000 lei în domeniul gazelor naturale).</w:t>
      </w:r>
    </w:p>
    <w:p w:rsidR="007F2833" w:rsidRDefault="007F2833" w:rsidP="007F2833">
      <w:pPr>
        <w:spacing w:line="276" w:lineRule="auto"/>
        <w:jc w:val="both"/>
        <w:rPr>
          <w:bCs/>
          <w:sz w:val="26"/>
          <w:szCs w:val="26"/>
          <w:lang w:val="ro-RO"/>
        </w:rPr>
      </w:pPr>
    </w:p>
    <w:p w:rsidR="007F2833" w:rsidRDefault="007F2833" w:rsidP="007F2833">
      <w:pPr>
        <w:spacing w:line="276" w:lineRule="auto"/>
        <w:jc w:val="both"/>
        <w:rPr>
          <w:bCs/>
          <w:sz w:val="26"/>
          <w:szCs w:val="26"/>
          <w:lang w:val="ro-RO"/>
        </w:rPr>
      </w:pPr>
      <w:r>
        <w:rPr>
          <w:bCs/>
          <w:sz w:val="26"/>
          <w:szCs w:val="26"/>
          <w:lang w:val="ro-RO"/>
        </w:rPr>
        <w:t>În vederea creșterii gradului de conștientizare, în rândul furnizorilor, a importanței schimbării furnizorului în procesul de dezvoltarea a pieței cu amănuntul și stopării oricăror practici incorecte/nelegale a acestora, ANRE a invitat furnizorii de energie electrică și gaze naturale la ședința Comitetului de Reglementare din data de 20 noiembrie 2019.</w:t>
      </w:r>
    </w:p>
    <w:p w:rsidR="007F2833" w:rsidRDefault="007F2833" w:rsidP="007F2833">
      <w:pPr>
        <w:spacing w:line="276" w:lineRule="auto"/>
        <w:jc w:val="both"/>
        <w:rPr>
          <w:bCs/>
          <w:sz w:val="26"/>
          <w:szCs w:val="26"/>
          <w:lang w:val="ro-RO"/>
        </w:rPr>
      </w:pPr>
    </w:p>
    <w:p w:rsidR="007F2833" w:rsidRDefault="007F2833" w:rsidP="007F2833">
      <w:pPr>
        <w:spacing w:line="276" w:lineRule="auto"/>
        <w:jc w:val="both"/>
        <w:rPr>
          <w:bCs/>
          <w:sz w:val="26"/>
          <w:szCs w:val="26"/>
          <w:lang w:val="ro-RO"/>
        </w:rPr>
      </w:pPr>
      <w:r>
        <w:rPr>
          <w:bCs/>
          <w:sz w:val="26"/>
          <w:szCs w:val="26"/>
          <w:lang w:val="ro-RO"/>
        </w:rPr>
        <w:t>În cadrul ședinței, furnizorilor le-au fost prezentate aspectele instrumentate de ANRE pe parcursul anului 2019, măsurile luate, cadrul de reglementare, bunele practici, precum și perspectivele procesului de schimbare a furnizorului care, în</w:t>
      </w:r>
      <w:r w:rsidR="001C0C8E">
        <w:rPr>
          <w:bCs/>
          <w:sz w:val="26"/>
          <w:szCs w:val="26"/>
          <w:lang w:val="ro-RO"/>
        </w:rPr>
        <w:t>cepând</w:t>
      </w:r>
      <w:r>
        <w:rPr>
          <w:bCs/>
          <w:sz w:val="26"/>
          <w:szCs w:val="26"/>
          <w:lang w:val="ro-RO"/>
        </w:rPr>
        <w:t xml:space="preserve"> </w:t>
      </w:r>
      <w:r w:rsidR="00E514B4">
        <w:rPr>
          <w:bCs/>
          <w:sz w:val="26"/>
          <w:szCs w:val="26"/>
          <w:lang w:val="ro-RO"/>
        </w:rPr>
        <w:t xml:space="preserve">cu anul </w:t>
      </w:r>
      <w:r>
        <w:rPr>
          <w:bCs/>
          <w:sz w:val="26"/>
          <w:szCs w:val="26"/>
          <w:lang w:val="ro-RO"/>
        </w:rPr>
        <w:t>2026, nu trebuie să dureze mai mult de 24 ore și trebuie să fie posibil în orice zi lucrătoare, conform prevederilor Directivei (UE) 2019/944 a Parlamentului European și a Consiliului din 5 iunie 2019 privind normele comune pentru piața internă de energie electrică.</w:t>
      </w:r>
    </w:p>
    <w:p w:rsidR="00A5450A" w:rsidRDefault="00A5450A" w:rsidP="00B65673">
      <w:pPr>
        <w:spacing w:line="276" w:lineRule="auto"/>
        <w:jc w:val="both"/>
        <w:rPr>
          <w:bCs/>
          <w:sz w:val="26"/>
          <w:szCs w:val="26"/>
        </w:rPr>
      </w:pPr>
    </w:p>
    <w:p w:rsidR="00765FB3" w:rsidRDefault="00765FB3" w:rsidP="00B65673">
      <w:pPr>
        <w:spacing w:line="276" w:lineRule="auto"/>
        <w:jc w:val="both"/>
        <w:rPr>
          <w:bCs/>
          <w:sz w:val="26"/>
          <w:szCs w:val="26"/>
        </w:rPr>
      </w:pPr>
      <w:proofErr w:type="spellStart"/>
      <w:r>
        <w:rPr>
          <w:bCs/>
          <w:sz w:val="26"/>
          <w:szCs w:val="26"/>
        </w:rPr>
        <w:t>Totodată</w:t>
      </w:r>
      <w:proofErr w:type="spellEnd"/>
      <w:r>
        <w:rPr>
          <w:bCs/>
          <w:sz w:val="26"/>
          <w:szCs w:val="26"/>
        </w:rPr>
        <w:t xml:space="preserve">, </w:t>
      </w:r>
      <w:proofErr w:type="spellStart"/>
      <w:r>
        <w:rPr>
          <w:bCs/>
          <w:sz w:val="26"/>
          <w:szCs w:val="26"/>
        </w:rPr>
        <w:t>dorim</w:t>
      </w:r>
      <w:proofErr w:type="spellEnd"/>
      <w:r>
        <w:rPr>
          <w:bCs/>
          <w:sz w:val="26"/>
          <w:szCs w:val="26"/>
        </w:rPr>
        <w:t xml:space="preserve"> </w:t>
      </w:r>
      <w:proofErr w:type="spellStart"/>
      <w:proofErr w:type="gramStart"/>
      <w:r>
        <w:rPr>
          <w:bCs/>
          <w:sz w:val="26"/>
          <w:szCs w:val="26"/>
        </w:rPr>
        <w:t>să</w:t>
      </w:r>
      <w:proofErr w:type="spellEnd"/>
      <w:proofErr w:type="gramEnd"/>
      <w:r>
        <w:rPr>
          <w:bCs/>
          <w:sz w:val="26"/>
          <w:szCs w:val="26"/>
        </w:rPr>
        <w:t xml:space="preserve"> </w:t>
      </w:r>
      <w:proofErr w:type="spellStart"/>
      <w:r>
        <w:rPr>
          <w:bCs/>
          <w:sz w:val="26"/>
          <w:szCs w:val="26"/>
        </w:rPr>
        <w:t>reamintim</w:t>
      </w:r>
      <w:proofErr w:type="spellEnd"/>
      <w:r>
        <w:rPr>
          <w:bCs/>
          <w:sz w:val="26"/>
          <w:szCs w:val="26"/>
        </w:rPr>
        <w:t xml:space="preserve"> </w:t>
      </w:r>
      <w:proofErr w:type="spellStart"/>
      <w:r>
        <w:rPr>
          <w:bCs/>
          <w:sz w:val="26"/>
          <w:szCs w:val="26"/>
        </w:rPr>
        <w:t>consumatorilor</w:t>
      </w:r>
      <w:proofErr w:type="spellEnd"/>
      <w:r>
        <w:rPr>
          <w:bCs/>
          <w:sz w:val="26"/>
          <w:szCs w:val="26"/>
        </w:rPr>
        <w:t xml:space="preserve"> c</w:t>
      </w:r>
      <w:r>
        <w:rPr>
          <w:bCs/>
          <w:sz w:val="26"/>
          <w:szCs w:val="26"/>
          <w:lang w:val="ro-RO"/>
        </w:rPr>
        <w:t>ă</w:t>
      </w:r>
      <w:r>
        <w:rPr>
          <w:bCs/>
          <w:sz w:val="26"/>
          <w:szCs w:val="26"/>
        </w:rPr>
        <w:t xml:space="preserve"> </w:t>
      </w:r>
      <w:proofErr w:type="spellStart"/>
      <w:r>
        <w:rPr>
          <w:bCs/>
          <w:sz w:val="26"/>
          <w:szCs w:val="26"/>
        </w:rPr>
        <w:t>procesul</w:t>
      </w:r>
      <w:proofErr w:type="spellEnd"/>
      <w:r>
        <w:rPr>
          <w:bCs/>
          <w:sz w:val="26"/>
          <w:szCs w:val="26"/>
        </w:rPr>
        <w:t xml:space="preserve"> de </w:t>
      </w:r>
      <w:proofErr w:type="spellStart"/>
      <w:r>
        <w:rPr>
          <w:bCs/>
          <w:sz w:val="26"/>
          <w:szCs w:val="26"/>
        </w:rPr>
        <w:t>schimbare</w:t>
      </w:r>
      <w:proofErr w:type="spellEnd"/>
      <w:r>
        <w:rPr>
          <w:bCs/>
          <w:sz w:val="26"/>
          <w:szCs w:val="26"/>
        </w:rPr>
        <w:t xml:space="preserve"> a </w:t>
      </w:r>
      <w:proofErr w:type="spellStart"/>
      <w:r>
        <w:rPr>
          <w:bCs/>
          <w:sz w:val="26"/>
          <w:szCs w:val="26"/>
        </w:rPr>
        <w:t>furnizorului</w:t>
      </w:r>
      <w:proofErr w:type="spellEnd"/>
      <w:r>
        <w:rPr>
          <w:bCs/>
          <w:sz w:val="26"/>
          <w:szCs w:val="26"/>
        </w:rPr>
        <w:t xml:space="preserve"> </w:t>
      </w:r>
      <w:proofErr w:type="spellStart"/>
      <w:r>
        <w:rPr>
          <w:bCs/>
          <w:sz w:val="26"/>
          <w:szCs w:val="26"/>
        </w:rPr>
        <w:t>este</w:t>
      </w:r>
      <w:proofErr w:type="spellEnd"/>
      <w:r>
        <w:rPr>
          <w:bCs/>
          <w:sz w:val="26"/>
          <w:szCs w:val="26"/>
        </w:rPr>
        <w:t xml:space="preserve"> </w:t>
      </w:r>
      <w:proofErr w:type="spellStart"/>
      <w:r>
        <w:rPr>
          <w:bCs/>
          <w:sz w:val="26"/>
          <w:szCs w:val="26"/>
        </w:rPr>
        <w:t>gratuit</w:t>
      </w:r>
      <w:proofErr w:type="spellEnd"/>
      <w:r>
        <w:rPr>
          <w:bCs/>
          <w:sz w:val="26"/>
          <w:szCs w:val="26"/>
        </w:rPr>
        <w:t>.</w:t>
      </w:r>
    </w:p>
    <w:p w:rsidR="00A5450A" w:rsidRDefault="00A5450A" w:rsidP="00B65673">
      <w:pPr>
        <w:spacing w:line="276" w:lineRule="auto"/>
        <w:jc w:val="both"/>
        <w:rPr>
          <w:bCs/>
          <w:sz w:val="26"/>
          <w:szCs w:val="26"/>
        </w:rPr>
      </w:pPr>
    </w:p>
    <w:p w:rsidR="008341C0" w:rsidRDefault="008341C0" w:rsidP="00B65673">
      <w:pPr>
        <w:spacing w:line="276" w:lineRule="auto"/>
        <w:jc w:val="both"/>
        <w:rPr>
          <w:bCs/>
          <w:i/>
          <w:sz w:val="26"/>
          <w:szCs w:val="26"/>
        </w:rPr>
      </w:pPr>
    </w:p>
    <w:p w:rsidR="008341C0" w:rsidRPr="008341C0" w:rsidRDefault="008341C0" w:rsidP="00B65673">
      <w:pPr>
        <w:spacing w:line="276" w:lineRule="auto"/>
        <w:jc w:val="both"/>
        <w:rPr>
          <w:bCs/>
          <w:i/>
          <w:sz w:val="26"/>
          <w:szCs w:val="26"/>
          <w:lang w:val="ro-RO"/>
        </w:rPr>
      </w:pPr>
      <w:proofErr w:type="spellStart"/>
      <w:r w:rsidRPr="008341C0">
        <w:rPr>
          <w:bCs/>
          <w:i/>
          <w:sz w:val="26"/>
          <w:szCs w:val="26"/>
        </w:rPr>
        <w:t>Direc</w:t>
      </w:r>
      <w:r w:rsidRPr="008341C0">
        <w:rPr>
          <w:bCs/>
          <w:i/>
          <w:sz w:val="26"/>
          <w:szCs w:val="26"/>
          <w:lang w:val="ro-RO"/>
        </w:rPr>
        <w:t>ția</w:t>
      </w:r>
      <w:proofErr w:type="spellEnd"/>
      <w:r w:rsidRPr="008341C0">
        <w:rPr>
          <w:bCs/>
          <w:i/>
          <w:sz w:val="26"/>
          <w:szCs w:val="26"/>
          <w:lang w:val="ro-RO"/>
        </w:rPr>
        <w:t xml:space="preserve"> relații publice, comunicare, relația cu Parlamentul</w:t>
      </w:r>
    </w:p>
    <w:p w:rsidR="00B65673" w:rsidRPr="008341C0" w:rsidRDefault="008341C0" w:rsidP="00B65673">
      <w:pPr>
        <w:spacing w:line="276" w:lineRule="auto"/>
        <w:jc w:val="both"/>
        <w:rPr>
          <w:bCs/>
          <w:i/>
          <w:sz w:val="26"/>
          <w:szCs w:val="26"/>
        </w:rPr>
      </w:pPr>
      <w:r w:rsidRPr="008341C0">
        <w:rPr>
          <w:bCs/>
          <w:i/>
          <w:sz w:val="26"/>
          <w:szCs w:val="26"/>
          <w:lang w:val="ro-RO"/>
        </w:rPr>
        <w:t>20.11.2019</w:t>
      </w:r>
      <w:r w:rsidR="008D576C" w:rsidRPr="008341C0">
        <w:rPr>
          <w:bCs/>
          <w:i/>
          <w:sz w:val="26"/>
          <w:szCs w:val="26"/>
        </w:rPr>
        <w:t xml:space="preserve">   </w:t>
      </w:r>
      <w:r w:rsidR="00B65673" w:rsidRPr="008341C0">
        <w:rPr>
          <w:bCs/>
          <w:i/>
          <w:sz w:val="26"/>
          <w:szCs w:val="26"/>
        </w:rPr>
        <w:t xml:space="preserve"> </w:t>
      </w:r>
    </w:p>
    <w:p w:rsidR="00B65673" w:rsidRDefault="00B65673" w:rsidP="00B65673">
      <w:pPr>
        <w:spacing w:line="276" w:lineRule="auto"/>
        <w:jc w:val="both"/>
        <w:rPr>
          <w:bCs/>
          <w:sz w:val="26"/>
          <w:szCs w:val="26"/>
        </w:rPr>
      </w:pPr>
    </w:p>
    <w:p w:rsidR="00B349F9" w:rsidRDefault="00B65673" w:rsidP="00B65673">
      <w:pPr>
        <w:spacing w:line="276" w:lineRule="auto"/>
        <w:jc w:val="both"/>
        <w:rPr>
          <w:bCs/>
          <w:sz w:val="26"/>
          <w:szCs w:val="26"/>
        </w:rPr>
      </w:pPr>
      <w:r>
        <w:rPr>
          <w:bCs/>
          <w:sz w:val="26"/>
          <w:szCs w:val="26"/>
        </w:rPr>
        <w:t xml:space="preserve">  </w:t>
      </w:r>
    </w:p>
    <w:p w:rsidR="00B349F9" w:rsidRDefault="00B349F9" w:rsidP="00D74D71">
      <w:pPr>
        <w:spacing w:line="360" w:lineRule="auto"/>
        <w:jc w:val="both"/>
        <w:rPr>
          <w:bCs/>
          <w:sz w:val="26"/>
          <w:szCs w:val="26"/>
        </w:rPr>
      </w:pPr>
    </w:p>
    <w:p w:rsidR="00446F9A" w:rsidRDefault="00446F9A" w:rsidP="00D74D71">
      <w:pPr>
        <w:spacing w:line="360" w:lineRule="auto"/>
        <w:jc w:val="both"/>
        <w:rPr>
          <w:b/>
          <w:bCs/>
          <w:sz w:val="26"/>
          <w:szCs w:val="26"/>
        </w:rPr>
      </w:pPr>
    </w:p>
    <w:sectPr w:rsidR="00446F9A" w:rsidSect="004C30DF">
      <w:footerReference w:type="default" r:id="rId7"/>
      <w:headerReference w:type="first" r:id="rId8"/>
      <w:footerReference w:type="first" r:id="rId9"/>
      <w:pgSz w:w="11906" w:h="16838" w:code="9"/>
      <w:pgMar w:top="1418" w:right="1133" w:bottom="851" w:left="1276" w:header="850"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11FC" w:rsidRDefault="009111FC" w:rsidP="003B4C37">
      <w:r>
        <w:separator/>
      </w:r>
    </w:p>
  </w:endnote>
  <w:endnote w:type="continuationSeparator" w:id="0">
    <w:p w:rsidR="009111FC" w:rsidRDefault="009111FC" w:rsidP="003B4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7759370"/>
      <w:docPartObj>
        <w:docPartGallery w:val="Page Numbers (Bottom of Page)"/>
        <w:docPartUnique/>
      </w:docPartObj>
    </w:sdtPr>
    <w:sdtEndPr>
      <w:rPr>
        <w:noProof/>
      </w:rPr>
    </w:sdtEndPr>
    <w:sdtContent>
      <w:p w:rsidR="00561D6D" w:rsidRDefault="00561D6D">
        <w:pPr>
          <w:pStyle w:val="Footer"/>
          <w:jc w:val="center"/>
        </w:pPr>
        <w:r>
          <w:fldChar w:fldCharType="begin"/>
        </w:r>
        <w:r>
          <w:instrText xml:space="preserve"> PAGE   \* MERGEFORMAT </w:instrText>
        </w:r>
        <w:r>
          <w:fldChar w:fldCharType="separate"/>
        </w:r>
        <w:r w:rsidR="00F4351D">
          <w:rPr>
            <w:noProof/>
          </w:rPr>
          <w:t>2</w:t>
        </w:r>
        <w:r>
          <w:rPr>
            <w:noProof/>
          </w:rPr>
          <w:fldChar w:fldCharType="end"/>
        </w:r>
      </w:p>
    </w:sdtContent>
  </w:sdt>
  <w:p w:rsidR="00561D6D" w:rsidRDefault="00561D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73AD" w:rsidRDefault="00C473AD" w:rsidP="00191BE7">
    <w:pPr>
      <w:tabs>
        <w:tab w:val="center" w:pos="4864"/>
        <w:tab w:val="right" w:pos="9728"/>
      </w:tabs>
      <w:spacing w:after="40"/>
      <w:rPr>
        <w:rFonts w:ascii="Arial" w:hAnsi="Arial" w:cs="Arial"/>
        <w:sz w:val="16"/>
      </w:rPr>
    </w:pPr>
    <w:r>
      <w:rPr>
        <w:rFonts w:ascii="Arial" w:hAnsi="Arial" w:cs="Arial"/>
        <w:sz w:val="16"/>
      </w:rPr>
      <w:t xml:space="preserve">  </w:t>
    </w:r>
    <w:r w:rsidR="00F80B77">
      <w:rPr>
        <w:rFonts w:ascii="Arial" w:hAnsi="Arial" w:cs="Arial"/>
        <w:sz w:val="16"/>
      </w:rPr>
      <w:tab/>
    </w:r>
    <w:r w:rsidRPr="00C473AD">
      <w:rPr>
        <w:rFonts w:ascii="Arial" w:hAnsi="Arial" w:cs="Arial"/>
        <w:sz w:val="16"/>
      </w:rPr>
      <w:t xml:space="preserve">Str. Constantin </w:t>
    </w:r>
    <w:proofErr w:type="spellStart"/>
    <w:r w:rsidRPr="00C473AD">
      <w:rPr>
        <w:rFonts w:ascii="Arial" w:hAnsi="Arial" w:cs="Arial"/>
        <w:sz w:val="16"/>
      </w:rPr>
      <w:t>Nacu</w:t>
    </w:r>
    <w:proofErr w:type="spellEnd"/>
    <w:r w:rsidRPr="00C473AD">
      <w:rPr>
        <w:rFonts w:ascii="Arial" w:hAnsi="Arial" w:cs="Arial"/>
        <w:sz w:val="16"/>
      </w:rPr>
      <w:t xml:space="preserve">, </w:t>
    </w:r>
    <w:proofErr w:type="spellStart"/>
    <w:r w:rsidRPr="00C473AD">
      <w:rPr>
        <w:rFonts w:ascii="Arial" w:hAnsi="Arial" w:cs="Arial"/>
        <w:sz w:val="16"/>
      </w:rPr>
      <w:t>nr</w:t>
    </w:r>
    <w:proofErr w:type="spellEnd"/>
    <w:r w:rsidRPr="00C473AD">
      <w:rPr>
        <w:rFonts w:ascii="Arial" w:hAnsi="Arial" w:cs="Arial"/>
        <w:sz w:val="16"/>
      </w:rPr>
      <w:t xml:space="preserve">. 3, Sector 2, </w:t>
    </w:r>
    <w:proofErr w:type="spellStart"/>
    <w:r w:rsidRPr="00C473AD">
      <w:rPr>
        <w:rFonts w:ascii="Arial" w:hAnsi="Arial" w:cs="Arial"/>
        <w:sz w:val="16"/>
      </w:rPr>
      <w:t>Bucureşti</w:t>
    </w:r>
    <w:proofErr w:type="spellEnd"/>
    <w:r w:rsidRPr="00C473AD">
      <w:rPr>
        <w:rFonts w:ascii="Arial" w:hAnsi="Arial" w:cs="Arial"/>
        <w:sz w:val="16"/>
      </w:rPr>
      <w:t xml:space="preserve">, Cod </w:t>
    </w:r>
    <w:proofErr w:type="spellStart"/>
    <w:r w:rsidRPr="00C473AD">
      <w:rPr>
        <w:rFonts w:ascii="Arial" w:hAnsi="Arial" w:cs="Arial"/>
        <w:sz w:val="16"/>
      </w:rPr>
      <w:t>poştal</w:t>
    </w:r>
    <w:proofErr w:type="spellEnd"/>
    <w:r w:rsidRPr="00C473AD">
      <w:rPr>
        <w:rFonts w:ascii="Arial" w:hAnsi="Arial" w:cs="Arial"/>
        <w:sz w:val="16"/>
      </w:rPr>
      <w:t>: 020995</w:t>
    </w:r>
    <w:r w:rsidR="00191BE7">
      <w:rPr>
        <w:rFonts w:ascii="Arial" w:hAnsi="Arial" w:cs="Arial"/>
        <w:sz w:val="16"/>
      </w:rPr>
      <w:t xml:space="preserve"> </w:t>
    </w:r>
    <w:r w:rsidR="00191BE7">
      <w:rPr>
        <w:rFonts w:ascii="Arial" w:hAnsi="Arial" w:cs="Arial"/>
        <w:sz w:val="16"/>
      </w:rPr>
      <w:tab/>
    </w:r>
    <w:r w:rsidR="00903E9B">
      <w:rPr>
        <w:rFonts w:ascii="Arial" w:hAnsi="Arial" w:cs="Arial"/>
        <w:noProof/>
        <w:sz w:val="16"/>
        <w:lang w:eastAsia="en-GB"/>
      </w:rPr>
      <w:drawing>
        <wp:inline distT="0" distB="0" distL="0" distR="0" wp14:anchorId="61731B05" wp14:editId="17E08428">
          <wp:extent cx="353695" cy="353695"/>
          <wp:effectExtent l="0" t="0" r="8255" b="825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3695" cy="353695"/>
                  </a:xfrm>
                  <a:prstGeom prst="rect">
                    <a:avLst/>
                  </a:prstGeom>
                  <a:noFill/>
                </pic:spPr>
              </pic:pic>
            </a:graphicData>
          </a:graphic>
        </wp:inline>
      </w:drawing>
    </w:r>
    <w:r w:rsidR="005A4903">
      <w:rPr>
        <w:rFonts w:ascii="Arial" w:hAnsi="Arial" w:cs="Arial"/>
        <w:noProof/>
        <w:sz w:val="16"/>
        <w:lang w:eastAsia="en-GB"/>
      </w:rPr>
      <w:drawing>
        <wp:inline distT="0" distB="0" distL="0" distR="0" wp14:anchorId="123A1847" wp14:editId="59C22359">
          <wp:extent cx="353695" cy="353695"/>
          <wp:effectExtent l="0" t="0" r="8255" b="825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53695" cy="353695"/>
                  </a:xfrm>
                  <a:prstGeom prst="rect">
                    <a:avLst/>
                  </a:prstGeom>
                  <a:noFill/>
                </pic:spPr>
              </pic:pic>
            </a:graphicData>
          </a:graphic>
        </wp:inline>
      </w:drawing>
    </w:r>
  </w:p>
  <w:p w:rsidR="003B4C37" w:rsidRPr="00160D1D" w:rsidRDefault="00B25C27" w:rsidP="00F80B77">
    <w:pPr>
      <w:tabs>
        <w:tab w:val="center" w:pos="4864"/>
        <w:tab w:val="left" w:pos="8235"/>
      </w:tabs>
      <w:spacing w:after="40"/>
      <w:rPr>
        <w:rFonts w:ascii="Arial" w:hAnsi="Arial" w:cs="Arial"/>
        <w:sz w:val="16"/>
      </w:rPr>
    </w:pPr>
    <w:r>
      <w:rPr>
        <w:rFonts w:ascii="Arial" w:hAnsi="Arial" w:cs="Arial"/>
        <w:sz w:val="16"/>
      </w:rPr>
      <w:t xml:space="preserve">                              </w:t>
    </w:r>
    <w:r w:rsidR="00C473AD">
      <w:rPr>
        <w:rFonts w:ascii="Arial" w:hAnsi="Arial" w:cs="Arial"/>
        <w:sz w:val="16"/>
      </w:rPr>
      <w:t xml:space="preserve">             </w:t>
    </w:r>
    <w:r w:rsidR="003B4C37" w:rsidRPr="00A63C0A">
      <w:rPr>
        <w:rFonts w:ascii="Arial" w:hAnsi="Arial" w:cs="Arial"/>
        <w:sz w:val="16"/>
      </w:rPr>
      <w:t>Tel: (021) 327 8100. Fax: (021) 312 4365. E-mail: anre@anre.ro. Web: www.anre.ro</w:t>
    </w:r>
    <w:r w:rsidR="00F80B77">
      <w:rPr>
        <w:rFonts w:ascii="Arial" w:hAnsi="Arial" w:cs="Arial"/>
        <w:sz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11FC" w:rsidRDefault="009111FC" w:rsidP="003B4C37">
      <w:r>
        <w:separator/>
      </w:r>
    </w:p>
  </w:footnote>
  <w:footnote w:type="continuationSeparator" w:id="0">
    <w:p w:rsidR="009111FC" w:rsidRDefault="009111FC" w:rsidP="003B4C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7D9" w:rsidRDefault="004C30DF" w:rsidP="003927D9">
    <w:pPr>
      <w:pStyle w:val="Header"/>
      <w:tabs>
        <w:tab w:val="clear" w:pos="9026"/>
        <w:tab w:val="right" w:pos="7349"/>
      </w:tabs>
    </w:pPr>
    <w:r>
      <w:rPr>
        <w:noProof/>
        <w:lang w:eastAsia="en-GB"/>
      </w:rPr>
      <w:drawing>
        <wp:anchor distT="0" distB="0" distL="114300" distR="114300" simplePos="0" relativeHeight="251661312" behindDoc="1" locked="0" layoutInCell="1" allowOverlap="1" wp14:anchorId="0B785C0B" wp14:editId="236FC121">
          <wp:simplePos x="0" y="0"/>
          <wp:positionH relativeFrom="column">
            <wp:posOffset>5572760</wp:posOffset>
          </wp:positionH>
          <wp:positionV relativeFrom="paragraph">
            <wp:posOffset>7620</wp:posOffset>
          </wp:positionV>
          <wp:extent cx="467995" cy="676275"/>
          <wp:effectExtent l="0" t="0" r="8255" b="9525"/>
          <wp:wrapTight wrapText="bothSides">
            <wp:wrapPolygon edited="0">
              <wp:start x="0" y="0"/>
              <wp:lineTo x="0" y="19470"/>
              <wp:lineTo x="7034" y="21296"/>
              <wp:lineTo x="14068" y="21296"/>
              <wp:lineTo x="21102" y="19470"/>
              <wp:lineTo x="21102"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oat_of_arms_of_Romania.sv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7995" cy="67627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9264" behindDoc="0" locked="0" layoutInCell="1" allowOverlap="1" wp14:anchorId="34C57D12" wp14:editId="175BEECA">
              <wp:simplePos x="0" y="0"/>
              <wp:positionH relativeFrom="margin">
                <wp:posOffset>294640</wp:posOffset>
              </wp:positionH>
              <wp:positionV relativeFrom="paragraph">
                <wp:posOffset>-225425</wp:posOffset>
              </wp:positionV>
              <wp:extent cx="5457825" cy="904875"/>
              <wp:effectExtent l="0" t="0" r="0" b="0"/>
              <wp:wrapNone/>
              <wp:docPr id="1" name="Text Box 1"/>
              <wp:cNvGraphicFramePr/>
              <a:graphic xmlns:a="http://schemas.openxmlformats.org/drawingml/2006/main">
                <a:graphicData uri="http://schemas.microsoft.com/office/word/2010/wordprocessingShape">
                  <wps:wsp>
                    <wps:cNvSpPr txBox="1"/>
                    <wps:spPr>
                      <a:xfrm>
                        <a:off x="0" y="0"/>
                        <a:ext cx="5457825" cy="904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47A39" w:rsidRDefault="00047A39" w:rsidP="00243000">
                          <w:pPr>
                            <w:spacing w:line="360" w:lineRule="auto"/>
                            <w:jc w:val="center"/>
                            <w:rPr>
                              <w:rFonts w:ascii="Arial" w:hAnsi="Arial" w:cs="Arial"/>
                              <w:b/>
                              <w:sz w:val="22"/>
                              <w:szCs w:val="21"/>
                            </w:rPr>
                          </w:pPr>
                        </w:p>
                        <w:p w:rsidR="00D11B90" w:rsidRPr="00047A39" w:rsidRDefault="003B4C37" w:rsidP="00243000">
                          <w:pPr>
                            <w:spacing w:line="360" w:lineRule="auto"/>
                            <w:jc w:val="center"/>
                            <w:rPr>
                              <w:rFonts w:ascii="Arial" w:hAnsi="Arial" w:cs="Arial"/>
                              <w:sz w:val="18"/>
                            </w:rPr>
                          </w:pPr>
                          <w:r w:rsidRPr="00047A39">
                            <w:rPr>
                              <w:rFonts w:ascii="Arial" w:hAnsi="Arial" w:cs="Arial"/>
                              <w:b/>
                              <w:sz w:val="22"/>
                              <w:szCs w:val="21"/>
                            </w:rPr>
                            <w:t>AUTORITATEA NAȚIONALĂ DE REGLEMENTARE ÎN DOMENIUL ENERGIEI</w:t>
                          </w:r>
                        </w:p>
                        <w:p w:rsidR="003927D9" w:rsidRDefault="00243000" w:rsidP="00243000">
                          <w:pPr>
                            <w:rPr>
                              <w:rFonts w:ascii="Arial" w:hAnsi="Arial" w:cs="Arial"/>
                              <w:sz w:val="20"/>
                            </w:rPr>
                          </w:pPr>
                          <w:r>
                            <w:rPr>
                              <w:rFonts w:ascii="Arial" w:hAnsi="Arial" w:cs="Arial"/>
                              <w:sz w:val="20"/>
                            </w:rPr>
                            <w:t xml:space="preserve">                    </w:t>
                          </w:r>
                          <w:proofErr w:type="spellStart"/>
                          <w:r>
                            <w:rPr>
                              <w:rFonts w:ascii="Arial" w:hAnsi="Arial" w:cs="Arial"/>
                              <w:sz w:val="20"/>
                            </w:rPr>
                            <w:t>Direcția</w:t>
                          </w:r>
                          <w:proofErr w:type="spellEnd"/>
                          <w:r>
                            <w:rPr>
                              <w:rFonts w:ascii="Arial" w:hAnsi="Arial" w:cs="Arial"/>
                              <w:sz w:val="20"/>
                            </w:rPr>
                            <w:t xml:space="preserve"> </w:t>
                          </w:r>
                          <w:proofErr w:type="spellStart"/>
                          <w:r w:rsidR="00047A39">
                            <w:rPr>
                              <w:rFonts w:ascii="Arial" w:hAnsi="Arial" w:cs="Arial"/>
                              <w:sz w:val="20"/>
                            </w:rPr>
                            <w:t>relații</w:t>
                          </w:r>
                          <w:proofErr w:type="spellEnd"/>
                          <w:r w:rsidR="00047A39">
                            <w:rPr>
                              <w:rFonts w:ascii="Arial" w:hAnsi="Arial" w:cs="Arial"/>
                              <w:sz w:val="20"/>
                            </w:rPr>
                            <w:t xml:space="preserve"> </w:t>
                          </w:r>
                          <w:proofErr w:type="spellStart"/>
                          <w:r w:rsidR="00047A39">
                            <w:rPr>
                              <w:rFonts w:ascii="Arial" w:hAnsi="Arial" w:cs="Arial"/>
                              <w:sz w:val="20"/>
                            </w:rPr>
                            <w:t>interna</w:t>
                          </w:r>
                          <w:r w:rsidR="00047A39">
                            <w:rPr>
                              <w:rFonts w:ascii="Arial" w:hAnsi="Arial" w:cs="Arial"/>
                              <w:sz w:val="20"/>
                              <w:lang w:val="ro-RO"/>
                            </w:rPr>
                            <w:t>ționale</w:t>
                          </w:r>
                          <w:proofErr w:type="spellEnd"/>
                          <w:r w:rsidR="00047A39">
                            <w:rPr>
                              <w:rFonts w:ascii="Arial" w:hAnsi="Arial" w:cs="Arial"/>
                              <w:sz w:val="20"/>
                              <w:lang w:val="ro-RO"/>
                            </w:rPr>
                            <w:t xml:space="preserve">, </w:t>
                          </w:r>
                          <w:proofErr w:type="spellStart"/>
                          <w:r>
                            <w:rPr>
                              <w:rFonts w:ascii="Arial" w:hAnsi="Arial" w:cs="Arial"/>
                              <w:sz w:val="20"/>
                            </w:rPr>
                            <w:t>comunicare</w:t>
                          </w:r>
                          <w:proofErr w:type="spellEnd"/>
                          <w:r>
                            <w:rPr>
                              <w:rFonts w:ascii="Arial" w:hAnsi="Arial" w:cs="Arial"/>
                              <w:sz w:val="20"/>
                            </w:rPr>
                            <w:t xml:space="preserve">, </w:t>
                          </w:r>
                          <w:proofErr w:type="spellStart"/>
                          <w:r>
                            <w:rPr>
                              <w:rFonts w:ascii="Arial" w:hAnsi="Arial" w:cs="Arial"/>
                              <w:sz w:val="20"/>
                            </w:rPr>
                            <w:t>relația</w:t>
                          </w:r>
                          <w:proofErr w:type="spellEnd"/>
                          <w:r>
                            <w:rPr>
                              <w:rFonts w:ascii="Arial" w:hAnsi="Arial" w:cs="Arial"/>
                              <w:sz w:val="20"/>
                            </w:rPr>
                            <w:t xml:space="preserve"> cu </w:t>
                          </w:r>
                          <w:proofErr w:type="spellStart"/>
                          <w:r>
                            <w:rPr>
                              <w:rFonts w:ascii="Arial" w:hAnsi="Arial" w:cs="Arial"/>
                              <w:sz w:val="20"/>
                            </w:rPr>
                            <w:t>Parlamentul</w:t>
                          </w:r>
                          <w:proofErr w:type="spellEnd"/>
                        </w:p>
                        <w:p w:rsidR="003927D9" w:rsidRDefault="003927D9" w:rsidP="003B4C37">
                          <w:pPr>
                            <w:jc w:val="center"/>
                            <w:rPr>
                              <w:rFonts w:ascii="Arial" w:hAnsi="Arial" w:cs="Arial"/>
                              <w:sz w:val="20"/>
                            </w:rPr>
                          </w:pPr>
                        </w:p>
                        <w:p w:rsidR="003927D9" w:rsidRPr="004B1447" w:rsidRDefault="003927D9" w:rsidP="003B4C37">
                          <w:pPr>
                            <w:jc w:val="center"/>
                            <w:rPr>
                              <w:rFonts w:ascii="Arial" w:hAnsi="Arial" w:cs="Arial"/>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C57D12" id="_x0000_t202" coordsize="21600,21600" o:spt="202" path="m,l,21600r21600,l21600,xe">
              <v:stroke joinstyle="miter"/>
              <v:path gradientshapeok="t" o:connecttype="rect"/>
            </v:shapetype>
            <v:shape id="Text Box 1" o:spid="_x0000_s1026" type="#_x0000_t202" style="position:absolute;margin-left:23.2pt;margin-top:-17.75pt;width:429.75pt;height:7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" filled="f" stroked="f" strokeweight=".5pt">
              <v:textbox>
                <w:txbxContent>
                  <w:p w:rsidR="00047A39" w:rsidRDefault="00047A39" w:rsidP="00243000">
                    <w:pPr>
                      <w:spacing w:line="360" w:lineRule="auto"/>
                      <w:jc w:val="center"/>
                      <w:rPr>
                        <w:rFonts w:ascii="Arial" w:hAnsi="Arial" w:cs="Arial"/>
                        <w:b/>
                        <w:sz w:val="22"/>
                        <w:szCs w:val="21"/>
                      </w:rPr>
                    </w:pPr>
                  </w:p>
                  <w:p w:rsidR="00D11B90" w:rsidRPr="00047A39" w:rsidRDefault="003B4C37" w:rsidP="00243000">
                    <w:pPr>
                      <w:spacing w:line="360" w:lineRule="auto"/>
                      <w:jc w:val="center"/>
                      <w:rPr>
                        <w:rFonts w:ascii="Arial" w:hAnsi="Arial" w:cs="Arial"/>
                        <w:sz w:val="18"/>
                      </w:rPr>
                    </w:pPr>
                    <w:r w:rsidRPr="00047A39">
                      <w:rPr>
                        <w:rFonts w:ascii="Arial" w:hAnsi="Arial" w:cs="Arial"/>
                        <w:b/>
                        <w:sz w:val="22"/>
                        <w:szCs w:val="21"/>
                      </w:rPr>
                      <w:t>AUTORITATEA NAȚIONALĂ DE REGLEMENTARE ÎN DOMENIUL ENERGIEI</w:t>
                    </w:r>
                  </w:p>
                  <w:p w:rsidR="003927D9" w:rsidRDefault="00243000" w:rsidP="00243000">
                    <w:pPr>
                      <w:rPr>
                        <w:rFonts w:ascii="Arial" w:hAnsi="Arial" w:cs="Arial"/>
                        <w:sz w:val="20"/>
                      </w:rPr>
                    </w:pPr>
                    <w:r>
                      <w:rPr>
                        <w:rFonts w:ascii="Arial" w:hAnsi="Arial" w:cs="Arial"/>
                        <w:sz w:val="20"/>
                      </w:rPr>
                      <w:t xml:space="preserve">                    </w:t>
                    </w:r>
                    <w:proofErr w:type="spellStart"/>
                    <w:r>
                      <w:rPr>
                        <w:rFonts w:ascii="Arial" w:hAnsi="Arial" w:cs="Arial"/>
                        <w:sz w:val="20"/>
                      </w:rPr>
                      <w:t>Direcția</w:t>
                    </w:r>
                    <w:proofErr w:type="spellEnd"/>
                    <w:r>
                      <w:rPr>
                        <w:rFonts w:ascii="Arial" w:hAnsi="Arial" w:cs="Arial"/>
                        <w:sz w:val="20"/>
                      </w:rPr>
                      <w:t xml:space="preserve"> </w:t>
                    </w:r>
                    <w:proofErr w:type="spellStart"/>
                    <w:r w:rsidR="00047A39">
                      <w:rPr>
                        <w:rFonts w:ascii="Arial" w:hAnsi="Arial" w:cs="Arial"/>
                        <w:sz w:val="20"/>
                      </w:rPr>
                      <w:t>relații</w:t>
                    </w:r>
                    <w:proofErr w:type="spellEnd"/>
                    <w:r w:rsidR="00047A39">
                      <w:rPr>
                        <w:rFonts w:ascii="Arial" w:hAnsi="Arial" w:cs="Arial"/>
                        <w:sz w:val="20"/>
                      </w:rPr>
                      <w:t xml:space="preserve"> </w:t>
                    </w:r>
                    <w:proofErr w:type="spellStart"/>
                    <w:r w:rsidR="00047A39">
                      <w:rPr>
                        <w:rFonts w:ascii="Arial" w:hAnsi="Arial" w:cs="Arial"/>
                        <w:sz w:val="20"/>
                      </w:rPr>
                      <w:t>interna</w:t>
                    </w:r>
                    <w:r w:rsidR="00047A39">
                      <w:rPr>
                        <w:rFonts w:ascii="Arial" w:hAnsi="Arial" w:cs="Arial"/>
                        <w:sz w:val="20"/>
                        <w:lang w:val="ro-RO"/>
                      </w:rPr>
                      <w:t>ționale</w:t>
                    </w:r>
                    <w:proofErr w:type="spellEnd"/>
                    <w:r w:rsidR="00047A39">
                      <w:rPr>
                        <w:rFonts w:ascii="Arial" w:hAnsi="Arial" w:cs="Arial"/>
                        <w:sz w:val="20"/>
                        <w:lang w:val="ro-RO"/>
                      </w:rPr>
                      <w:t xml:space="preserve">, </w:t>
                    </w:r>
                    <w:proofErr w:type="spellStart"/>
                    <w:r>
                      <w:rPr>
                        <w:rFonts w:ascii="Arial" w:hAnsi="Arial" w:cs="Arial"/>
                        <w:sz w:val="20"/>
                      </w:rPr>
                      <w:t>comunicare</w:t>
                    </w:r>
                    <w:proofErr w:type="spellEnd"/>
                    <w:r>
                      <w:rPr>
                        <w:rFonts w:ascii="Arial" w:hAnsi="Arial" w:cs="Arial"/>
                        <w:sz w:val="20"/>
                      </w:rPr>
                      <w:t xml:space="preserve">, </w:t>
                    </w:r>
                    <w:proofErr w:type="spellStart"/>
                    <w:r>
                      <w:rPr>
                        <w:rFonts w:ascii="Arial" w:hAnsi="Arial" w:cs="Arial"/>
                        <w:sz w:val="20"/>
                      </w:rPr>
                      <w:t>relația</w:t>
                    </w:r>
                    <w:proofErr w:type="spellEnd"/>
                    <w:r>
                      <w:rPr>
                        <w:rFonts w:ascii="Arial" w:hAnsi="Arial" w:cs="Arial"/>
                        <w:sz w:val="20"/>
                      </w:rPr>
                      <w:t xml:space="preserve"> cu </w:t>
                    </w:r>
                    <w:proofErr w:type="spellStart"/>
                    <w:r>
                      <w:rPr>
                        <w:rFonts w:ascii="Arial" w:hAnsi="Arial" w:cs="Arial"/>
                        <w:sz w:val="20"/>
                      </w:rPr>
                      <w:t>Parlamentul</w:t>
                    </w:r>
                    <w:proofErr w:type="spellEnd"/>
                  </w:p>
                  <w:p w:rsidR="003927D9" w:rsidRDefault="003927D9" w:rsidP="003B4C37">
                    <w:pPr>
                      <w:jc w:val="center"/>
                      <w:rPr>
                        <w:rFonts w:ascii="Arial" w:hAnsi="Arial" w:cs="Arial"/>
                        <w:sz w:val="20"/>
                      </w:rPr>
                    </w:pPr>
                  </w:p>
                  <w:p w:rsidR="003927D9" w:rsidRPr="004B1447" w:rsidRDefault="003927D9" w:rsidP="003B4C37">
                    <w:pPr>
                      <w:jc w:val="center"/>
                      <w:rPr>
                        <w:rFonts w:ascii="Arial" w:hAnsi="Arial" w:cs="Arial"/>
                        <w:sz w:val="20"/>
                      </w:rPr>
                    </w:pPr>
                  </w:p>
                </w:txbxContent>
              </v:textbox>
              <w10:wrap anchorx="margin"/>
            </v:shape>
          </w:pict>
        </mc:Fallback>
      </mc:AlternateContent>
    </w:r>
    <w:r w:rsidR="003927D9">
      <w:rPr>
        <w:noProof/>
        <w:lang w:eastAsia="en-GB"/>
      </w:rPr>
      <w:drawing>
        <wp:inline distT="0" distB="0" distL="0" distR="0" wp14:anchorId="66006E66" wp14:editId="39981DB1">
          <wp:extent cx="834390" cy="70763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 ANRE - SIMBOL FINAL FINAL-0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34390" cy="707635"/>
                  </a:xfrm>
                  <a:prstGeom prst="rect">
                    <a:avLst/>
                  </a:prstGeom>
                </pic:spPr>
              </pic:pic>
            </a:graphicData>
          </a:graphic>
        </wp:inline>
      </w:drawing>
    </w:r>
    <w:r w:rsidR="003B4C37" w:rsidRPr="006521DE">
      <w:rPr>
        <w:noProof/>
        <w:lang w:eastAsia="en-GB"/>
      </w:rPr>
      <w:t xml:space="preserve"> </w:t>
    </w:r>
    <w:r w:rsidR="003B4C37">
      <w:t xml:space="preserve">                   </w:t>
    </w:r>
    <w:r w:rsidR="002E7BAE">
      <w:t xml:space="preserve">                   </w:t>
    </w:r>
    <w:r w:rsidR="003B4C37">
      <w:t xml:space="preserve">                      </w:t>
    </w:r>
    <w:r w:rsidR="00B25C27">
      <w:t xml:space="preserve">                                          </w:t>
    </w:r>
    <w:r w:rsidR="003B4C37">
      <w:t xml:space="preserve">  </w:t>
    </w:r>
    <w:r w:rsidR="00B25C27">
      <w:t xml:space="preserve"> </w:t>
    </w:r>
    <w:r w:rsidR="003B4C37">
      <w:t xml:space="preserve">                                            </w:t>
    </w:r>
    <w:r w:rsidR="005C58ED">
      <w:t xml:space="preserve">      </w:t>
    </w:r>
    <w:r w:rsidR="007C2B85">
      <w:t xml:space="preserve">      </w:t>
    </w:r>
    <w:r w:rsidR="005C58ED">
      <w:t xml:space="preserve">      </w:t>
    </w:r>
    <w:r w:rsidR="003B4C37">
      <w:t xml:space="preserve">                                                                     </w:t>
    </w:r>
  </w:p>
  <w:p w:rsidR="003B4C37" w:rsidRDefault="0027738A" w:rsidP="003927D9">
    <w:pPr>
      <w:pStyle w:val="Header"/>
      <w:tabs>
        <w:tab w:val="clear" w:pos="9026"/>
        <w:tab w:val="right" w:pos="7349"/>
      </w:tabs>
    </w:pPr>
    <w:r>
      <w:rPr>
        <w:noProof/>
        <w:lang w:eastAsia="en-GB"/>
      </w:rPr>
      <mc:AlternateContent>
        <mc:Choice Requires="wps">
          <w:drawing>
            <wp:anchor distT="0" distB="0" distL="114300" distR="114300" simplePos="0" relativeHeight="251660288" behindDoc="0" locked="0" layoutInCell="1" allowOverlap="1" wp14:anchorId="66219E66" wp14:editId="32C69781">
              <wp:simplePos x="0" y="0"/>
              <wp:positionH relativeFrom="margin">
                <wp:posOffset>1905</wp:posOffset>
              </wp:positionH>
              <wp:positionV relativeFrom="paragraph">
                <wp:posOffset>50165</wp:posOffset>
              </wp:positionV>
              <wp:extent cx="626400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6264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67E61BD6" id="Straight Connector 2" o:spid="_x0000_s1026" style="position:absolute;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5pt,3.95pt" to="493.4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" strokecolor="black [3213]" strokeweight=".5pt">
              <v:stroke joinstyle="miter"/>
              <w10:wrap anchorx="margin"/>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714F5C"/>
    <w:multiLevelType w:val="hybridMultilevel"/>
    <w:tmpl w:val="3CE0B398"/>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73C2720"/>
    <w:multiLevelType w:val="hybridMultilevel"/>
    <w:tmpl w:val="78C4990C"/>
    <w:lvl w:ilvl="0" w:tplc="04180001">
      <w:start w:val="1"/>
      <w:numFmt w:val="bullet"/>
      <w:lvlText w:val=""/>
      <w:lvlJc w:val="left"/>
      <w:pPr>
        <w:ind w:left="787" w:hanging="360"/>
      </w:pPr>
      <w:rPr>
        <w:rFonts w:ascii="Symbol" w:hAnsi="Symbol" w:hint="default"/>
      </w:rPr>
    </w:lvl>
    <w:lvl w:ilvl="1" w:tplc="04180003">
      <w:start w:val="1"/>
      <w:numFmt w:val="bullet"/>
      <w:lvlText w:val="o"/>
      <w:lvlJc w:val="left"/>
      <w:pPr>
        <w:ind w:left="1507" w:hanging="360"/>
      </w:pPr>
      <w:rPr>
        <w:rFonts w:ascii="Courier New" w:hAnsi="Courier New" w:cs="Courier New" w:hint="default"/>
      </w:rPr>
    </w:lvl>
    <w:lvl w:ilvl="2" w:tplc="04180005" w:tentative="1">
      <w:start w:val="1"/>
      <w:numFmt w:val="bullet"/>
      <w:lvlText w:val=""/>
      <w:lvlJc w:val="left"/>
      <w:pPr>
        <w:ind w:left="2227" w:hanging="360"/>
      </w:pPr>
      <w:rPr>
        <w:rFonts w:ascii="Wingdings" w:hAnsi="Wingdings" w:hint="default"/>
      </w:rPr>
    </w:lvl>
    <w:lvl w:ilvl="3" w:tplc="04180001" w:tentative="1">
      <w:start w:val="1"/>
      <w:numFmt w:val="bullet"/>
      <w:lvlText w:val=""/>
      <w:lvlJc w:val="left"/>
      <w:pPr>
        <w:ind w:left="2947" w:hanging="360"/>
      </w:pPr>
      <w:rPr>
        <w:rFonts w:ascii="Symbol" w:hAnsi="Symbol" w:hint="default"/>
      </w:rPr>
    </w:lvl>
    <w:lvl w:ilvl="4" w:tplc="04180003" w:tentative="1">
      <w:start w:val="1"/>
      <w:numFmt w:val="bullet"/>
      <w:lvlText w:val="o"/>
      <w:lvlJc w:val="left"/>
      <w:pPr>
        <w:ind w:left="3667" w:hanging="360"/>
      </w:pPr>
      <w:rPr>
        <w:rFonts w:ascii="Courier New" w:hAnsi="Courier New" w:cs="Courier New" w:hint="default"/>
      </w:rPr>
    </w:lvl>
    <w:lvl w:ilvl="5" w:tplc="04180005" w:tentative="1">
      <w:start w:val="1"/>
      <w:numFmt w:val="bullet"/>
      <w:lvlText w:val=""/>
      <w:lvlJc w:val="left"/>
      <w:pPr>
        <w:ind w:left="4387" w:hanging="360"/>
      </w:pPr>
      <w:rPr>
        <w:rFonts w:ascii="Wingdings" w:hAnsi="Wingdings" w:hint="default"/>
      </w:rPr>
    </w:lvl>
    <w:lvl w:ilvl="6" w:tplc="04180001" w:tentative="1">
      <w:start w:val="1"/>
      <w:numFmt w:val="bullet"/>
      <w:lvlText w:val=""/>
      <w:lvlJc w:val="left"/>
      <w:pPr>
        <w:ind w:left="5107" w:hanging="360"/>
      </w:pPr>
      <w:rPr>
        <w:rFonts w:ascii="Symbol" w:hAnsi="Symbol" w:hint="default"/>
      </w:rPr>
    </w:lvl>
    <w:lvl w:ilvl="7" w:tplc="04180003" w:tentative="1">
      <w:start w:val="1"/>
      <w:numFmt w:val="bullet"/>
      <w:lvlText w:val="o"/>
      <w:lvlJc w:val="left"/>
      <w:pPr>
        <w:ind w:left="5827" w:hanging="360"/>
      </w:pPr>
      <w:rPr>
        <w:rFonts w:ascii="Courier New" w:hAnsi="Courier New" w:cs="Courier New" w:hint="default"/>
      </w:rPr>
    </w:lvl>
    <w:lvl w:ilvl="8" w:tplc="04180005" w:tentative="1">
      <w:start w:val="1"/>
      <w:numFmt w:val="bullet"/>
      <w:lvlText w:val=""/>
      <w:lvlJc w:val="left"/>
      <w:pPr>
        <w:ind w:left="6547" w:hanging="360"/>
      </w:pPr>
      <w:rPr>
        <w:rFonts w:ascii="Wingdings" w:hAnsi="Wingdings" w:hint="default"/>
      </w:rPr>
    </w:lvl>
  </w:abstractNum>
  <w:abstractNum w:abstractNumId="2" w15:restartNumberingAfterBreak="0">
    <w:nsid w:val="3E9A6B8D"/>
    <w:multiLevelType w:val="hybridMultilevel"/>
    <w:tmpl w:val="87424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A41629"/>
    <w:multiLevelType w:val="hybridMultilevel"/>
    <w:tmpl w:val="5CAEDF7E"/>
    <w:lvl w:ilvl="0" w:tplc="24EAA040">
      <w:start w:val="3"/>
      <w:numFmt w:val="bullet"/>
      <w:lvlText w:val="-"/>
      <w:lvlJc w:val="left"/>
      <w:pPr>
        <w:ind w:left="720" w:hanging="360"/>
      </w:pPr>
      <w:rPr>
        <w:rFonts w:ascii="Times New Roman" w:eastAsia="Times New Roman" w:hAnsi="Times New Roman"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C37"/>
    <w:rsid w:val="000005F2"/>
    <w:rsid w:val="00047A39"/>
    <w:rsid w:val="00092D84"/>
    <w:rsid w:val="00096493"/>
    <w:rsid w:val="000C437F"/>
    <w:rsid w:val="000D0B5E"/>
    <w:rsid w:val="000D4689"/>
    <w:rsid w:val="000F4624"/>
    <w:rsid w:val="00123A54"/>
    <w:rsid w:val="00126E6D"/>
    <w:rsid w:val="0013029C"/>
    <w:rsid w:val="00130459"/>
    <w:rsid w:val="0013274F"/>
    <w:rsid w:val="00133612"/>
    <w:rsid w:val="00136C0C"/>
    <w:rsid w:val="00160D1D"/>
    <w:rsid w:val="00172D21"/>
    <w:rsid w:val="00175943"/>
    <w:rsid w:val="00185DF1"/>
    <w:rsid w:val="001872AD"/>
    <w:rsid w:val="00191BE7"/>
    <w:rsid w:val="001A7878"/>
    <w:rsid w:val="001C0C8E"/>
    <w:rsid w:val="001C49FC"/>
    <w:rsid w:val="001D1173"/>
    <w:rsid w:val="001D7EE6"/>
    <w:rsid w:val="001F6855"/>
    <w:rsid w:val="0021417C"/>
    <w:rsid w:val="002223F9"/>
    <w:rsid w:val="002261B1"/>
    <w:rsid w:val="00227521"/>
    <w:rsid w:val="00243000"/>
    <w:rsid w:val="00276065"/>
    <w:rsid w:val="0027738A"/>
    <w:rsid w:val="00295B5B"/>
    <w:rsid w:val="002B3467"/>
    <w:rsid w:val="002D21E3"/>
    <w:rsid w:val="002D6F16"/>
    <w:rsid w:val="002E24BE"/>
    <w:rsid w:val="002E7BAE"/>
    <w:rsid w:val="002F04DC"/>
    <w:rsid w:val="00301D0A"/>
    <w:rsid w:val="00314052"/>
    <w:rsid w:val="00315655"/>
    <w:rsid w:val="00317FC3"/>
    <w:rsid w:val="003221F9"/>
    <w:rsid w:val="0032618D"/>
    <w:rsid w:val="00330C2A"/>
    <w:rsid w:val="00331B49"/>
    <w:rsid w:val="003642A3"/>
    <w:rsid w:val="003672B2"/>
    <w:rsid w:val="0037242D"/>
    <w:rsid w:val="003842D0"/>
    <w:rsid w:val="003850FE"/>
    <w:rsid w:val="0039207B"/>
    <w:rsid w:val="003927D9"/>
    <w:rsid w:val="0039422E"/>
    <w:rsid w:val="00395D85"/>
    <w:rsid w:val="003A5AA2"/>
    <w:rsid w:val="003B0DED"/>
    <w:rsid w:val="003B0ECB"/>
    <w:rsid w:val="003B4C37"/>
    <w:rsid w:val="00417565"/>
    <w:rsid w:val="00421466"/>
    <w:rsid w:val="0043144C"/>
    <w:rsid w:val="00437C42"/>
    <w:rsid w:val="00444064"/>
    <w:rsid w:val="00446F9A"/>
    <w:rsid w:val="0046103C"/>
    <w:rsid w:val="0047208B"/>
    <w:rsid w:val="00483488"/>
    <w:rsid w:val="00485BF1"/>
    <w:rsid w:val="004C0B86"/>
    <w:rsid w:val="004C30DF"/>
    <w:rsid w:val="004D5F29"/>
    <w:rsid w:val="004F001C"/>
    <w:rsid w:val="004F462D"/>
    <w:rsid w:val="00503124"/>
    <w:rsid w:val="00527C24"/>
    <w:rsid w:val="00542D84"/>
    <w:rsid w:val="0056166F"/>
    <w:rsid w:val="00561D6D"/>
    <w:rsid w:val="005624FC"/>
    <w:rsid w:val="00582FAC"/>
    <w:rsid w:val="005A480A"/>
    <w:rsid w:val="005A4903"/>
    <w:rsid w:val="005B3E3B"/>
    <w:rsid w:val="005C42AF"/>
    <w:rsid w:val="005C58ED"/>
    <w:rsid w:val="005E003D"/>
    <w:rsid w:val="005F3D43"/>
    <w:rsid w:val="00620875"/>
    <w:rsid w:val="00627DC3"/>
    <w:rsid w:val="00653C0F"/>
    <w:rsid w:val="00682A2E"/>
    <w:rsid w:val="006A2FB3"/>
    <w:rsid w:val="006E0DF7"/>
    <w:rsid w:val="006F7866"/>
    <w:rsid w:val="00710579"/>
    <w:rsid w:val="00727F2B"/>
    <w:rsid w:val="00765FB3"/>
    <w:rsid w:val="00784EBE"/>
    <w:rsid w:val="00786422"/>
    <w:rsid w:val="007926ED"/>
    <w:rsid w:val="007A183A"/>
    <w:rsid w:val="007B3DCB"/>
    <w:rsid w:val="007C0BC0"/>
    <w:rsid w:val="007C2B85"/>
    <w:rsid w:val="007E4A8C"/>
    <w:rsid w:val="007F00AC"/>
    <w:rsid w:val="007F143F"/>
    <w:rsid w:val="007F2833"/>
    <w:rsid w:val="00815AC8"/>
    <w:rsid w:val="00827CDE"/>
    <w:rsid w:val="008341C0"/>
    <w:rsid w:val="00845749"/>
    <w:rsid w:val="00877AEF"/>
    <w:rsid w:val="00895766"/>
    <w:rsid w:val="008B531F"/>
    <w:rsid w:val="008B5C27"/>
    <w:rsid w:val="008B6F8C"/>
    <w:rsid w:val="008C4FA2"/>
    <w:rsid w:val="008D576C"/>
    <w:rsid w:val="008D70ED"/>
    <w:rsid w:val="008D7198"/>
    <w:rsid w:val="008D7A6B"/>
    <w:rsid w:val="008E4453"/>
    <w:rsid w:val="008F401E"/>
    <w:rsid w:val="00903E9B"/>
    <w:rsid w:val="00904E32"/>
    <w:rsid w:val="009111FC"/>
    <w:rsid w:val="00923D34"/>
    <w:rsid w:val="009458F5"/>
    <w:rsid w:val="00966807"/>
    <w:rsid w:val="0097290F"/>
    <w:rsid w:val="00986E17"/>
    <w:rsid w:val="009937F6"/>
    <w:rsid w:val="00997F4C"/>
    <w:rsid w:val="009A0A0A"/>
    <w:rsid w:val="009B066F"/>
    <w:rsid w:val="009C01B6"/>
    <w:rsid w:val="009E0B93"/>
    <w:rsid w:val="00A06EE0"/>
    <w:rsid w:val="00A14658"/>
    <w:rsid w:val="00A43E22"/>
    <w:rsid w:val="00A5450A"/>
    <w:rsid w:val="00A946CF"/>
    <w:rsid w:val="00A94A76"/>
    <w:rsid w:val="00A962E9"/>
    <w:rsid w:val="00AA04BE"/>
    <w:rsid w:val="00AB5233"/>
    <w:rsid w:val="00AC68ED"/>
    <w:rsid w:val="00AD120C"/>
    <w:rsid w:val="00AD19EC"/>
    <w:rsid w:val="00AD677B"/>
    <w:rsid w:val="00B03B35"/>
    <w:rsid w:val="00B21FF5"/>
    <w:rsid w:val="00B25C27"/>
    <w:rsid w:val="00B31376"/>
    <w:rsid w:val="00B349F9"/>
    <w:rsid w:val="00B51C8B"/>
    <w:rsid w:val="00B56190"/>
    <w:rsid w:val="00B65673"/>
    <w:rsid w:val="00B81C1F"/>
    <w:rsid w:val="00B86F6E"/>
    <w:rsid w:val="00B9501D"/>
    <w:rsid w:val="00BA16A5"/>
    <w:rsid w:val="00BD2AD7"/>
    <w:rsid w:val="00BE11B8"/>
    <w:rsid w:val="00BE3B1E"/>
    <w:rsid w:val="00BE6DE7"/>
    <w:rsid w:val="00BF6F43"/>
    <w:rsid w:val="00C410BE"/>
    <w:rsid w:val="00C45609"/>
    <w:rsid w:val="00C473AD"/>
    <w:rsid w:val="00C65E90"/>
    <w:rsid w:val="00C70586"/>
    <w:rsid w:val="00C73C28"/>
    <w:rsid w:val="00C91722"/>
    <w:rsid w:val="00CA5684"/>
    <w:rsid w:val="00CC3D11"/>
    <w:rsid w:val="00CE4C7F"/>
    <w:rsid w:val="00D077C2"/>
    <w:rsid w:val="00D11B90"/>
    <w:rsid w:val="00D17C7B"/>
    <w:rsid w:val="00D47766"/>
    <w:rsid w:val="00D60EEA"/>
    <w:rsid w:val="00D6553D"/>
    <w:rsid w:val="00D66765"/>
    <w:rsid w:val="00D66E70"/>
    <w:rsid w:val="00D74D71"/>
    <w:rsid w:val="00D81AF7"/>
    <w:rsid w:val="00D86D66"/>
    <w:rsid w:val="00DA1276"/>
    <w:rsid w:val="00DA34CD"/>
    <w:rsid w:val="00DA6ECF"/>
    <w:rsid w:val="00DB399B"/>
    <w:rsid w:val="00DB72A4"/>
    <w:rsid w:val="00DD3A98"/>
    <w:rsid w:val="00DD55E9"/>
    <w:rsid w:val="00DD7B54"/>
    <w:rsid w:val="00DE6503"/>
    <w:rsid w:val="00DF0020"/>
    <w:rsid w:val="00DF17E2"/>
    <w:rsid w:val="00E33DAF"/>
    <w:rsid w:val="00E514B4"/>
    <w:rsid w:val="00E54253"/>
    <w:rsid w:val="00E91E60"/>
    <w:rsid w:val="00E92A82"/>
    <w:rsid w:val="00EA2F0B"/>
    <w:rsid w:val="00EB0D13"/>
    <w:rsid w:val="00EC7BEA"/>
    <w:rsid w:val="00EE57AF"/>
    <w:rsid w:val="00F002E2"/>
    <w:rsid w:val="00F4351D"/>
    <w:rsid w:val="00F510C7"/>
    <w:rsid w:val="00F55E71"/>
    <w:rsid w:val="00F63DA5"/>
    <w:rsid w:val="00F661B8"/>
    <w:rsid w:val="00F80B77"/>
    <w:rsid w:val="00F90F91"/>
    <w:rsid w:val="00FA5BB2"/>
    <w:rsid w:val="00FA6EE1"/>
    <w:rsid w:val="00FB341D"/>
    <w:rsid w:val="00FB694A"/>
    <w:rsid w:val="00FC4F8A"/>
    <w:rsid w:val="00FE7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F70570F-F88A-4172-B1FA-555B294F1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422E"/>
    <w:pPr>
      <w:spacing w:after="0" w:line="240" w:lineRule="auto"/>
    </w:pPr>
    <w:rPr>
      <w:rFonts w:ascii="Times New Roman" w:eastAsia="SimSun" w:hAnsi="Times New Roman" w:cs="Times New Roman"/>
      <w:sz w:val="24"/>
      <w:szCs w:val="24"/>
    </w:rPr>
  </w:style>
  <w:style w:type="paragraph" w:styleId="Heading1">
    <w:name w:val="heading 1"/>
    <w:basedOn w:val="Normal"/>
    <w:next w:val="Normal"/>
    <w:link w:val="Heading1Char"/>
    <w:uiPriority w:val="9"/>
    <w:qFormat/>
    <w:rsid w:val="00A1465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94A76"/>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C37"/>
    <w:pPr>
      <w:tabs>
        <w:tab w:val="center" w:pos="4513"/>
        <w:tab w:val="right" w:pos="9026"/>
      </w:tabs>
    </w:pPr>
  </w:style>
  <w:style w:type="character" w:customStyle="1" w:styleId="HeaderChar">
    <w:name w:val="Header Char"/>
    <w:basedOn w:val="DefaultParagraphFont"/>
    <w:link w:val="Header"/>
    <w:uiPriority w:val="99"/>
    <w:rsid w:val="003B4C37"/>
    <w:rPr>
      <w:lang w:val="ro-RO"/>
    </w:rPr>
  </w:style>
  <w:style w:type="paragraph" w:styleId="Footer">
    <w:name w:val="footer"/>
    <w:basedOn w:val="Normal"/>
    <w:link w:val="FooterChar"/>
    <w:uiPriority w:val="99"/>
    <w:unhideWhenUsed/>
    <w:rsid w:val="003B4C37"/>
    <w:pPr>
      <w:tabs>
        <w:tab w:val="center" w:pos="4513"/>
        <w:tab w:val="right" w:pos="9026"/>
      </w:tabs>
    </w:pPr>
  </w:style>
  <w:style w:type="character" w:customStyle="1" w:styleId="FooterChar">
    <w:name w:val="Footer Char"/>
    <w:basedOn w:val="DefaultParagraphFont"/>
    <w:link w:val="Footer"/>
    <w:uiPriority w:val="99"/>
    <w:rsid w:val="003B4C37"/>
    <w:rPr>
      <w:lang w:val="ro-RO"/>
    </w:rPr>
  </w:style>
  <w:style w:type="paragraph" w:styleId="BalloonText">
    <w:name w:val="Balloon Text"/>
    <w:basedOn w:val="Normal"/>
    <w:link w:val="BalloonTextChar"/>
    <w:uiPriority w:val="99"/>
    <w:semiHidden/>
    <w:unhideWhenUsed/>
    <w:rsid w:val="00160D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D1D"/>
    <w:rPr>
      <w:rFonts w:ascii="Segoe UI" w:hAnsi="Segoe UI" w:cs="Segoe UI"/>
      <w:sz w:val="18"/>
      <w:szCs w:val="18"/>
      <w:lang w:val="ro-RO"/>
    </w:rPr>
  </w:style>
  <w:style w:type="paragraph" w:customStyle="1" w:styleId="CharCharCharChar">
    <w:name w:val="Char Char Char Char"/>
    <w:basedOn w:val="Normal"/>
    <w:rsid w:val="005F3D43"/>
    <w:rPr>
      <w:rFonts w:eastAsia="Times New Roman"/>
      <w:lang w:val="pl-PL" w:eastAsia="pl-PL"/>
    </w:rPr>
  </w:style>
  <w:style w:type="paragraph" w:customStyle="1" w:styleId="CharCharCharChar0">
    <w:name w:val="Char Char Char Char"/>
    <w:basedOn w:val="Normal"/>
    <w:rsid w:val="003850FE"/>
    <w:rPr>
      <w:rFonts w:eastAsia="Times New Roman"/>
      <w:lang w:val="pl-PL" w:eastAsia="pl-PL"/>
    </w:rPr>
  </w:style>
  <w:style w:type="table" w:styleId="TableGrid">
    <w:name w:val="Table Grid"/>
    <w:basedOn w:val="TableNormal"/>
    <w:uiPriority w:val="39"/>
    <w:rsid w:val="007A18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14658"/>
    <w:rPr>
      <w:rFonts w:asciiTheme="majorHAnsi" w:eastAsiaTheme="majorEastAsia" w:hAnsiTheme="majorHAnsi" w:cstheme="majorBidi"/>
      <w:color w:val="2E74B5" w:themeColor="accent1" w:themeShade="BF"/>
      <w:sz w:val="32"/>
      <w:szCs w:val="32"/>
      <w:lang w:val="ro-RO"/>
    </w:rPr>
  </w:style>
  <w:style w:type="paragraph" w:styleId="ListParagraph">
    <w:name w:val="List Paragraph"/>
    <w:basedOn w:val="Normal"/>
    <w:uiPriority w:val="34"/>
    <w:qFormat/>
    <w:rsid w:val="00A962E9"/>
    <w:pPr>
      <w:ind w:left="720"/>
      <w:contextualSpacing/>
    </w:pPr>
  </w:style>
  <w:style w:type="character" w:styleId="Hyperlink">
    <w:name w:val="Hyperlink"/>
    <w:uiPriority w:val="99"/>
    <w:unhideWhenUsed/>
    <w:rsid w:val="001872AD"/>
    <w:rPr>
      <w:color w:val="0563C1"/>
      <w:u w:val="single"/>
    </w:rPr>
  </w:style>
  <w:style w:type="character" w:customStyle="1" w:styleId="UnresolvedMention1">
    <w:name w:val="Unresolved Mention1"/>
    <w:basedOn w:val="DefaultParagraphFont"/>
    <w:uiPriority w:val="99"/>
    <w:semiHidden/>
    <w:unhideWhenUsed/>
    <w:rsid w:val="00276065"/>
    <w:rPr>
      <w:color w:val="605E5C"/>
      <w:shd w:val="clear" w:color="auto" w:fill="E1DFDD"/>
    </w:rPr>
  </w:style>
  <w:style w:type="character" w:styleId="Emphasis">
    <w:name w:val="Emphasis"/>
    <w:basedOn w:val="DefaultParagraphFont"/>
    <w:uiPriority w:val="20"/>
    <w:qFormat/>
    <w:rsid w:val="00F661B8"/>
    <w:rPr>
      <w:b/>
      <w:bCs/>
      <w:i w:val="0"/>
      <w:iCs w:val="0"/>
    </w:rPr>
  </w:style>
  <w:style w:type="character" w:customStyle="1" w:styleId="st1">
    <w:name w:val="st1"/>
    <w:basedOn w:val="DefaultParagraphFont"/>
    <w:rsid w:val="00F661B8"/>
  </w:style>
  <w:style w:type="character" w:customStyle="1" w:styleId="Heading3Char">
    <w:name w:val="Heading 3 Char"/>
    <w:basedOn w:val="DefaultParagraphFont"/>
    <w:link w:val="Heading3"/>
    <w:uiPriority w:val="9"/>
    <w:semiHidden/>
    <w:rsid w:val="00A94A76"/>
    <w:rPr>
      <w:rFonts w:asciiTheme="majorHAnsi" w:eastAsiaTheme="majorEastAsia" w:hAnsiTheme="majorHAnsi" w:cstheme="majorBidi"/>
      <w:color w:val="1F4D78" w:themeColor="accent1" w:themeShade="7F"/>
      <w:sz w:val="24"/>
      <w:szCs w:val="24"/>
    </w:rPr>
  </w:style>
  <w:style w:type="paragraph" w:customStyle="1" w:styleId="xl27">
    <w:name w:val="xl27"/>
    <w:basedOn w:val="Normal"/>
    <w:rsid w:val="00786422"/>
    <w:pPr>
      <w:pBdr>
        <w:left w:val="single" w:sz="8" w:space="0" w:color="auto"/>
        <w:right w:val="single" w:sz="8" w:space="0" w:color="auto"/>
      </w:pBdr>
      <w:spacing w:before="100" w:beforeAutospacing="1" w:after="100" w:afterAutospacing="1"/>
      <w:jc w:val="center"/>
      <w:textAlignment w:val="top"/>
    </w:pPr>
    <w:rPr>
      <w:rFonts w:eastAsia="Arial Unicode M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785660">
      <w:bodyDiv w:val="1"/>
      <w:marLeft w:val="0"/>
      <w:marRight w:val="0"/>
      <w:marTop w:val="0"/>
      <w:marBottom w:val="0"/>
      <w:divBdr>
        <w:top w:val="none" w:sz="0" w:space="0" w:color="auto"/>
        <w:left w:val="none" w:sz="0" w:space="0" w:color="auto"/>
        <w:bottom w:val="none" w:sz="0" w:space="0" w:color="auto"/>
        <w:right w:val="none" w:sz="0" w:space="0" w:color="auto"/>
      </w:divBdr>
    </w:div>
    <w:div w:id="873035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268</Words>
  <Characters>1530</Characters>
  <Application>Microsoft Office Word</Application>
  <DocSecurity>0</DocSecurity>
  <Lines>12</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1795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Bunescu</dc:creator>
  <cp:keywords/>
  <dc:description/>
  <cp:lastModifiedBy>Cristina Bunescu</cp:lastModifiedBy>
  <cp:revision>2</cp:revision>
  <cp:lastPrinted>2019-11-06T11:04:00Z</cp:lastPrinted>
  <dcterms:created xsi:type="dcterms:W3CDTF">2019-11-20T13:13:00Z</dcterms:created>
  <dcterms:modified xsi:type="dcterms:W3CDTF">2019-11-20T13:13:00Z</dcterms:modified>
</cp:coreProperties>
</file>