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EB" w:rsidRPr="00685BEB" w:rsidRDefault="00685BEB" w:rsidP="00685BEB">
      <w:pPr>
        <w:pStyle w:val="Heading5"/>
        <w:spacing w:after="160" w:line="360" w:lineRule="auto"/>
        <w:rPr>
          <w:rFonts w:ascii="Times New Roman" w:hAnsi="Times New Roman"/>
          <w:szCs w:val="24"/>
          <w:lang w:val="fr-FR"/>
        </w:rPr>
      </w:pPr>
      <w:r w:rsidRPr="00685BEB">
        <w:rPr>
          <w:rFonts w:ascii="Times New Roman" w:hAnsi="Times New Roman"/>
          <w:szCs w:val="24"/>
          <w:lang w:val="fr-FR"/>
        </w:rPr>
        <w:t xml:space="preserve">ORDIN   nr.  </w:t>
      </w:r>
      <w:r w:rsidR="008954B5">
        <w:rPr>
          <w:rFonts w:ascii="Times New Roman" w:hAnsi="Times New Roman"/>
          <w:szCs w:val="24"/>
          <w:lang w:val="fr-FR"/>
        </w:rPr>
        <w:t xml:space="preserve">       </w:t>
      </w:r>
      <w:r w:rsidRPr="00685BEB">
        <w:rPr>
          <w:rFonts w:ascii="Times New Roman" w:hAnsi="Times New Roman"/>
          <w:szCs w:val="24"/>
          <w:lang w:val="fr-FR"/>
        </w:rPr>
        <w:t xml:space="preserve"> </w:t>
      </w:r>
      <w:proofErr w:type="gramStart"/>
      <w:r w:rsidRPr="00685BEB">
        <w:rPr>
          <w:rFonts w:ascii="Times New Roman" w:hAnsi="Times New Roman"/>
          <w:szCs w:val="24"/>
          <w:lang w:val="fr-FR"/>
        </w:rPr>
        <w:t>din</w:t>
      </w:r>
      <w:proofErr w:type="gramEnd"/>
      <w:r w:rsidRPr="00685BEB">
        <w:rPr>
          <w:rFonts w:ascii="Times New Roman" w:hAnsi="Times New Roman"/>
          <w:szCs w:val="24"/>
          <w:lang w:val="fr-FR"/>
        </w:rPr>
        <w:t xml:space="preserve">  </w:t>
      </w:r>
      <w:r w:rsidR="008954B5">
        <w:rPr>
          <w:rFonts w:ascii="Times New Roman" w:hAnsi="Times New Roman"/>
          <w:szCs w:val="24"/>
          <w:lang w:val="fr-FR"/>
        </w:rPr>
        <w:t xml:space="preserve">     </w:t>
      </w:r>
      <w:r w:rsidR="00316068">
        <w:rPr>
          <w:rFonts w:ascii="Times New Roman" w:hAnsi="Times New Roman"/>
          <w:szCs w:val="24"/>
          <w:lang w:val="fr-FR"/>
        </w:rPr>
        <w:t>.09</w:t>
      </w:r>
      <w:r w:rsidRPr="00685BEB">
        <w:rPr>
          <w:rFonts w:ascii="Times New Roman" w:hAnsi="Times New Roman"/>
          <w:szCs w:val="24"/>
          <w:lang w:val="fr-FR"/>
        </w:rPr>
        <w:t>.</w:t>
      </w:r>
      <w:r w:rsidR="006214B7">
        <w:rPr>
          <w:rFonts w:ascii="Times New Roman" w:hAnsi="Times New Roman"/>
          <w:szCs w:val="24"/>
          <w:lang w:val="fr-FR"/>
        </w:rPr>
        <w:t xml:space="preserve">2023           </w:t>
      </w:r>
    </w:p>
    <w:p w:rsidR="008B67F2" w:rsidRPr="008B67F2" w:rsidRDefault="00685BEB" w:rsidP="00B55484">
      <w:pPr>
        <w:spacing w:line="360" w:lineRule="auto"/>
        <w:jc w:val="center"/>
        <w:rPr>
          <w:rFonts w:ascii="Times New Roman" w:hAnsi="Times New Roman" w:cs="Times New Roman"/>
          <w:b/>
          <w:sz w:val="24"/>
          <w:szCs w:val="24"/>
        </w:rPr>
      </w:pPr>
      <w:proofErr w:type="gramStart"/>
      <w:r w:rsidRPr="00685BEB">
        <w:rPr>
          <w:rFonts w:ascii="Times New Roman" w:hAnsi="Times New Roman" w:cs="Times New Roman"/>
          <w:b/>
          <w:sz w:val="24"/>
          <w:szCs w:val="24"/>
          <w:lang w:val="fr-FR"/>
        </w:rPr>
        <w:t>pentru</w:t>
      </w:r>
      <w:proofErr w:type="gramEnd"/>
      <w:r w:rsidRPr="00685BEB">
        <w:rPr>
          <w:rFonts w:ascii="Times New Roman" w:hAnsi="Times New Roman" w:cs="Times New Roman"/>
          <w:b/>
          <w:sz w:val="24"/>
          <w:szCs w:val="24"/>
          <w:lang w:val="fr-FR"/>
        </w:rPr>
        <w:t xml:space="preserve"> modificarea </w:t>
      </w:r>
      <w:r w:rsidR="008954B5">
        <w:rPr>
          <w:rFonts w:ascii="Times New Roman" w:hAnsi="Times New Roman" w:cs="Times New Roman"/>
          <w:b/>
          <w:sz w:val="24"/>
          <w:szCs w:val="24"/>
        </w:rPr>
        <w:t xml:space="preserve">și completarea </w:t>
      </w:r>
      <w:r w:rsidR="00B96B85">
        <w:rPr>
          <w:rFonts w:ascii="Times New Roman" w:hAnsi="Times New Roman" w:cs="Times New Roman"/>
          <w:b/>
          <w:sz w:val="24"/>
          <w:szCs w:val="24"/>
          <w:lang w:val="fr-FR"/>
        </w:rPr>
        <w:t xml:space="preserve">Metodologiei de stabilire </w:t>
      </w:r>
      <w:r w:rsidR="0049478A" w:rsidRPr="0049478A">
        <w:rPr>
          <w:rFonts w:ascii="Times New Roman" w:hAnsi="Times New Roman" w:cs="Times New Roman"/>
          <w:b/>
          <w:sz w:val="24"/>
          <w:szCs w:val="24"/>
          <w:lang w:val="fr-FR"/>
        </w:rPr>
        <w:t>a regulilor de comercializare a energiei electrice produse în centrale electrice din surse regenerabile cu putere electrică instalată de cel mult 400 kW pe loc de consum aparţinând prosumatorilor</w:t>
      </w:r>
      <w:r w:rsidRPr="00685BEB">
        <w:rPr>
          <w:rFonts w:ascii="Times New Roman" w:hAnsi="Times New Roman" w:cs="Times New Roman"/>
          <w:b/>
          <w:sz w:val="24"/>
          <w:szCs w:val="24"/>
        </w:rPr>
        <w:t>, aprobat</w:t>
      </w:r>
      <w:r w:rsidR="00B96B85">
        <w:rPr>
          <w:rFonts w:ascii="Times New Roman" w:hAnsi="Times New Roman" w:cs="Times New Roman"/>
          <w:b/>
          <w:sz w:val="24"/>
          <w:szCs w:val="24"/>
        </w:rPr>
        <w:t>ă</w:t>
      </w:r>
      <w:r w:rsidRPr="00685BEB">
        <w:rPr>
          <w:rFonts w:ascii="Times New Roman" w:hAnsi="Times New Roman" w:cs="Times New Roman"/>
          <w:b/>
          <w:sz w:val="24"/>
          <w:szCs w:val="24"/>
        </w:rPr>
        <w:t xml:space="preserve"> prin Ordinul </w:t>
      </w:r>
      <w:r w:rsidR="005760A9" w:rsidRPr="005760A9">
        <w:rPr>
          <w:rFonts w:ascii="Times New Roman" w:hAnsi="Times New Roman" w:cs="Times New Roman"/>
          <w:b/>
          <w:sz w:val="24"/>
          <w:szCs w:val="24"/>
        </w:rPr>
        <w:t>președintelui Autorității Naționale de Reglementare în Domeniul Energiei</w:t>
      </w:r>
      <w:r w:rsidRPr="00685BEB">
        <w:rPr>
          <w:rFonts w:ascii="Times New Roman" w:hAnsi="Times New Roman" w:cs="Times New Roman"/>
          <w:b/>
          <w:sz w:val="24"/>
          <w:szCs w:val="24"/>
        </w:rPr>
        <w:t xml:space="preserve"> nr. </w:t>
      </w:r>
      <w:r w:rsidR="0049478A">
        <w:rPr>
          <w:rFonts w:ascii="Times New Roman" w:hAnsi="Times New Roman" w:cs="Times New Roman"/>
          <w:b/>
          <w:sz w:val="24"/>
          <w:szCs w:val="24"/>
        </w:rPr>
        <w:t>15</w:t>
      </w:r>
      <w:r w:rsidRPr="00685BEB">
        <w:rPr>
          <w:rFonts w:ascii="Times New Roman" w:hAnsi="Times New Roman" w:cs="Times New Roman"/>
          <w:b/>
          <w:sz w:val="24"/>
          <w:szCs w:val="24"/>
        </w:rPr>
        <w:t>/20</w:t>
      </w:r>
      <w:r w:rsidR="00B96B85">
        <w:rPr>
          <w:rFonts w:ascii="Times New Roman" w:hAnsi="Times New Roman" w:cs="Times New Roman"/>
          <w:b/>
          <w:sz w:val="24"/>
          <w:szCs w:val="24"/>
        </w:rPr>
        <w:t>22</w:t>
      </w:r>
    </w:p>
    <w:p w:rsidR="00685BEB" w:rsidRPr="00685BEB" w:rsidRDefault="00685BEB" w:rsidP="00685BEB">
      <w:pPr>
        <w:spacing w:line="360" w:lineRule="auto"/>
        <w:jc w:val="both"/>
        <w:rPr>
          <w:rFonts w:ascii="Times New Roman" w:hAnsi="Times New Roman" w:cs="Times New Roman"/>
          <w:b/>
          <w:sz w:val="24"/>
          <w:szCs w:val="24"/>
        </w:rPr>
      </w:pPr>
      <w:r w:rsidRPr="00685BEB">
        <w:rPr>
          <w:rFonts w:ascii="Times New Roman" w:hAnsi="Times New Roman" w:cs="Times New Roman"/>
          <w:sz w:val="24"/>
          <w:szCs w:val="24"/>
        </w:rPr>
        <w:t xml:space="preserve">Având în vedere </w:t>
      </w:r>
      <w:r w:rsidRPr="00B03453">
        <w:rPr>
          <w:rFonts w:ascii="Times New Roman" w:hAnsi="Times New Roman" w:cs="Times New Roman"/>
          <w:sz w:val="24"/>
          <w:szCs w:val="24"/>
        </w:rPr>
        <w:t xml:space="preserve">prevederile </w:t>
      </w:r>
      <w:r w:rsidR="00D53020" w:rsidRPr="000A1E06">
        <w:rPr>
          <w:rFonts w:ascii="Times New Roman" w:hAnsi="Times New Roman" w:cs="Times New Roman"/>
          <w:sz w:val="24"/>
          <w:szCs w:val="24"/>
        </w:rPr>
        <w:t xml:space="preserve">art. </w:t>
      </w:r>
      <w:r w:rsidR="00BE6288">
        <w:rPr>
          <w:rFonts w:ascii="Times New Roman" w:hAnsi="Times New Roman" w:cs="Times New Roman"/>
          <w:sz w:val="24"/>
          <w:szCs w:val="24"/>
        </w:rPr>
        <w:t>1</w:t>
      </w:r>
      <w:r w:rsidR="009F4730">
        <w:rPr>
          <w:rFonts w:ascii="Times New Roman" w:hAnsi="Times New Roman" w:cs="Times New Roman"/>
          <w:sz w:val="24"/>
          <w:szCs w:val="24"/>
        </w:rPr>
        <w:t xml:space="preserve"> – 3, ale art. 7</w:t>
      </w:r>
      <w:r w:rsidR="009F4730">
        <w:rPr>
          <w:rFonts w:ascii="Times New Roman" w:hAnsi="Times New Roman" w:cs="Times New Roman"/>
          <w:sz w:val="24"/>
          <w:szCs w:val="24"/>
          <w:vertAlign w:val="superscript"/>
        </w:rPr>
        <w:t>1</w:t>
      </w:r>
      <w:r w:rsidR="009F4730">
        <w:rPr>
          <w:rFonts w:ascii="Times New Roman" w:hAnsi="Times New Roman" w:cs="Times New Roman"/>
          <w:sz w:val="24"/>
          <w:szCs w:val="24"/>
        </w:rPr>
        <w:t xml:space="preserve"> din Ordonanța de urgență a Guvernului nr. 27/2022 </w:t>
      </w:r>
      <w:r w:rsidR="009F4730" w:rsidRPr="009F4730">
        <w:rPr>
          <w:rFonts w:ascii="Times New Roman" w:hAnsi="Times New Roman" w:cs="Times New Roman"/>
          <w:sz w:val="24"/>
          <w:szCs w:val="24"/>
        </w:rPr>
        <w:t>privind măsurile aplicabile clienţilor finali din piaţa de energie electrică şi gaze naturale  în perioada 1 aprilie 2022-31 martie 2023, precum şi pentru modificarea şi completarea  unor acte normative din domeniul energiei</w:t>
      </w:r>
      <w:r w:rsidR="0030578C">
        <w:rPr>
          <w:rFonts w:ascii="Times New Roman" w:hAnsi="Times New Roman" w:cs="Times New Roman"/>
          <w:sz w:val="24"/>
          <w:szCs w:val="24"/>
        </w:rPr>
        <w:t>,</w:t>
      </w:r>
      <w:r w:rsidR="009F4730">
        <w:rPr>
          <w:rFonts w:ascii="Times New Roman" w:hAnsi="Times New Roman" w:cs="Times New Roman"/>
          <w:sz w:val="24"/>
          <w:szCs w:val="24"/>
        </w:rPr>
        <w:t xml:space="preserve"> cu modificările și completările ulterioare, ale art. 21 alin. (2), litera a) din Ordonanța de urgență a Guvernului nr. 163/2022 pentru completarea cadrului legal de promovare a utilizării energiei din surse regenerabile, precum și pentru modificarea și ompletarea unor acte normative, precum și prevederile art. 3 pct. 95 din Legea energiei electice și a gazelor naturale nr. 123/2012, cu modificările și completările ulterioare, </w:t>
      </w:r>
    </w:p>
    <w:p w:rsidR="00685BEB" w:rsidRPr="00685BEB" w:rsidRDefault="00685BEB" w:rsidP="00685BEB">
      <w:pPr>
        <w:spacing w:line="360" w:lineRule="auto"/>
        <w:jc w:val="both"/>
        <w:rPr>
          <w:rFonts w:ascii="Times New Roman" w:hAnsi="Times New Roman" w:cs="Times New Roman"/>
          <w:sz w:val="24"/>
          <w:szCs w:val="24"/>
        </w:rPr>
      </w:pPr>
      <w:r w:rsidRPr="00685BEB">
        <w:rPr>
          <w:rFonts w:ascii="Times New Roman" w:hAnsi="Times New Roman" w:cs="Times New Roman"/>
          <w:sz w:val="24"/>
          <w:szCs w:val="24"/>
        </w:rPr>
        <w:t xml:space="preserve">în temeiul prevederilor art. </w:t>
      </w:r>
      <w:r w:rsidR="00A266BC">
        <w:rPr>
          <w:rFonts w:ascii="Times New Roman" w:hAnsi="Times New Roman" w:cs="Times New Roman"/>
          <w:sz w:val="24"/>
          <w:szCs w:val="24"/>
        </w:rPr>
        <w:t xml:space="preserve">5 alin. (1) lit. c) și </w:t>
      </w:r>
      <w:r w:rsidR="007B19C3">
        <w:rPr>
          <w:rFonts w:ascii="Times New Roman" w:hAnsi="Times New Roman" w:cs="Times New Roman"/>
          <w:sz w:val="24"/>
          <w:szCs w:val="24"/>
        </w:rPr>
        <w:t xml:space="preserve">alin. (5) și </w:t>
      </w:r>
      <w:r w:rsidR="00A266BC">
        <w:rPr>
          <w:rFonts w:ascii="Times New Roman" w:hAnsi="Times New Roman" w:cs="Times New Roman"/>
          <w:sz w:val="24"/>
          <w:szCs w:val="24"/>
        </w:rPr>
        <w:t xml:space="preserve">ale art. </w:t>
      </w:r>
      <w:r w:rsidRPr="00685BEB">
        <w:rPr>
          <w:rFonts w:ascii="Times New Roman" w:hAnsi="Times New Roman" w:cs="Times New Roman"/>
          <w:sz w:val="24"/>
          <w:szCs w:val="24"/>
        </w:rPr>
        <w:t xml:space="preserve">9 alin.(1) lit. x) din Ordonanţa de urgenţă a Guvernului nr. 33/2007 privind organizarea şi funcţionarea </w:t>
      </w:r>
      <w:r w:rsidR="005760A9" w:rsidRPr="00685BEB">
        <w:rPr>
          <w:rFonts w:ascii="Times New Roman" w:hAnsi="Times New Roman" w:cs="Times New Roman"/>
          <w:sz w:val="24"/>
          <w:szCs w:val="24"/>
        </w:rPr>
        <w:t>Autorității Naționale de Reglementare în Domeniul Energiei</w:t>
      </w:r>
      <w:r w:rsidRPr="00685BEB">
        <w:rPr>
          <w:rFonts w:ascii="Times New Roman" w:hAnsi="Times New Roman" w:cs="Times New Roman"/>
          <w:sz w:val="24"/>
          <w:szCs w:val="24"/>
        </w:rPr>
        <w:t>, aprobată cu modificări şi comp</w:t>
      </w:r>
      <w:r w:rsidR="001B6EC8">
        <w:rPr>
          <w:rFonts w:ascii="Times New Roman" w:hAnsi="Times New Roman" w:cs="Times New Roman"/>
          <w:sz w:val="24"/>
          <w:szCs w:val="24"/>
        </w:rPr>
        <w:t>letări prin Legea nr. 160/2012,</w:t>
      </w:r>
      <w:r w:rsidR="005760A9">
        <w:rPr>
          <w:rFonts w:ascii="Times New Roman" w:hAnsi="Times New Roman" w:cs="Times New Roman"/>
          <w:sz w:val="24"/>
          <w:szCs w:val="24"/>
        </w:rPr>
        <w:t xml:space="preserve"> cu modificările și completările ulterioare,</w:t>
      </w:r>
    </w:p>
    <w:p w:rsidR="00685BEB" w:rsidRPr="001B6EC8" w:rsidRDefault="00685BEB" w:rsidP="001B6EC8">
      <w:pPr>
        <w:spacing w:line="360" w:lineRule="auto"/>
        <w:jc w:val="both"/>
        <w:outlineLvl w:val="0"/>
        <w:rPr>
          <w:rFonts w:ascii="Times New Roman" w:hAnsi="Times New Roman" w:cs="Times New Roman"/>
          <w:b/>
          <w:sz w:val="24"/>
          <w:szCs w:val="24"/>
        </w:rPr>
      </w:pPr>
      <w:r w:rsidRPr="00685BEB">
        <w:rPr>
          <w:rFonts w:ascii="Times New Roman" w:hAnsi="Times New Roman" w:cs="Times New Roman"/>
          <w:b/>
          <w:sz w:val="24"/>
          <w:szCs w:val="24"/>
        </w:rPr>
        <w:t>Preşedintele Autorităţii Naţionale de Reglementare în Domeniul Energiei emite prezentul ordin</w:t>
      </w:r>
      <w:r w:rsidR="0026586E">
        <w:rPr>
          <w:rFonts w:ascii="Times New Roman" w:hAnsi="Times New Roman" w:cs="Times New Roman"/>
          <w:b/>
          <w:sz w:val="24"/>
          <w:szCs w:val="24"/>
        </w:rPr>
        <w:t>:</w:t>
      </w:r>
    </w:p>
    <w:p w:rsidR="000F5DE6" w:rsidRPr="00861DED" w:rsidRDefault="00EC1C5B" w:rsidP="00685BEB">
      <w:pPr>
        <w:pStyle w:val="ListParagraph"/>
        <w:numPr>
          <w:ilvl w:val="0"/>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96B85">
        <w:rPr>
          <w:rFonts w:ascii="Times New Roman" w:hAnsi="Times New Roman" w:cs="Times New Roman"/>
          <w:sz w:val="24"/>
          <w:szCs w:val="24"/>
        </w:rPr>
        <w:t>M</w:t>
      </w:r>
      <w:r w:rsidR="0049478A">
        <w:rPr>
          <w:rFonts w:ascii="Times New Roman" w:hAnsi="Times New Roman" w:cs="Times New Roman"/>
          <w:sz w:val="24"/>
          <w:szCs w:val="24"/>
        </w:rPr>
        <w:t>e</w:t>
      </w:r>
      <w:r w:rsidR="00B96B85">
        <w:rPr>
          <w:rFonts w:ascii="Times New Roman" w:hAnsi="Times New Roman" w:cs="Times New Roman"/>
          <w:sz w:val="24"/>
          <w:szCs w:val="24"/>
        </w:rPr>
        <w:t xml:space="preserve">todologia </w:t>
      </w:r>
      <w:r w:rsidR="006D1386" w:rsidRPr="006D1386">
        <w:rPr>
          <w:rFonts w:ascii="Times New Roman" w:hAnsi="Times New Roman" w:cs="Times New Roman"/>
          <w:sz w:val="24"/>
          <w:szCs w:val="24"/>
        </w:rPr>
        <w:t xml:space="preserve">de stabilire a </w:t>
      </w:r>
      <w:r w:rsidR="00BF245A">
        <w:rPr>
          <w:rFonts w:ascii="Times New Roman" w:hAnsi="Times New Roman" w:cs="Times New Roman"/>
          <w:sz w:val="24"/>
          <w:szCs w:val="24"/>
        </w:rPr>
        <w:t xml:space="preserve">regulilor </w:t>
      </w:r>
      <w:r w:rsidR="000B4913">
        <w:rPr>
          <w:rFonts w:ascii="Times New Roman" w:hAnsi="Times New Roman" w:cs="Times New Roman"/>
          <w:sz w:val="24"/>
          <w:szCs w:val="24"/>
        </w:rPr>
        <w:t>de comercializare a energiei electrice produse în centrale electrie din surse regenerabile cu putere electrică nstalată de ce mult 400 kW pe loc de consum aparținând prosumatorilor</w:t>
      </w:r>
      <w:r w:rsidR="00685BEB" w:rsidRPr="00685BEB">
        <w:rPr>
          <w:rFonts w:ascii="Times New Roman" w:hAnsi="Times New Roman" w:cs="Times New Roman"/>
          <w:sz w:val="24"/>
          <w:szCs w:val="24"/>
        </w:rPr>
        <w:t xml:space="preserve"> aprobat</w:t>
      </w:r>
      <w:r w:rsidR="006D1386">
        <w:rPr>
          <w:rFonts w:ascii="Times New Roman" w:hAnsi="Times New Roman" w:cs="Times New Roman"/>
          <w:sz w:val="24"/>
          <w:szCs w:val="24"/>
        </w:rPr>
        <w:t>ă</w:t>
      </w:r>
      <w:r w:rsidR="00685BEB" w:rsidRPr="00685BEB">
        <w:rPr>
          <w:rFonts w:ascii="Times New Roman" w:hAnsi="Times New Roman" w:cs="Times New Roman"/>
          <w:sz w:val="24"/>
          <w:szCs w:val="24"/>
        </w:rPr>
        <w:t xml:space="preserve"> prin Ordinul președintelui Autorității Naționale de Reglementare în Domeniul Energiei nr. </w:t>
      </w:r>
      <w:r w:rsidR="00C23A6D">
        <w:rPr>
          <w:rFonts w:ascii="Times New Roman" w:hAnsi="Times New Roman" w:cs="Times New Roman"/>
          <w:sz w:val="24"/>
          <w:szCs w:val="24"/>
        </w:rPr>
        <w:t>15</w:t>
      </w:r>
      <w:r w:rsidR="00685BEB" w:rsidRPr="00685BEB">
        <w:rPr>
          <w:rFonts w:ascii="Times New Roman" w:hAnsi="Times New Roman" w:cs="Times New Roman"/>
          <w:sz w:val="24"/>
          <w:szCs w:val="24"/>
        </w:rPr>
        <w:t>/20</w:t>
      </w:r>
      <w:r w:rsidR="006D1386">
        <w:rPr>
          <w:rFonts w:ascii="Times New Roman" w:hAnsi="Times New Roman" w:cs="Times New Roman"/>
          <w:sz w:val="24"/>
          <w:szCs w:val="24"/>
        </w:rPr>
        <w:t>22</w:t>
      </w:r>
      <w:r w:rsidR="00685BEB" w:rsidRPr="00685BEB">
        <w:rPr>
          <w:rFonts w:ascii="Times New Roman" w:hAnsi="Times New Roman" w:cs="Times New Roman"/>
          <w:sz w:val="24"/>
          <w:szCs w:val="24"/>
        </w:rPr>
        <w:t xml:space="preserve">, publicat în Monitorul Oficial al României, Partea I, nr. </w:t>
      </w:r>
      <w:r w:rsidR="00C23A6D">
        <w:rPr>
          <w:rFonts w:ascii="Times New Roman" w:hAnsi="Times New Roman" w:cs="Times New Roman"/>
          <w:sz w:val="24"/>
          <w:szCs w:val="24"/>
        </w:rPr>
        <w:t xml:space="preserve">215 </w:t>
      </w:r>
      <w:r w:rsidR="00685BEB" w:rsidRPr="00685BEB">
        <w:rPr>
          <w:rFonts w:ascii="Times New Roman" w:hAnsi="Times New Roman" w:cs="Times New Roman"/>
          <w:sz w:val="24"/>
          <w:szCs w:val="24"/>
        </w:rPr>
        <w:t xml:space="preserve">din </w:t>
      </w:r>
      <w:r w:rsidR="00C23A6D">
        <w:rPr>
          <w:rFonts w:ascii="Times New Roman" w:hAnsi="Times New Roman" w:cs="Times New Roman"/>
          <w:sz w:val="24"/>
          <w:szCs w:val="24"/>
        </w:rPr>
        <w:t>04 martie 2022</w:t>
      </w:r>
      <w:r w:rsidR="00685BEB" w:rsidRPr="00685BEB">
        <w:rPr>
          <w:rFonts w:ascii="Times New Roman" w:hAnsi="Times New Roman" w:cs="Times New Roman"/>
          <w:sz w:val="24"/>
          <w:szCs w:val="24"/>
        </w:rPr>
        <w:t xml:space="preserve">, </w:t>
      </w:r>
      <w:r w:rsidR="007B19C3">
        <w:rPr>
          <w:rFonts w:ascii="Times New Roman" w:hAnsi="Times New Roman" w:cs="Times New Roman"/>
          <w:sz w:val="24"/>
          <w:szCs w:val="24"/>
        </w:rPr>
        <w:t>cu modificările și completările ulterioare</w:t>
      </w:r>
      <w:r w:rsidR="0018479E">
        <w:rPr>
          <w:rFonts w:ascii="Times New Roman" w:hAnsi="Times New Roman" w:cs="Times New Roman"/>
          <w:sz w:val="24"/>
          <w:szCs w:val="24"/>
        </w:rPr>
        <w:t xml:space="preserve">, </w:t>
      </w:r>
      <w:r w:rsidR="00685BEB" w:rsidRPr="00685BEB">
        <w:rPr>
          <w:rFonts w:ascii="Times New Roman" w:hAnsi="Times New Roman" w:cs="Times New Roman"/>
          <w:sz w:val="24"/>
          <w:szCs w:val="24"/>
        </w:rPr>
        <w:t xml:space="preserve">se modifică </w:t>
      </w:r>
      <w:r w:rsidR="008954B5">
        <w:rPr>
          <w:rFonts w:ascii="Times New Roman" w:hAnsi="Times New Roman" w:cs="Times New Roman"/>
          <w:sz w:val="24"/>
          <w:szCs w:val="24"/>
        </w:rPr>
        <w:t xml:space="preserve">și se completează, </w:t>
      </w:r>
      <w:r w:rsidR="00685BEB" w:rsidRPr="00685BEB">
        <w:rPr>
          <w:rFonts w:ascii="Times New Roman" w:hAnsi="Times New Roman" w:cs="Times New Roman"/>
          <w:sz w:val="24"/>
          <w:szCs w:val="24"/>
        </w:rPr>
        <w:t>după cum urmează</w:t>
      </w:r>
      <w:r w:rsidR="00685BEB" w:rsidRPr="00685BEB">
        <w:rPr>
          <w:rFonts w:ascii="Times New Roman" w:hAnsi="Times New Roman" w:cs="Times New Roman"/>
          <w:sz w:val="24"/>
          <w:szCs w:val="24"/>
          <w:lang w:val="en-US"/>
        </w:rPr>
        <w:t>:</w:t>
      </w:r>
    </w:p>
    <w:p w:rsidR="00861DED" w:rsidRPr="00685BEB" w:rsidRDefault="00861DED" w:rsidP="00861DED">
      <w:pPr>
        <w:pStyle w:val="ListParagraph"/>
        <w:spacing w:line="360" w:lineRule="auto"/>
        <w:ind w:left="0"/>
        <w:jc w:val="both"/>
        <w:rPr>
          <w:rFonts w:ascii="Times New Roman" w:hAnsi="Times New Roman" w:cs="Times New Roman"/>
          <w:sz w:val="24"/>
          <w:szCs w:val="24"/>
        </w:rPr>
      </w:pPr>
    </w:p>
    <w:p w:rsidR="00BE6592" w:rsidRPr="00BE6592" w:rsidRDefault="00BE6592" w:rsidP="00BE6592">
      <w:pPr>
        <w:pStyle w:val="ListParagraph"/>
        <w:numPr>
          <w:ilvl w:val="0"/>
          <w:numId w:val="1"/>
        </w:numPr>
        <w:spacing w:after="0" w:line="360" w:lineRule="auto"/>
        <w:ind w:left="357" w:hanging="357"/>
        <w:jc w:val="both"/>
        <w:rPr>
          <w:rFonts w:ascii="Times New Roman" w:hAnsi="Times New Roman" w:cs="Times New Roman"/>
          <w:sz w:val="24"/>
          <w:szCs w:val="24"/>
        </w:rPr>
      </w:pPr>
      <w:bookmarkStart w:id="0" w:name="_Hlk128474271"/>
      <w:r>
        <w:rPr>
          <w:rFonts w:ascii="Times New Roman" w:hAnsi="Times New Roman" w:cs="Times New Roman"/>
          <w:sz w:val="24"/>
          <w:szCs w:val="24"/>
        </w:rPr>
        <w:t>T</w:t>
      </w:r>
      <w:r w:rsidRPr="00BE6592">
        <w:rPr>
          <w:rFonts w:ascii="Times New Roman" w:hAnsi="Times New Roman" w:cs="Times New Roman"/>
          <w:sz w:val="24"/>
          <w:szCs w:val="24"/>
        </w:rPr>
        <w:t xml:space="preserve">itlul ordinului </w:t>
      </w:r>
      <w:r>
        <w:rPr>
          <w:rFonts w:ascii="Times New Roman" w:hAnsi="Times New Roman" w:cs="Times New Roman"/>
          <w:sz w:val="24"/>
          <w:szCs w:val="24"/>
        </w:rPr>
        <w:t>se modifică și va avea următorul cuprins:</w:t>
      </w:r>
      <w:r w:rsidRPr="00BE6592">
        <w:rPr>
          <w:rFonts w:ascii="Times New Roman" w:hAnsi="Times New Roman" w:cs="Times New Roman"/>
          <w:sz w:val="24"/>
          <w:szCs w:val="24"/>
        </w:rPr>
        <w:t xml:space="preserve"> „</w:t>
      </w:r>
      <w:r>
        <w:rPr>
          <w:rFonts w:ascii="Times New Roman" w:hAnsi="Times New Roman" w:cs="Times New Roman"/>
          <w:sz w:val="24"/>
          <w:szCs w:val="24"/>
        </w:rPr>
        <w:t>Meto</w:t>
      </w:r>
      <w:r w:rsidRPr="00BE6592">
        <w:rPr>
          <w:rFonts w:ascii="Times New Roman" w:hAnsi="Times New Roman" w:cs="Times New Roman"/>
          <w:sz w:val="24"/>
          <w:szCs w:val="24"/>
        </w:rPr>
        <w:t>d</w:t>
      </w:r>
      <w:r w:rsidR="0041697B">
        <w:rPr>
          <w:rFonts w:ascii="Times New Roman" w:hAnsi="Times New Roman" w:cs="Times New Roman"/>
          <w:sz w:val="24"/>
          <w:szCs w:val="24"/>
        </w:rPr>
        <w:t>ologia de</w:t>
      </w:r>
      <w:r w:rsidRPr="00BE6592">
        <w:rPr>
          <w:rFonts w:ascii="Times New Roman" w:hAnsi="Times New Roman" w:cs="Times New Roman"/>
          <w:sz w:val="24"/>
          <w:szCs w:val="24"/>
        </w:rPr>
        <w:t xml:space="preserve"> stabilire a regulilor de comercializare a energiei electrice produse în centrale electrice din surse regenerabile cu putere electrică instalată de cel mult 400 kW pe loc de consum aparţinând</w:t>
      </w:r>
      <w:r w:rsidR="0041697B">
        <w:rPr>
          <w:rFonts w:ascii="Times New Roman" w:hAnsi="Times New Roman" w:cs="Times New Roman"/>
          <w:sz w:val="24"/>
          <w:szCs w:val="24"/>
        </w:rPr>
        <w:t xml:space="preserve"> prosumatorilor </w:t>
      </w:r>
      <w:bookmarkStart w:id="1" w:name="_Hlk145319308"/>
      <w:r w:rsidR="0041697B">
        <w:rPr>
          <w:rFonts w:ascii="Times New Roman" w:hAnsi="Times New Roman" w:cs="Times New Roman"/>
          <w:sz w:val="24"/>
          <w:szCs w:val="24"/>
        </w:rPr>
        <w:t xml:space="preserve">și a </w:t>
      </w:r>
      <w:r w:rsidR="0041697B" w:rsidRPr="0041697B">
        <w:rPr>
          <w:rFonts w:ascii="Times New Roman" w:hAnsi="Times New Roman" w:cs="Times New Roman"/>
          <w:sz w:val="24"/>
          <w:szCs w:val="24"/>
        </w:rPr>
        <w:t xml:space="preserve">modului de decontare a energiei electrice produse și livrate la un loc de </w:t>
      </w:r>
      <w:r w:rsidR="0041697B" w:rsidRPr="0041697B">
        <w:rPr>
          <w:rFonts w:ascii="Times New Roman" w:hAnsi="Times New Roman" w:cs="Times New Roman"/>
          <w:sz w:val="24"/>
          <w:szCs w:val="24"/>
        </w:rPr>
        <w:lastRenderedPageBreak/>
        <w:t>producere și consum cu energia electrică consumată din rețea pentru alte locuri de producere și consum / locuri de consum ale prosumatorilor, indiferent de puterea electrică instalată la locurile acestora</w:t>
      </w:r>
      <w:bookmarkEnd w:id="1"/>
      <w:r w:rsidRPr="00BE6592">
        <w:rPr>
          <w:rFonts w:ascii="Times New Roman" w:hAnsi="Times New Roman" w:cs="Times New Roman"/>
          <w:sz w:val="24"/>
          <w:szCs w:val="24"/>
        </w:rPr>
        <w:t xml:space="preserve">”. </w:t>
      </w:r>
    </w:p>
    <w:p w:rsidR="00BE6592" w:rsidRDefault="00BE6592" w:rsidP="00861DED">
      <w:pPr>
        <w:pStyle w:val="ListParagraph"/>
        <w:spacing w:line="360" w:lineRule="auto"/>
        <w:ind w:left="360"/>
        <w:jc w:val="both"/>
        <w:rPr>
          <w:rFonts w:ascii="Times New Roman" w:hAnsi="Times New Roman" w:cs="Times New Roman"/>
          <w:b/>
          <w:sz w:val="24"/>
          <w:szCs w:val="24"/>
        </w:rPr>
      </w:pPr>
    </w:p>
    <w:p w:rsidR="00673A5F" w:rsidRPr="00673A5F" w:rsidRDefault="00673A5F" w:rsidP="00685BE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articolul </w:t>
      </w:r>
      <w:r w:rsidR="00DC2438">
        <w:rPr>
          <w:rFonts w:ascii="Times New Roman" w:hAnsi="Times New Roman" w:cs="Times New Roman"/>
          <w:b/>
          <w:sz w:val="24"/>
          <w:szCs w:val="24"/>
        </w:rPr>
        <w:t>1</w:t>
      </w:r>
      <w:r w:rsidR="0030578C">
        <w:rPr>
          <w:rFonts w:ascii="Times New Roman" w:hAnsi="Times New Roman" w:cs="Times New Roman"/>
          <w:b/>
          <w:sz w:val="24"/>
          <w:szCs w:val="24"/>
        </w:rPr>
        <w:t xml:space="preserve">, </w:t>
      </w:r>
      <w:r w:rsidR="00DC2438">
        <w:rPr>
          <w:rFonts w:ascii="Times New Roman" w:hAnsi="Times New Roman" w:cs="Times New Roman"/>
          <w:b/>
          <w:sz w:val="24"/>
          <w:szCs w:val="24"/>
        </w:rPr>
        <w:t>după</w:t>
      </w:r>
      <w:r w:rsidR="0030578C">
        <w:rPr>
          <w:rFonts w:ascii="Times New Roman" w:hAnsi="Times New Roman" w:cs="Times New Roman"/>
          <w:b/>
          <w:sz w:val="24"/>
          <w:szCs w:val="24"/>
        </w:rPr>
        <w:t xml:space="preserve"> litera </w:t>
      </w:r>
      <w:r w:rsidR="001342EC">
        <w:rPr>
          <w:rFonts w:ascii="Times New Roman" w:hAnsi="Times New Roman" w:cs="Times New Roman"/>
          <w:b/>
          <w:sz w:val="24"/>
          <w:szCs w:val="24"/>
        </w:rPr>
        <w:t>e</w:t>
      </w:r>
      <w:r w:rsidR="0030578C">
        <w:rPr>
          <w:rFonts w:ascii="Times New Roman" w:hAnsi="Times New Roman" w:cs="Times New Roman"/>
          <w:b/>
          <w:sz w:val="24"/>
          <w:szCs w:val="24"/>
        </w:rPr>
        <w:t xml:space="preserve">) se </w:t>
      </w:r>
      <w:r w:rsidR="00DC2438">
        <w:rPr>
          <w:rFonts w:ascii="Times New Roman" w:hAnsi="Times New Roman" w:cs="Times New Roman"/>
          <w:b/>
          <w:sz w:val="24"/>
          <w:szCs w:val="24"/>
        </w:rPr>
        <w:t xml:space="preserve">introduce o nouă literă, litera </w:t>
      </w:r>
      <w:r w:rsidR="00510C31">
        <w:rPr>
          <w:rFonts w:ascii="Times New Roman" w:hAnsi="Times New Roman" w:cs="Times New Roman"/>
          <w:b/>
          <w:sz w:val="24"/>
          <w:szCs w:val="24"/>
        </w:rPr>
        <w:t>f</w:t>
      </w:r>
      <w:r w:rsidR="00DC2438">
        <w:rPr>
          <w:rFonts w:ascii="Times New Roman" w:hAnsi="Times New Roman" w:cs="Times New Roman"/>
          <w:b/>
          <w:sz w:val="24"/>
          <w:szCs w:val="24"/>
        </w:rPr>
        <w:t xml:space="preserve">), </w:t>
      </w:r>
      <w:r w:rsidR="00DD2493">
        <w:rPr>
          <w:rFonts w:ascii="Times New Roman" w:hAnsi="Times New Roman" w:cs="Times New Roman"/>
          <w:b/>
          <w:sz w:val="24"/>
          <w:szCs w:val="24"/>
        </w:rPr>
        <w:t>cu</w:t>
      </w:r>
      <w:r>
        <w:rPr>
          <w:rFonts w:ascii="Times New Roman" w:hAnsi="Times New Roman" w:cs="Times New Roman"/>
          <w:b/>
          <w:sz w:val="24"/>
          <w:szCs w:val="24"/>
        </w:rPr>
        <w:t xml:space="preserve"> următorul cuprins</w:t>
      </w:r>
      <w:r>
        <w:rPr>
          <w:rFonts w:ascii="Times New Roman" w:hAnsi="Times New Roman" w:cs="Times New Roman"/>
          <w:b/>
          <w:sz w:val="24"/>
          <w:szCs w:val="24"/>
          <w:lang w:val="en-US"/>
        </w:rPr>
        <w:t>:</w:t>
      </w:r>
    </w:p>
    <w:p w:rsidR="00DD5A3A" w:rsidRDefault="00673A5F" w:rsidP="00DD5A3A">
      <w:pPr>
        <w:pStyle w:val="ListParagraph"/>
        <w:spacing w:line="360" w:lineRule="auto"/>
        <w:ind w:left="360"/>
        <w:jc w:val="both"/>
        <w:rPr>
          <w:rFonts w:ascii="Times New Roman" w:hAnsi="Times New Roman" w:cs="Times New Roman"/>
          <w:sz w:val="24"/>
          <w:szCs w:val="24"/>
          <w:lang w:val="en-US"/>
        </w:rPr>
      </w:pPr>
      <w:r w:rsidRPr="00673A5F">
        <w:rPr>
          <w:rFonts w:ascii="Times New Roman" w:hAnsi="Times New Roman" w:cs="Times New Roman"/>
          <w:sz w:val="24"/>
          <w:szCs w:val="24"/>
        </w:rPr>
        <w:t>„</w:t>
      </w:r>
      <w:r w:rsidR="00510C31">
        <w:rPr>
          <w:rFonts w:ascii="Times New Roman" w:hAnsi="Times New Roman" w:cs="Times New Roman"/>
          <w:sz w:val="24"/>
          <w:szCs w:val="24"/>
          <w:lang w:val="en-US"/>
        </w:rPr>
        <w:t>f</w:t>
      </w:r>
      <w:r w:rsidR="00DC2438" w:rsidRPr="00DC2438">
        <w:rPr>
          <w:rFonts w:ascii="Times New Roman" w:hAnsi="Times New Roman" w:cs="Times New Roman"/>
          <w:sz w:val="24"/>
          <w:szCs w:val="24"/>
          <w:lang w:val="en-US"/>
        </w:rPr>
        <w:t>)</w:t>
      </w:r>
      <w:r w:rsidR="00510C31" w:rsidRPr="00510C31">
        <w:t xml:space="preserve"> </w:t>
      </w:r>
      <w:r w:rsidR="00861DED" w:rsidRPr="00861DED">
        <w:rPr>
          <w:rFonts w:ascii="Times New Roman" w:hAnsi="Times New Roman" w:cs="Times New Roman"/>
          <w:sz w:val="24"/>
          <w:szCs w:val="24"/>
          <w:lang w:val="en-US"/>
        </w:rPr>
        <w:t>detalierea modului de decontare a energiei electrice produse și livrate la un loc de producere și consum cu energia electrică consumată din rețea pentru alte locuri de producere și consum / locuri de consum ale prosumatorilor, indiferent de puterea electrică instalată la locurile acestora, dacă prosumatorii respectivi sunt certificați în acest sens conform prevederilor prezentei Metodologii sau a altor reglementări ANRE în vigoare</w:t>
      </w:r>
      <w:r w:rsidR="00C411D9">
        <w:rPr>
          <w:rFonts w:ascii="Times New Roman" w:hAnsi="Times New Roman" w:cs="Times New Roman"/>
          <w:sz w:val="24"/>
          <w:szCs w:val="24"/>
          <w:lang w:val="en-US"/>
        </w:rPr>
        <w:t>.</w:t>
      </w:r>
      <w:r>
        <w:rPr>
          <w:rFonts w:ascii="Times New Roman" w:hAnsi="Times New Roman" w:cs="Times New Roman"/>
          <w:sz w:val="24"/>
          <w:szCs w:val="24"/>
          <w:lang w:val="en-US"/>
        </w:rPr>
        <w:t>”</w:t>
      </w:r>
    </w:p>
    <w:p w:rsidR="00DD5A3A" w:rsidRPr="00DD5A3A" w:rsidRDefault="00DD5A3A" w:rsidP="00DD5A3A">
      <w:pPr>
        <w:pStyle w:val="ListParagraph"/>
        <w:spacing w:line="360" w:lineRule="auto"/>
        <w:ind w:left="360"/>
        <w:jc w:val="both"/>
        <w:rPr>
          <w:rFonts w:ascii="Times New Roman" w:hAnsi="Times New Roman" w:cs="Times New Roman"/>
          <w:sz w:val="24"/>
          <w:szCs w:val="24"/>
          <w:lang w:val="en-US"/>
        </w:rPr>
      </w:pPr>
    </w:p>
    <w:bookmarkEnd w:id="0"/>
    <w:p w:rsidR="00DC2438" w:rsidRPr="00DC2438" w:rsidRDefault="00DC2438" w:rsidP="00DC2438">
      <w:pPr>
        <w:pStyle w:val="ListParagraph"/>
        <w:numPr>
          <w:ilvl w:val="0"/>
          <w:numId w:val="1"/>
        </w:numPr>
        <w:spacing w:line="360" w:lineRule="auto"/>
        <w:jc w:val="both"/>
        <w:rPr>
          <w:rFonts w:ascii="Times New Roman" w:hAnsi="Times New Roman" w:cs="Times New Roman"/>
          <w:b/>
          <w:sz w:val="24"/>
          <w:szCs w:val="24"/>
        </w:rPr>
      </w:pPr>
      <w:r w:rsidRPr="00DC2438">
        <w:rPr>
          <w:rFonts w:ascii="Times New Roman" w:hAnsi="Times New Roman" w:cs="Times New Roman"/>
          <w:b/>
          <w:sz w:val="24"/>
          <w:szCs w:val="24"/>
        </w:rPr>
        <w:t xml:space="preserve">La articolul </w:t>
      </w:r>
      <w:r w:rsidR="00C01A2E">
        <w:rPr>
          <w:rFonts w:ascii="Times New Roman" w:hAnsi="Times New Roman" w:cs="Times New Roman"/>
          <w:b/>
          <w:sz w:val="24"/>
          <w:szCs w:val="24"/>
        </w:rPr>
        <w:t>3</w:t>
      </w:r>
      <w:r w:rsidRPr="00DC2438">
        <w:rPr>
          <w:rFonts w:ascii="Times New Roman" w:hAnsi="Times New Roman" w:cs="Times New Roman"/>
          <w:b/>
          <w:sz w:val="24"/>
          <w:szCs w:val="24"/>
        </w:rPr>
        <w:t xml:space="preserve">, după litera </w:t>
      </w:r>
      <w:r w:rsidR="00510C31">
        <w:rPr>
          <w:rFonts w:ascii="Times New Roman" w:hAnsi="Times New Roman" w:cs="Times New Roman"/>
          <w:b/>
          <w:sz w:val="24"/>
          <w:szCs w:val="24"/>
        </w:rPr>
        <w:t>a</w:t>
      </w:r>
      <w:r w:rsidR="00510C31">
        <w:rPr>
          <w:rFonts w:ascii="Times New Roman" w:hAnsi="Times New Roman" w:cs="Times New Roman"/>
          <w:b/>
          <w:sz w:val="24"/>
          <w:szCs w:val="24"/>
          <w:vertAlign w:val="superscript"/>
        </w:rPr>
        <w:t>1</w:t>
      </w:r>
      <w:r w:rsidRPr="00DC2438">
        <w:rPr>
          <w:rFonts w:ascii="Times New Roman" w:hAnsi="Times New Roman" w:cs="Times New Roman"/>
          <w:b/>
          <w:sz w:val="24"/>
          <w:szCs w:val="24"/>
        </w:rPr>
        <w:t xml:space="preserve">) se introduce o nouă literă, litera </w:t>
      </w:r>
      <w:r w:rsidR="00510C31">
        <w:rPr>
          <w:rFonts w:ascii="Times New Roman" w:hAnsi="Times New Roman" w:cs="Times New Roman"/>
          <w:b/>
          <w:sz w:val="24"/>
          <w:szCs w:val="24"/>
        </w:rPr>
        <w:t>a</w:t>
      </w:r>
      <w:r w:rsidR="00510C31">
        <w:rPr>
          <w:rFonts w:ascii="Times New Roman" w:hAnsi="Times New Roman" w:cs="Times New Roman"/>
          <w:b/>
          <w:sz w:val="24"/>
          <w:szCs w:val="24"/>
          <w:vertAlign w:val="superscript"/>
        </w:rPr>
        <w:t>2</w:t>
      </w:r>
      <w:r w:rsidRPr="00DC2438">
        <w:rPr>
          <w:rFonts w:ascii="Times New Roman" w:hAnsi="Times New Roman" w:cs="Times New Roman"/>
          <w:b/>
          <w:sz w:val="24"/>
          <w:szCs w:val="24"/>
        </w:rPr>
        <w:t xml:space="preserve">), </w:t>
      </w:r>
      <w:r w:rsidR="00DD2493">
        <w:rPr>
          <w:rFonts w:ascii="Times New Roman" w:hAnsi="Times New Roman" w:cs="Times New Roman"/>
          <w:b/>
          <w:sz w:val="24"/>
          <w:szCs w:val="24"/>
        </w:rPr>
        <w:t>cu</w:t>
      </w:r>
      <w:r w:rsidRPr="00DC2438">
        <w:rPr>
          <w:rFonts w:ascii="Times New Roman" w:hAnsi="Times New Roman" w:cs="Times New Roman"/>
          <w:b/>
          <w:sz w:val="24"/>
          <w:szCs w:val="24"/>
        </w:rPr>
        <w:t xml:space="preserve"> următorul cuprins:</w:t>
      </w:r>
    </w:p>
    <w:p w:rsidR="00DC2438" w:rsidRDefault="00DC2438" w:rsidP="00DC2438">
      <w:pPr>
        <w:pStyle w:val="ListParagraph"/>
        <w:spacing w:line="360" w:lineRule="auto"/>
        <w:ind w:left="360"/>
        <w:jc w:val="both"/>
        <w:rPr>
          <w:rFonts w:ascii="Times New Roman" w:hAnsi="Times New Roman" w:cs="Times New Roman"/>
          <w:sz w:val="24"/>
          <w:szCs w:val="24"/>
        </w:rPr>
      </w:pPr>
      <w:r w:rsidRPr="00DC2438">
        <w:rPr>
          <w:rFonts w:ascii="Times New Roman" w:hAnsi="Times New Roman" w:cs="Times New Roman"/>
          <w:sz w:val="24"/>
          <w:szCs w:val="24"/>
        </w:rPr>
        <w:t>„</w:t>
      </w:r>
      <w:r w:rsidR="00510C31">
        <w:rPr>
          <w:rFonts w:ascii="Times New Roman" w:hAnsi="Times New Roman" w:cs="Times New Roman"/>
          <w:sz w:val="24"/>
          <w:szCs w:val="24"/>
        </w:rPr>
        <w:t>a</w:t>
      </w:r>
      <w:r w:rsidR="00510C31">
        <w:rPr>
          <w:rFonts w:ascii="Times New Roman" w:hAnsi="Times New Roman" w:cs="Times New Roman"/>
          <w:sz w:val="24"/>
          <w:szCs w:val="24"/>
          <w:vertAlign w:val="superscript"/>
        </w:rPr>
        <w:t>2</w:t>
      </w:r>
      <w:r w:rsidRPr="00DC2438">
        <w:rPr>
          <w:rFonts w:ascii="Times New Roman" w:hAnsi="Times New Roman" w:cs="Times New Roman"/>
          <w:sz w:val="24"/>
          <w:szCs w:val="24"/>
        </w:rPr>
        <w:t xml:space="preserve">) </w:t>
      </w:r>
      <w:r w:rsidR="001B1F94" w:rsidRPr="001B1F94">
        <w:rPr>
          <w:rFonts w:ascii="Times New Roman" w:hAnsi="Times New Roman" w:cs="Times New Roman"/>
          <w:sz w:val="24"/>
          <w:szCs w:val="24"/>
        </w:rPr>
        <w:t>Ordonanță de urgență nr. 163/2022 pentru completarea cadrului legal de promovare a utilizării energiei din surse regenerabile, precum și pentru modificarea și completarea unor acte normative;</w:t>
      </w:r>
      <w:r w:rsidRPr="00DC2438">
        <w:rPr>
          <w:rFonts w:ascii="Times New Roman" w:hAnsi="Times New Roman" w:cs="Times New Roman"/>
          <w:sz w:val="24"/>
          <w:szCs w:val="24"/>
        </w:rPr>
        <w:t>”</w:t>
      </w:r>
    </w:p>
    <w:p w:rsidR="00DD5A3A" w:rsidRPr="00DC2438" w:rsidRDefault="00DD5A3A" w:rsidP="00DC2438">
      <w:pPr>
        <w:pStyle w:val="ListParagraph"/>
        <w:spacing w:line="360" w:lineRule="auto"/>
        <w:ind w:left="360"/>
        <w:jc w:val="both"/>
        <w:rPr>
          <w:rFonts w:ascii="Times New Roman" w:hAnsi="Times New Roman" w:cs="Times New Roman"/>
          <w:sz w:val="24"/>
          <w:szCs w:val="24"/>
        </w:rPr>
      </w:pPr>
    </w:p>
    <w:p w:rsidR="00DC2438" w:rsidRPr="00DC2438" w:rsidRDefault="00DC2438" w:rsidP="00DC2438">
      <w:pPr>
        <w:pStyle w:val="ListParagraph"/>
        <w:numPr>
          <w:ilvl w:val="0"/>
          <w:numId w:val="1"/>
        </w:numPr>
        <w:spacing w:line="360" w:lineRule="auto"/>
        <w:jc w:val="both"/>
        <w:rPr>
          <w:rFonts w:ascii="Times New Roman" w:hAnsi="Times New Roman" w:cs="Times New Roman"/>
          <w:b/>
          <w:sz w:val="24"/>
          <w:szCs w:val="24"/>
        </w:rPr>
      </w:pPr>
      <w:r w:rsidRPr="00DC2438">
        <w:rPr>
          <w:rFonts w:ascii="Times New Roman" w:hAnsi="Times New Roman" w:cs="Times New Roman"/>
          <w:b/>
          <w:sz w:val="24"/>
          <w:szCs w:val="24"/>
        </w:rPr>
        <w:t xml:space="preserve">La articolul </w:t>
      </w:r>
      <w:r w:rsidR="001B1F94">
        <w:rPr>
          <w:rFonts w:ascii="Times New Roman" w:hAnsi="Times New Roman" w:cs="Times New Roman"/>
          <w:b/>
          <w:sz w:val="24"/>
          <w:szCs w:val="24"/>
        </w:rPr>
        <w:t>4</w:t>
      </w:r>
      <w:r w:rsidRPr="00DC2438">
        <w:rPr>
          <w:rFonts w:ascii="Times New Roman" w:hAnsi="Times New Roman" w:cs="Times New Roman"/>
          <w:b/>
          <w:sz w:val="24"/>
          <w:szCs w:val="24"/>
        </w:rPr>
        <w:t xml:space="preserve">, după litera </w:t>
      </w:r>
      <w:r>
        <w:rPr>
          <w:rFonts w:ascii="Times New Roman" w:hAnsi="Times New Roman" w:cs="Times New Roman"/>
          <w:b/>
          <w:sz w:val="24"/>
          <w:szCs w:val="24"/>
        </w:rPr>
        <w:t>f</w:t>
      </w:r>
      <w:r w:rsidRPr="00DC2438">
        <w:rPr>
          <w:rFonts w:ascii="Times New Roman" w:hAnsi="Times New Roman" w:cs="Times New Roman"/>
          <w:b/>
          <w:sz w:val="24"/>
          <w:szCs w:val="24"/>
        </w:rPr>
        <w:t xml:space="preserve">) se introduce o nouă literă, litera </w:t>
      </w:r>
      <w:r w:rsidR="001B1F94">
        <w:rPr>
          <w:rFonts w:ascii="Times New Roman" w:hAnsi="Times New Roman" w:cs="Times New Roman"/>
          <w:b/>
          <w:sz w:val="24"/>
          <w:szCs w:val="24"/>
        </w:rPr>
        <w:t>g</w:t>
      </w:r>
      <w:r w:rsidRPr="00DC2438">
        <w:rPr>
          <w:rFonts w:ascii="Times New Roman" w:hAnsi="Times New Roman" w:cs="Times New Roman"/>
          <w:b/>
          <w:sz w:val="24"/>
          <w:szCs w:val="24"/>
        </w:rPr>
        <w:t xml:space="preserve">), </w:t>
      </w:r>
      <w:r w:rsidR="00DD2493">
        <w:rPr>
          <w:rFonts w:ascii="Times New Roman" w:hAnsi="Times New Roman" w:cs="Times New Roman"/>
          <w:b/>
          <w:sz w:val="24"/>
          <w:szCs w:val="24"/>
        </w:rPr>
        <w:t>cu</w:t>
      </w:r>
      <w:r w:rsidRPr="00DC2438">
        <w:rPr>
          <w:rFonts w:ascii="Times New Roman" w:hAnsi="Times New Roman" w:cs="Times New Roman"/>
          <w:b/>
          <w:sz w:val="24"/>
          <w:szCs w:val="24"/>
        </w:rPr>
        <w:t xml:space="preserve"> următorul cuprins:</w:t>
      </w:r>
    </w:p>
    <w:p w:rsidR="00DC2438" w:rsidRDefault="00DC2438" w:rsidP="00DC2438">
      <w:pPr>
        <w:pStyle w:val="ListParagraph"/>
        <w:spacing w:line="360" w:lineRule="auto"/>
        <w:ind w:left="360"/>
        <w:jc w:val="both"/>
        <w:rPr>
          <w:rFonts w:ascii="Times New Roman" w:hAnsi="Times New Roman" w:cs="Times New Roman"/>
          <w:sz w:val="24"/>
          <w:szCs w:val="24"/>
        </w:rPr>
      </w:pPr>
      <w:r w:rsidRPr="00DC2438">
        <w:rPr>
          <w:rFonts w:ascii="Times New Roman" w:hAnsi="Times New Roman" w:cs="Times New Roman"/>
          <w:sz w:val="24"/>
          <w:szCs w:val="24"/>
        </w:rPr>
        <w:t>„</w:t>
      </w:r>
      <w:r w:rsidR="001B1F94">
        <w:rPr>
          <w:rFonts w:ascii="Times New Roman" w:hAnsi="Times New Roman" w:cs="Times New Roman"/>
          <w:sz w:val="24"/>
          <w:szCs w:val="24"/>
        </w:rPr>
        <w:t>g</w:t>
      </w:r>
      <w:r w:rsidRPr="00DC2438">
        <w:rPr>
          <w:rFonts w:ascii="Times New Roman" w:hAnsi="Times New Roman" w:cs="Times New Roman"/>
          <w:sz w:val="24"/>
          <w:szCs w:val="24"/>
        </w:rPr>
        <w:t>)</w:t>
      </w:r>
      <w:r>
        <w:rPr>
          <w:rFonts w:ascii="Times New Roman" w:hAnsi="Times New Roman" w:cs="Times New Roman"/>
          <w:sz w:val="24"/>
          <w:szCs w:val="24"/>
        </w:rPr>
        <w:t xml:space="preserve"> </w:t>
      </w:r>
      <w:r w:rsidR="001B1F94" w:rsidRPr="001B1F94">
        <w:rPr>
          <w:rStyle w:val="slitbdy"/>
          <w:rFonts w:ascii="Times New Roman" w:hAnsi="Times New Roman"/>
          <w:sz w:val="24"/>
          <w:szCs w:val="24"/>
        </w:rPr>
        <w:t>OUG nr. 163/2022 - Ordonanța de urgență nr. 163/2022 pentru completarea cadrului legal de promovare a utilizării energiei din surse regenerabile, precum și pentru modificarea și completarea unor acte normative.</w:t>
      </w:r>
      <w:r w:rsidRPr="00DC2438">
        <w:rPr>
          <w:rFonts w:ascii="Times New Roman" w:hAnsi="Times New Roman" w:cs="Times New Roman"/>
          <w:sz w:val="24"/>
          <w:szCs w:val="24"/>
        </w:rPr>
        <w:t>”</w:t>
      </w:r>
    </w:p>
    <w:p w:rsidR="00DD5A3A" w:rsidRPr="00DC2438" w:rsidRDefault="00DD5A3A" w:rsidP="00DC2438">
      <w:pPr>
        <w:pStyle w:val="ListParagraph"/>
        <w:spacing w:line="360" w:lineRule="auto"/>
        <w:ind w:left="360"/>
        <w:jc w:val="both"/>
        <w:rPr>
          <w:rFonts w:ascii="Times New Roman" w:hAnsi="Times New Roman" w:cs="Times New Roman"/>
          <w:sz w:val="24"/>
          <w:szCs w:val="24"/>
        </w:rPr>
      </w:pPr>
    </w:p>
    <w:p w:rsidR="00632F21" w:rsidRPr="00632F21" w:rsidRDefault="00632F21" w:rsidP="00632F21">
      <w:pPr>
        <w:pStyle w:val="ListParagraph"/>
        <w:numPr>
          <w:ilvl w:val="0"/>
          <w:numId w:val="1"/>
        </w:numPr>
        <w:spacing w:line="360" w:lineRule="auto"/>
        <w:jc w:val="both"/>
        <w:rPr>
          <w:rFonts w:ascii="Times New Roman" w:hAnsi="Times New Roman" w:cs="Times New Roman"/>
          <w:b/>
          <w:sz w:val="24"/>
          <w:szCs w:val="24"/>
        </w:rPr>
      </w:pPr>
      <w:r w:rsidRPr="00632F21">
        <w:rPr>
          <w:rFonts w:ascii="Times New Roman" w:hAnsi="Times New Roman" w:cs="Times New Roman"/>
          <w:b/>
          <w:sz w:val="24"/>
          <w:szCs w:val="24"/>
        </w:rPr>
        <w:t xml:space="preserve">La articolul </w:t>
      </w:r>
      <w:r w:rsidR="00EE4CDD">
        <w:rPr>
          <w:rFonts w:ascii="Times New Roman" w:hAnsi="Times New Roman" w:cs="Times New Roman"/>
          <w:b/>
          <w:sz w:val="24"/>
          <w:szCs w:val="24"/>
        </w:rPr>
        <w:t>5</w:t>
      </w:r>
      <w:r w:rsidRPr="00632F21">
        <w:rPr>
          <w:rFonts w:ascii="Times New Roman" w:hAnsi="Times New Roman" w:cs="Times New Roman"/>
          <w:b/>
          <w:sz w:val="24"/>
          <w:szCs w:val="24"/>
        </w:rPr>
        <w:t xml:space="preserve">, </w:t>
      </w:r>
      <w:r w:rsidR="00F62CF2">
        <w:rPr>
          <w:rFonts w:ascii="Times New Roman" w:hAnsi="Times New Roman" w:cs="Times New Roman"/>
          <w:b/>
          <w:sz w:val="24"/>
          <w:szCs w:val="24"/>
        </w:rPr>
        <w:t>alineatul (1) se modifică și</w:t>
      </w:r>
      <w:r w:rsidRPr="00632F21">
        <w:rPr>
          <w:rFonts w:ascii="Times New Roman" w:hAnsi="Times New Roman" w:cs="Times New Roman"/>
          <w:b/>
          <w:sz w:val="24"/>
          <w:szCs w:val="24"/>
        </w:rPr>
        <w:t xml:space="preserve"> va avea următorul cuprins:</w:t>
      </w:r>
    </w:p>
    <w:p w:rsidR="00632F21" w:rsidRDefault="00632F21" w:rsidP="00632F21">
      <w:pPr>
        <w:pStyle w:val="ListParagraph"/>
        <w:spacing w:line="360" w:lineRule="auto"/>
        <w:ind w:left="360"/>
        <w:jc w:val="both"/>
        <w:rPr>
          <w:rFonts w:ascii="Times New Roman" w:hAnsi="Times New Roman" w:cs="Times New Roman"/>
          <w:sz w:val="24"/>
          <w:szCs w:val="24"/>
        </w:rPr>
      </w:pPr>
      <w:r w:rsidRPr="00632F21">
        <w:rPr>
          <w:rFonts w:ascii="Times New Roman" w:hAnsi="Times New Roman" w:cs="Times New Roman"/>
          <w:sz w:val="24"/>
          <w:szCs w:val="24"/>
        </w:rPr>
        <w:t>„</w:t>
      </w:r>
      <w:r w:rsidR="00F62CF2">
        <w:rPr>
          <w:rFonts w:ascii="Times New Roman" w:hAnsi="Times New Roman" w:cs="Times New Roman"/>
          <w:sz w:val="24"/>
          <w:szCs w:val="24"/>
        </w:rPr>
        <w:t>(1</w:t>
      </w:r>
      <w:r w:rsidRPr="00632F21">
        <w:rPr>
          <w:rFonts w:ascii="Times New Roman" w:hAnsi="Times New Roman" w:cs="Times New Roman"/>
          <w:sz w:val="24"/>
          <w:szCs w:val="24"/>
        </w:rPr>
        <w:t xml:space="preserve">) </w:t>
      </w:r>
      <w:r w:rsidR="00F62CF2" w:rsidRPr="00F62CF2">
        <w:rPr>
          <w:rFonts w:ascii="Times New Roman" w:eastAsia="Times New Roman" w:hAnsi="Times New Roman"/>
          <w:sz w:val="24"/>
          <w:szCs w:val="24"/>
          <w:shd w:val="clear" w:color="auto" w:fill="FFFFFF"/>
        </w:rPr>
        <w:t>Prosumatorii care deţin centrale electrice de producere a energiei electrice din surse regenerabile de energie cu puteri electrice instalate de cel mult 400 kW pe loc de consum şi care nu beneficiază de sistemul de promovare prin certificate verzi pot vinde, la cerere, prin mecanismele de compensare/regularizare prevăzute la art. 73^1 alin. (3) sau (4) din Lege, după caz, energia electrică produsă din acestea şi livrată în reţelele electrice furnizorilor de energie electrică cu care aceştia, în calitate de consumatori finali, au încheiat/încheie contract de furnizare a energiei electrice.</w:t>
      </w:r>
      <w:r w:rsidRPr="00632F21">
        <w:rPr>
          <w:rFonts w:ascii="Times New Roman" w:hAnsi="Times New Roman" w:cs="Times New Roman"/>
          <w:sz w:val="24"/>
          <w:szCs w:val="24"/>
        </w:rPr>
        <w:t>”</w:t>
      </w:r>
    </w:p>
    <w:p w:rsidR="00DD5A3A" w:rsidRPr="00632F21" w:rsidRDefault="00DD5A3A" w:rsidP="00632F21">
      <w:pPr>
        <w:pStyle w:val="ListParagraph"/>
        <w:spacing w:line="360" w:lineRule="auto"/>
        <w:ind w:left="360"/>
        <w:jc w:val="both"/>
        <w:rPr>
          <w:rFonts w:ascii="Times New Roman" w:hAnsi="Times New Roman" w:cs="Times New Roman"/>
          <w:sz w:val="24"/>
          <w:szCs w:val="24"/>
        </w:rPr>
      </w:pPr>
    </w:p>
    <w:p w:rsidR="00BC7A7F" w:rsidRPr="00632F21" w:rsidRDefault="00673A5F" w:rsidP="00C01A2E">
      <w:pPr>
        <w:pStyle w:val="ListParagraph"/>
        <w:numPr>
          <w:ilvl w:val="0"/>
          <w:numId w:val="1"/>
        </w:numPr>
        <w:spacing w:after="0" w:line="360" w:lineRule="auto"/>
        <w:jc w:val="both"/>
        <w:rPr>
          <w:rFonts w:ascii="Times New Roman" w:hAnsi="Times New Roman" w:cs="Times New Roman"/>
          <w:b/>
          <w:sz w:val="24"/>
          <w:szCs w:val="24"/>
        </w:rPr>
      </w:pPr>
      <w:r w:rsidRPr="00632F21">
        <w:rPr>
          <w:rFonts w:ascii="Times New Roman" w:hAnsi="Times New Roman" w:cs="Times New Roman"/>
          <w:b/>
          <w:sz w:val="24"/>
          <w:szCs w:val="24"/>
        </w:rPr>
        <w:t xml:space="preserve">La articolul </w:t>
      </w:r>
      <w:r w:rsidR="00F62CF2">
        <w:rPr>
          <w:rFonts w:ascii="Times New Roman" w:hAnsi="Times New Roman" w:cs="Times New Roman"/>
          <w:b/>
          <w:sz w:val="24"/>
          <w:szCs w:val="24"/>
        </w:rPr>
        <w:t>5</w:t>
      </w:r>
      <w:r w:rsidRPr="00632F21">
        <w:rPr>
          <w:rFonts w:ascii="Times New Roman" w:hAnsi="Times New Roman" w:cs="Times New Roman"/>
          <w:b/>
          <w:sz w:val="24"/>
          <w:szCs w:val="24"/>
        </w:rPr>
        <w:t xml:space="preserve">, </w:t>
      </w:r>
      <w:r w:rsidR="00F62CF2">
        <w:rPr>
          <w:rFonts w:ascii="Times New Roman" w:hAnsi="Times New Roman" w:cs="Times New Roman"/>
          <w:b/>
          <w:sz w:val="24"/>
          <w:szCs w:val="24"/>
        </w:rPr>
        <w:t xml:space="preserve">alineatul (2), </w:t>
      </w:r>
      <w:r w:rsidR="0030578C" w:rsidRPr="00632F21">
        <w:rPr>
          <w:rFonts w:ascii="Times New Roman" w:hAnsi="Times New Roman" w:cs="Times New Roman"/>
          <w:b/>
          <w:sz w:val="24"/>
          <w:szCs w:val="24"/>
        </w:rPr>
        <w:t>liter</w:t>
      </w:r>
      <w:r w:rsidR="00F62CF2">
        <w:rPr>
          <w:rFonts w:ascii="Times New Roman" w:hAnsi="Times New Roman" w:cs="Times New Roman"/>
          <w:b/>
          <w:sz w:val="24"/>
          <w:szCs w:val="24"/>
        </w:rPr>
        <w:t>ele</w:t>
      </w:r>
      <w:r w:rsidR="0030578C" w:rsidRPr="00632F21">
        <w:rPr>
          <w:rFonts w:ascii="Times New Roman" w:hAnsi="Times New Roman" w:cs="Times New Roman"/>
          <w:b/>
          <w:sz w:val="24"/>
          <w:szCs w:val="24"/>
        </w:rPr>
        <w:t xml:space="preserve"> </w:t>
      </w:r>
      <w:r w:rsidR="00F62CF2">
        <w:rPr>
          <w:rFonts w:ascii="Times New Roman" w:hAnsi="Times New Roman" w:cs="Times New Roman"/>
          <w:b/>
          <w:sz w:val="24"/>
          <w:szCs w:val="24"/>
        </w:rPr>
        <w:t>c</w:t>
      </w:r>
      <w:r w:rsidR="0030578C" w:rsidRPr="00632F21">
        <w:rPr>
          <w:rFonts w:ascii="Times New Roman" w:hAnsi="Times New Roman" w:cs="Times New Roman"/>
          <w:b/>
          <w:sz w:val="24"/>
          <w:szCs w:val="24"/>
        </w:rPr>
        <w:t xml:space="preserve">) </w:t>
      </w:r>
      <w:r w:rsidR="00F62CF2">
        <w:rPr>
          <w:rFonts w:ascii="Times New Roman" w:hAnsi="Times New Roman" w:cs="Times New Roman"/>
          <w:b/>
          <w:sz w:val="24"/>
          <w:szCs w:val="24"/>
        </w:rPr>
        <w:t xml:space="preserve">și d) </w:t>
      </w:r>
      <w:r w:rsidR="0030578C" w:rsidRPr="00632F21">
        <w:rPr>
          <w:rFonts w:ascii="Times New Roman" w:hAnsi="Times New Roman" w:cs="Times New Roman"/>
          <w:b/>
          <w:sz w:val="24"/>
          <w:szCs w:val="24"/>
        </w:rPr>
        <w:t xml:space="preserve">se </w:t>
      </w:r>
      <w:r w:rsidR="00A67378" w:rsidRPr="00632F21">
        <w:rPr>
          <w:rFonts w:ascii="Times New Roman" w:hAnsi="Times New Roman" w:cs="Times New Roman"/>
          <w:b/>
          <w:sz w:val="24"/>
          <w:szCs w:val="24"/>
        </w:rPr>
        <w:t>modifică și</w:t>
      </w:r>
      <w:r w:rsidR="0030578C" w:rsidRPr="00632F21">
        <w:rPr>
          <w:rFonts w:ascii="Times New Roman" w:hAnsi="Times New Roman" w:cs="Times New Roman"/>
          <w:b/>
          <w:sz w:val="24"/>
          <w:szCs w:val="24"/>
        </w:rPr>
        <w:t xml:space="preserve"> v</w:t>
      </w:r>
      <w:r w:rsidR="00F62CF2">
        <w:rPr>
          <w:rFonts w:ascii="Times New Roman" w:hAnsi="Times New Roman" w:cs="Times New Roman"/>
          <w:b/>
          <w:sz w:val="24"/>
          <w:szCs w:val="24"/>
        </w:rPr>
        <w:t>or</w:t>
      </w:r>
      <w:r w:rsidR="0030578C" w:rsidRPr="00632F21">
        <w:rPr>
          <w:rFonts w:ascii="Times New Roman" w:hAnsi="Times New Roman" w:cs="Times New Roman"/>
          <w:b/>
          <w:sz w:val="24"/>
          <w:szCs w:val="24"/>
        </w:rPr>
        <w:t xml:space="preserve"> avea următorul </w:t>
      </w:r>
      <w:r w:rsidR="00BC7A7F" w:rsidRPr="00632F21">
        <w:rPr>
          <w:rFonts w:ascii="Times New Roman" w:hAnsi="Times New Roman" w:cs="Times New Roman"/>
          <w:b/>
          <w:sz w:val="24"/>
          <w:szCs w:val="24"/>
        </w:rPr>
        <w:t>cuprins</w:t>
      </w:r>
      <w:r w:rsidR="00BC7A7F" w:rsidRPr="00632F21">
        <w:rPr>
          <w:rFonts w:ascii="Times New Roman" w:hAnsi="Times New Roman" w:cs="Times New Roman"/>
          <w:b/>
          <w:sz w:val="24"/>
          <w:szCs w:val="24"/>
          <w:lang w:val="en-US"/>
        </w:rPr>
        <w:t>:</w:t>
      </w:r>
    </w:p>
    <w:p w:rsidR="00F62CF2" w:rsidRPr="00F62CF2" w:rsidRDefault="00673A5F" w:rsidP="00F62CF2">
      <w:pPr>
        <w:autoSpaceDE w:val="0"/>
        <w:autoSpaceDN w:val="0"/>
        <w:adjustRightInd w:val="0"/>
        <w:spacing w:after="0" w:line="360" w:lineRule="auto"/>
        <w:ind w:left="426" w:hanging="142"/>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62CF2">
        <w:rPr>
          <w:rFonts w:ascii="Times New Roman" w:hAnsi="Times New Roman" w:cs="Times New Roman"/>
          <w:sz w:val="24"/>
          <w:szCs w:val="24"/>
          <w:lang w:val="en-US"/>
        </w:rPr>
        <w:t>c</w:t>
      </w:r>
      <w:r w:rsidR="00A67378" w:rsidRPr="00A67378">
        <w:rPr>
          <w:rFonts w:ascii="Times New Roman" w:hAnsi="Times New Roman" w:cs="Times New Roman"/>
          <w:sz w:val="24"/>
          <w:szCs w:val="24"/>
          <w:lang w:val="en-US"/>
        </w:rPr>
        <w:t xml:space="preserve">) </w:t>
      </w:r>
      <w:r w:rsidR="00F62CF2" w:rsidRPr="00F62CF2">
        <w:rPr>
          <w:rFonts w:ascii="Times New Roman" w:hAnsi="Times New Roman" w:cs="Times New Roman"/>
          <w:sz w:val="24"/>
          <w:szCs w:val="24"/>
          <w:lang w:val="en-US"/>
        </w:rPr>
        <w:t xml:space="preserve">schema electrică a centralei electrice prevăzute la lit. b) este realizată astfel încât energia electrică produsă din surse regenerabile este utilizată pentru alimentarea consumului </w:t>
      </w:r>
      <w:r w:rsidR="00F62CF2" w:rsidRPr="00F62CF2">
        <w:rPr>
          <w:rFonts w:ascii="Times New Roman" w:hAnsi="Times New Roman" w:cs="Times New Roman"/>
          <w:sz w:val="24"/>
          <w:szCs w:val="24"/>
          <w:lang w:val="en-US"/>
        </w:rPr>
        <w:lastRenderedPageBreak/>
        <w:t>propriu de energie electrică al prosumatorului și, dacă este cazul, al consumatorilor alimentați direct la barele centralei electrice, iar surplusul de energie electrică este livrat în reţeaua electrică, astfel încât alimentarea cu energie electrică a prosumatorului din reţeaua electrică şi livrarea în reţeaua electrică a energiei electrice produsă în respectiva centrală să se realizeze prin acelaşi racord;</w:t>
      </w:r>
    </w:p>
    <w:p w:rsidR="00673A5F" w:rsidRDefault="00F62CF2" w:rsidP="00F62CF2">
      <w:pPr>
        <w:autoSpaceDE w:val="0"/>
        <w:autoSpaceDN w:val="0"/>
        <w:adjustRightInd w:val="0"/>
        <w:spacing w:after="0" w:line="360" w:lineRule="auto"/>
        <w:ind w:left="426"/>
        <w:jc w:val="both"/>
        <w:rPr>
          <w:rFonts w:ascii="Times New Roman" w:hAnsi="Times New Roman" w:cs="Times New Roman"/>
          <w:sz w:val="24"/>
          <w:szCs w:val="24"/>
          <w:lang w:val="en-US"/>
        </w:rPr>
      </w:pPr>
      <w:r w:rsidRPr="00F62CF2">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F62CF2">
        <w:rPr>
          <w:rFonts w:ascii="Times New Roman" w:hAnsi="Times New Roman" w:cs="Times New Roman"/>
          <w:sz w:val="24"/>
          <w:szCs w:val="24"/>
          <w:lang w:val="en-US"/>
        </w:rPr>
        <w:t xml:space="preserve">sistemul de măsurare </w:t>
      </w:r>
      <w:proofErr w:type="gramStart"/>
      <w:r w:rsidRPr="00F62CF2">
        <w:rPr>
          <w:rFonts w:ascii="Times New Roman" w:hAnsi="Times New Roman" w:cs="Times New Roman"/>
          <w:sz w:val="24"/>
          <w:szCs w:val="24"/>
          <w:lang w:val="en-US"/>
        </w:rPr>
        <w:t>a</w:t>
      </w:r>
      <w:proofErr w:type="gramEnd"/>
      <w:r w:rsidRPr="00F62CF2">
        <w:rPr>
          <w:rFonts w:ascii="Times New Roman" w:hAnsi="Times New Roman" w:cs="Times New Roman"/>
          <w:sz w:val="24"/>
          <w:szCs w:val="24"/>
          <w:lang w:val="en-US"/>
        </w:rPr>
        <w:t xml:space="preserve"> energiei electrice se realizează fie cu contoare inteligente, fie cu contoare care permit cel puţin citirea la distanţă, integrabile în sisteme de măsurare inteligente a energiei electrice, având sistemele de comunicaţie compatibile cu cele ale operatorului de distribuţie la reţelele căruia este racordată centrala electrică prevăzută la alin. (1), astfel încât toate elementele din structura sistemului de măsurare să respecte prevederile Codului de măsurare </w:t>
      </w:r>
      <w:proofErr w:type="gramStart"/>
      <w:r w:rsidRPr="00F62CF2">
        <w:rPr>
          <w:rFonts w:ascii="Times New Roman" w:hAnsi="Times New Roman" w:cs="Times New Roman"/>
          <w:sz w:val="24"/>
          <w:szCs w:val="24"/>
          <w:lang w:val="en-US"/>
        </w:rPr>
        <w:t>a</w:t>
      </w:r>
      <w:proofErr w:type="gramEnd"/>
      <w:r w:rsidRPr="00F62CF2">
        <w:rPr>
          <w:rFonts w:ascii="Times New Roman" w:hAnsi="Times New Roman" w:cs="Times New Roman"/>
          <w:sz w:val="24"/>
          <w:szCs w:val="24"/>
          <w:lang w:val="en-US"/>
        </w:rPr>
        <w:t xml:space="preserve"> energiei electrice, aprobat prin Ordinul preşedintelui Autorităţii Naţionale de Reglementare în Domeniul Energiei nr. 103/2015, şi ale Ordinului preşedintelui Autorităţii Naţionale de Reglementare în Domeniul Energiei nr. 177/2018 privind aprobarea Condiţiilor-cadru pentru realizarea calendarului de implementare a sistemelor de măsurare inteligentă </w:t>
      </w:r>
      <w:proofErr w:type="gramStart"/>
      <w:r w:rsidRPr="00F62CF2">
        <w:rPr>
          <w:rFonts w:ascii="Times New Roman" w:hAnsi="Times New Roman" w:cs="Times New Roman"/>
          <w:sz w:val="24"/>
          <w:szCs w:val="24"/>
          <w:lang w:val="en-US"/>
        </w:rPr>
        <w:t>a</w:t>
      </w:r>
      <w:proofErr w:type="gramEnd"/>
      <w:r w:rsidRPr="00F62CF2">
        <w:rPr>
          <w:rFonts w:ascii="Times New Roman" w:hAnsi="Times New Roman" w:cs="Times New Roman"/>
          <w:sz w:val="24"/>
          <w:szCs w:val="24"/>
          <w:lang w:val="en-US"/>
        </w:rPr>
        <w:t xml:space="preserve"> energiei electrice la nivel naţional, cu modificările şi completările ulterioare, şi să se asigure stabilirea distinctă, pe baza valorilor măsurate, a energiei electrice produse în centrala electrică din surse regenerabile de energie prevăzută la lit. b) şi livrată în reţeaua electrică, precum şi a energiei electrice consumată din reţea.</w:t>
      </w:r>
      <w:r w:rsidR="00673A5F">
        <w:rPr>
          <w:rFonts w:ascii="Times New Roman" w:hAnsi="Times New Roman" w:cs="Times New Roman"/>
          <w:sz w:val="24"/>
          <w:szCs w:val="24"/>
          <w:lang w:val="en-US"/>
        </w:rPr>
        <w:t>”</w:t>
      </w:r>
    </w:p>
    <w:p w:rsidR="00DD5A3A" w:rsidRPr="00673A5F" w:rsidRDefault="00DD5A3A" w:rsidP="00F62CF2">
      <w:pPr>
        <w:autoSpaceDE w:val="0"/>
        <w:autoSpaceDN w:val="0"/>
        <w:adjustRightInd w:val="0"/>
        <w:spacing w:after="0" w:line="360" w:lineRule="auto"/>
        <w:ind w:left="426"/>
        <w:jc w:val="both"/>
        <w:rPr>
          <w:rFonts w:ascii="Times New Roman" w:hAnsi="Times New Roman" w:cs="Times New Roman"/>
          <w:sz w:val="24"/>
          <w:szCs w:val="24"/>
        </w:rPr>
      </w:pPr>
    </w:p>
    <w:p w:rsidR="00326243" w:rsidRDefault="00EE3E8E" w:rsidP="00505617">
      <w:pPr>
        <w:pStyle w:val="ListParagraph"/>
        <w:numPr>
          <w:ilvl w:val="0"/>
          <w:numId w:val="1"/>
        </w:numPr>
        <w:spacing w:after="0" w:line="36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La articolul 8, alineatele (1) și (2) se modifică și vor avea următorul cuprins:</w:t>
      </w:r>
    </w:p>
    <w:p w:rsidR="00EE3E8E" w:rsidRPr="00EE3E8E" w:rsidRDefault="008613F2" w:rsidP="00EE3E8E">
      <w:pPr>
        <w:pStyle w:val="ListParagraph"/>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lang w:val="en-US"/>
        </w:rPr>
        <w:t>“</w:t>
      </w:r>
      <w:r w:rsidR="00EE3E8E" w:rsidRPr="00EE3E8E">
        <w:rPr>
          <w:rFonts w:ascii="Times New Roman" w:hAnsi="Times New Roman" w:cs="Times New Roman"/>
          <w:sz w:val="24"/>
          <w:szCs w:val="24"/>
        </w:rPr>
        <w:t xml:space="preserve">(1) OD stabileşte formula de calcul utilizată la determinarea energiei electrice produse şi livrate în reţeaua electrică de prosumator şi realizează lunar citirea simultană a contoarelor de măsurare </w:t>
      </w:r>
      <w:proofErr w:type="gramStart"/>
      <w:r w:rsidR="00EE3E8E" w:rsidRPr="00EE3E8E">
        <w:rPr>
          <w:rFonts w:ascii="Times New Roman" w:hAnsi="Times New Roman" w:cs="Times New Roman"/>
          <w:sz w:val="24"/>
          <w:szCs w:val="24"/>
        </w:rPr>
        <w:t>a</w:t>
      </w:r>
      <w:proofErr w:type="gramEnd"/>
      <w:r w:rsidR="00EE3E8E" w:rsidRPr="00EE3E8E">
        <w:rPr>
          <w:rFonts w:ascii="Times New Roman" w:hAnsi="Times New Roman" w:cs="Times New Roman"/>
          <w:sz w:val="24"/>
          <w:szCs w:val="24"/>
        </w:rPr>
        <w:t xml:space="preserve"> energiei electrice din instalaţiile prosumatorului şi a grupului de măsurare a energiei electrice livrate în reţelele electrice/consumate din reţelele electrice, fără costuri pentru prosumator, pentru contoarele de măsurare a energiei electrice prevăzute la art. 7 alin. (1)-(3), respectiv pentru cele aferente locurilor de producere și consum/locurile de consum ale prosumatorilor cărora li se aplică mecanismul de </w:t>
      </w:r>
      <w:r w:rsidR="008837DC">
        <w:rPr>
          <w:rFonts w:ascii="Times New Roman" w:hAnsi="Times New Roman" w:cs="Times New Roman"/>
          <w:sz w:val="24"/>
          <w:szCs w:val="24"/>
        </w:rPr>
        <w:t>decontare</w:t>
      </w:r>
      <w:r w:rsidR="00EE3E8E" w:rsidRPr="00EE3E8E">
        <w:rPr>
          <w:rFonts w:ascii="Times New Roman" w:hAnsi="Times New Roman" w:cs="Times New Roman"/>
          <w:sz w:val="24"/>
          <w:szCs w:val="24"/>
        </w:rPr>
        <w:t xml:space="preserve"> financiară prevăzut la art. 21 alin. (2) lit. a) din OUG nr. 163/2022.</w:t>
      </w:r>
    </w:p>
    <w:p w:rsidR="008613F2" w:rsidRDefault="00EE3E8E" w:rsidP="008613F2">
      <w:pPr>
        <w:autoSpaceDE w:val="0"/>
        <w:autoSpaceDN w:val="0"/>
        <w:adjustRightInd w:val="0"/>
        <w:spacing w:after="0" w:line="360" w:lineRule="auto"/>
        <w:ind w:left="426"/>
        <w:jc w:val="both"/>
        <w:rPr>
          <w:rFonts w:ascii="Times New Roman" w:hAnsi="Times New Roman" w:cs="Times New Roman"/>
          <w:sz w:val="24"/>
          <w:szCs w:val="24"/>
          <w:lang w:val="en-US"/>
        </w:rPr>
      </w:pPr>
      <w:r w:rsidRPr="00EE3E8E">
        <w:rPr>
          <w:rFonts w:ascii="Times New Roman" w:hAnsi="Times New Roman" w:cs="Times New Roman"/>
          <w:sz w:val="24"/>
          <w:szCs w:val="24"/>
        </w:rPr>
        <w:t xml:space="preserve">(2) </w:t>
      </w:r>
      <w:r w:rsidR="008F1D52" w:rsidRPr="008F1D52">
        <w:rPr>
          <w:rFonts w:ascii="Times New Roman" w:hAnsi="Times New Roman" w:cs="Times New Roman"/>
          <w:sz w:val="24"/>
          <w:szCs w:val="24"/>
        </w:rPr>
        <w:t>În situaţia defectării contorului de măsurare a energiei electrice prevăzut la art. 7 alin. (1), energia electrică produsă din surse regenerabile şi livrată în reţeaua electrică de prosumator, precum și energia electrică consumată din rețeaua electrică de către prosumator se stabilesc pe baza datelor lunare măsurate de sistemul interconectat invertor-contor electronic de energie electrică și stocate în cloud-ul producătorului de invertor/invertoare, dacă un astfel de sistem este montat în instalația prosumatorului.</w:t>
      </w:r>
      <w:r w:rsidR="008613F2">
        <w:rPr>
          <w:rFonts w:ascii="Times New Roman" w:hAnsi="Times New Roman" w:cs="Times New Roman"/>
          <w:sz w:val="24"/>
          <w:szCs w:val="24"/>
          <w:lang w:val="en-US"/>
        </w:rPr>
        <w:t>”</w:t>
      </w:r>
    </w:p>
    <w:p w:rsidR="00EE3E8E" w:rsidRPr="00EE3E8E" w:rsidRDefault="00EE3E8E" w:rsidP="008F1D52">
      <w:pPr>
        <w:pStyle w:val="ListParagraph"/>
        <w:spacing w:after="0" w:line="360" w:lineRule="auto"/>
        <w:ind w:left="357"/>
        <w:jc w:val="both"/>
        <w:rPr>
          <w:rFonts w:ascii="Times New Roman" w:hAnsi="Times New Roman" w:cs="Times New Roman"/>
          <w:sz w:val="24"/>
          <w:szCs w:val="24"/>
        </w:rPr>
      </w:pPr>
    </w:p>
    <w:p w:rsidR="008613F2" w:rsidRPr="008613F2" w:rsidRDefault="008613F2" w:rsidP="008613F2">
      <w:pPr>
        <w:pStyle w:val="ListParagraph"/>
        <w:numPr>
          <w:ilvl w:val="0"/>
          <w:numId w:val="1"/>
        </w:numPr>
        <w:spacing w:line="360" w:lineRule="auto"/>
        <w:ind w:left="357" w:hanging="357"/>
        <w:jc w:val="both"/>
        <w:rPr>
          <w:rFonts w:ascii="Times New Roman" w:hAnsi="Times New Roman" w:cs="Times New Roman"/>
          <w:b/>
          <w:sz w:val="24"/>
          <w:szCs w:val="24"/>
        </w:rPr>
      </w:pPr>
      <w:r w:rsidRPr="008613F2">
        <w:rPr>
          <w:rFonts w:ascii="Times New Roman" w:hAnsi="Times New Roman" w:cs="Times New Roman"/>
          <w:b/>
          <w:sz w:val="24"/>
          <w:szCs w:val="24"/>
        </w:rPr>
        <w:t xml:space="preserve">La articolul 8, </w:t>
      </w:r>
      <w:r>
        <w:rPr>
          <w:rFonts w:ascii="Times New Roman" w:hAnsi="Times New Roman" w:cs="Times New Roman"/>
          <w:b/>
          <w:sz w:val="24"/>
          <w:szCs w:val="24"/>
        </w:rPr>
        <w:t xml:space="preserve">după </w:t>
      </w:r>
      <w:r w:rsidRPr="008613F2">
        <w:rPr>
          <w:rFonts w:ascii="Times New Roman" w:hAnsi="Times New Roman" w:cs="Times New Roman"/>
          <w:b/>
          <w:sz w:val="24"/>
          <w:szCs w:val="24"/>
        </w:rPr>
        <w:t>alineat</w:t>
      </w:r>
      <w:r>
        <w:rPr>
          <w:rFonts w:ascii="Times New Roman" w:hAnsi="Times New Roman" w:cs="Times New Roman"/>
          <w:b/>
          <w:sz w:val="24"/>
          <w:szCs w:val="24"/>
        </w:rPr>
        <w:t>ul</w:t>
      </w:r>
      <w:r w:rsidRPr="008613F2">
        <w:rPr>
          <w:rFonts w:ascii="Times New Roman" w:hAnsi="Times New Roman" w:cs="Times New Roman"/>
          <w:b/>
          <w:sz w:val="24"/>
          <w:szCs w:val="24"/>
        </w:rPr>
        <w:t xml:space="preserve"> (2)</w:t>
      </w:r>
      <w:r>
        <w:rPr>
          <w:rFonts w:ascii="Times New Roman" w:hAnsi="Times New Roman" w:cs="Times New Roman"/>
          <w:b/>
          <w:sz w:val="24"/>
          <w:szCs w:val="24"/>
        </w:rPr>
        <w:t>, se introduce un nou alineat, alineatul (2</w:t>
      </w:r>
      <w:r w:rsidRPr="008613F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8613F2">
        <w:rPr>
          <w:rFonts w:ascii="Times New Roman" w:hAnsi="Times New Roman" w:cs="Times New Roman"/>
          <w:b/>
          <w:sz w:val="24"/>
          <w:szCs w:val="24"/>
        </w:rPr>
        <w:t xml:space="preserve"> </w:t>
      </w:r>
      <w:r>
        <w:rPr>
          <w:rFonts w:ascii="Times New Roman" w:hAnsi="Times New Roman" w:cs="Times New Roman"/>
          <w:b/>
          <w:sz w:val="24"/>
          <w:szCs w:val="24"/>
        </w:rPr>
        <w:t>cu</w:t>
      </w:r>
      <w:r w:rsidRPr="008613F2">
        <w:rPr>
          <w:rFonts w:ascii="Times New Roman" w:hAnsi="Times New Roman" w:cs="Times New Roman"/>
          <w:b/>
          <w:sz w:val="24"/>
          <w:szCs w:val="24"/>
        </w:rPr>
        <w:t xml:space="preserve"> următorul cuprins:</w:t>
      </w:r>
    </w:p>
    <w:p w:rsidR="008613F2" w:rsidRPr="008613F2" w:rsidRDefault="008613F2" w:rsidP="008613F2">
      <w:pPr>
        <w:pStyle w:val="ListParagraph"/>
        <w:spacing w:line="360" w:lineRule="auto"/>
        <w:ind w:left="357"/>
        <w:jc w:val="both"/>
        <w:rPr>
          <w:rFonts w:ascii="Times New Roman" w:hAnsi="Times New Roman" w:cs="Times New Roman"/>
          <w:sz w:val="24"/>
          <w:szCs w:val="24"/>
        </w:rPr>
      </w:pPr>
      <w:r w:rsidRPr="008613F2">
        <w:rPr>
          <w:rFonts w:ascii="Times New Roman" w:hAnsi="Times New Roman" w:cs="Times New Roman"/>
          <w:sz w:val="24"/>
          <w:szCs w:val="24"/>
        </w:rPr>
        <w:t>„(2</w:t>
      </w:r>
      <w:r w:rsidRPr="008613F2">
        <w:rPr>
          <w:rFonts w:ascii="Times New Roman" w:hAnsi="Times New Roman" w:cs="Times New Roman"/>
          <w:sz w:val="24"/>
          <w:szCs w:val="24"/>
          <w:vertAlign w:val="superscript"/>
        </w:rPr>
        <w:t>1</w:t>
      </w:r>
      <w:r w:rsidRPr="008613F2">
        <w:rPr>
          <w:rFonts w:ascii="Times New Roman" w:hAnsi="Times New Roman" w:cs="Times New Roman"/>
          <w:sz w:val="24"/>
          <w:szCs w:val="24"/>
        </w:rPr>
        <w:t>) În lipsa sistemului interconectat invertor-contor electronic de energie electrică prevăzut la alin. (2), se procedează după cum urmează:</w:t>
      </w:r>
    </w:p>
    <w:p w:rsidR="008613F2" w:rsidRPr="008613F2" w:rsidRDefault="008613F2" w:rsidP="008613F2">
      <w:pPr>
        <w:pStyle w:val="ListParagraph"/>
        <w:spacing w:line="360" w:lineRule="auto"/>
        <w:ind w:left="357"/>
        <w:jc w:val="both"/>
        <w:rPr>
          <w:rFonts w:ascii="Times New Roman" w:hAnsi="Times New Roman" w:cs="Times New Roman"/>
          <w:sz w:val="24"/>
          <w:szCs w:val="24"/>
        </w:rPr>
      </w:pPr>
      <w:r w:rsidRPr="008613F2">
        <w:rPr>
          <w:rFonts w:ascii="Times New Roman" w:hAnsi="Times New Roman" w:cs="Times New Roman"/>
          <w:sz w:val="24"/>
          <w:szCs w:val="24"/>
        </w:rPr>
        <w:t>a) energia electrică produsă din surse regenerabile şi livrată în reţeaua electrică de prosumator este stabilită  prin calcul, ca produs dintre puterea electrică maximă care poate fi evacutată în rețeaua electrică, factorul de capacitate mediu pe tip de tehnologie, disponibil în ultimul Raport cu privire la analiza de supracompensare a sistemului de promovare prin certificate verzi a energiei electrice din surse regenerabile publicat de ANRE pe site-ul propriu și perioada în care contorul a fost defect, caz în care cantitatea de energie electrică astfel stabilită se consideră valoare măsurată;</w:t>
      </w:r>
    </w:p>
    <w:p w:rsidR="008613F2" w:rsidRDefault="008613F2" w:rsidP="008613F2">
      <w:pPr>
        <w:pStyle w:val="ListParagraph"/>
        <w:spacing w:line="360" w:lineRule="auto"/>
        <w:ind w:left="357"/>
        <w:jc w:val="both"/>
        <w:rPr>
          <w:rFonts w:ascii="Times New Roman" w:hAnsi="Times New Roman" w:cs="Times New Roman"/>
          <w:sz w:val="24"/>
          <w:szCs w:val="24"/>
        </w:rPr>
      </w:pPr>
      <w:r w:rsidRPr="008613F2">
        <w:rPr>
          <w:rFonts w:ascii="Times New Roman" w:hAnsi="Times New Roman" w:cs="Times New Roman"/>
          <w:sz w:val="24"/>
          <w:szCs w:val="24"/>
        </w:rPr>
        <w:t>b) energia electrică consumată din rețeaua electrică de prosumator în calitate de consumator se stabilește în conformitate cu prevederile Procedurii privind stabilirea consumului de energie electrică în sistem pauşal, aprobată prin Ordinul ANRE nr. 190/2020.</w:t>
      </w:r>
      <w:r w:rsidRPr="008613F2">
        <w:t xml:space="preserve"> </w:t>
      </w:r>
      <w:r w:rsidRPr="008613F2">
        <w:rPr>
          <w:rFonts w:ascii="Times New Roman" w:hAnsi="Times New Roman" w:cs="Times New Roman"/>
          <w:sz w:val="24"/>
          <w:szCs w:val="24"/>
        </w:rPr>
        <w:t>”</w:t>
      </w:r>
    </w:p>
    <w:p w:rsidR="008613F2" w:rsidRPr="008613F2" w:rsidRDefault="008613F2" w:rsidP="008613F2">
      <w:pPr>
        <w:pStyle w:val="ListParagraph"/>
        <w:spacing w:line="360" w:lineRule="auto"/>
        <w:ind w:left="357"/>
        <w:jc w:val="both"/>
        <w:rPr>
          <w:rFonts w:ascii="Times New Roman" w:hAnsi="Times New Roman" w:cs="Times New Roman"/>
          <w:sz w:val="24"/>
          <w:szCs w:val="24"/>
        </w:rPr>
      </w:pPr>
    </w:p>
    <w:p w:rsidR="004D2A2D" w:rsidRPr="004D2A2D" w:rsidRDefault="00EE3E8E" w:rsidP="004D2A2D">
      <w:pPr>
        <w:pStyle w:val="ListParagraph"/>
        <w:numPr>
          <w:ilvl w:val="0"/>
          <w:numId w:val="1"/>
        </w:numPr>
        <w:spacing w:line="360" w:lineRule="auto"/>
        <w:ind w:left="357" w:hanging="357"/>
        <w:jc w:val="both"/>
        <w:rPr>
          <w:rFonts w:ascii="Times New Roman" w:hAnsi="Times New Roman" w:cs="Times New Roman"/>
          <w:b/>
          <w:sz w:val="24"/>
          <w:szCs w:val="24"/>
        </w:rPr>
      </w:pPr>
      <w:r w:rsidRPr="00EE3E8E">
        <w:rPr>
          <w:rFonts w:ascii="Times New Roman" w:hAnsi="Times New Roman" w:cs="Times New Roman"/>
          <w:b/>
          <w:sz w:val="24"/>
          <w:szCs w:val="24"/>
        </w:rPr>
        <w:t>La articolul 1</w:t>
      </w:r>
      <w:r>
        <w:rPr>
          <w:rFonts w:ascii="Times New Roman" w:hAnsi="Times New Roman" w:cs="Times New Roman"/>
          <w:b/>
          <w:sz w:val="24"/>
          <w:szCs w:val="24"/>
        </w:rPr>
        <w:t>0</w:t>
      </w:r>
      <w:r w:rsidRPr="00EE3E8E">
        <w:rPr>
          <w:rFonts w:ascii="Times New Roman" w:hAnsi="Times New Roman" w:cs="Times New Roman"/>
          <w:b/>
          <w:sz w:val="24"/>
          <w:szCs w:val="24"/>
        </w:rPr>
        <w:t>, după alineatul (</w:t>
      </w:r>
      <w:r>
        <w:rPr>
          <w:rFonts w:ascii="Times New Roman" w:hAnsi="Times New Roman" w:cs="Times New Roman"/>
          <w:b/>
          <w:sz w:val="24"/>
          <w:szCs w:val="24"/>
        </w:rPr>
        <w:t>2</w:t>
      </w:r>
      <w:r w:rsidRPr="00EE3E8E">
        <w:rPr>
          <w:rFonts w:ascii="Times New Roman" w:hAnsi="Times New Roman" w:cs="Times New Roman"/>
          <w:b/>
          <w:sz w:val="24"/>
          <w:szCs w:val="24"/>
        </w:rPr>
        <w:t>), se introduce un nou alineat, alineatul (</w:t>
      </w:r>
      <w:r>
        <w:rPr>
          <w:rFonts w:ascii="Times New Roman" w:hAnsi="Times New Roman" w:cs="Times New Roman"/>
          <w:b/>
          <w:sz w:val="24"/>
          <w:szCs w:val="24"/>
        </w:rPr>
        <w:t>3</w:t>
      </w:r>
      <w:r w:rsidRPr="00EE3E8E">
        <w:rPr>
          <w:rFonts w:ascii="Times New Roman" w:hAnsi="Times New Roman" w:cs="Times New Roman"/>
          <w:b/>
          <w:sz w:val="24"/>
          <w:szCs w:val="24"/>
        </w:rPr>
        <w:t>), cu următorul cuprins:</w:t>
      </w:r>
    </w:p>
    <w:p w:rsidR="00EE3E8E" w:rsidRDefault="00EE3E8E" w:rsidP="00EE3E8E">
      <w:pPr>
        <w:pStyle w:val="ListParagraph"/>
        <w:spacing w:after="0" w:line="360" w:lineRule="auto"/>
        <w:ind w:left="357"/>
        <w:jc w:val="both"/>
        <w:rPr>
          <w:rFonts w:ascii="Times New Roman" w:hAnsi="Times New Roman" w:cs="Times New Roman"/>
          <w:sz w:val="24"/>
          <w:szCs w:val="24"/>
        </w:rPr>
      </w:pPr>
      <w:r w:rsidRPr="00EE3E8E">
        <w:rPr>
          <w:rFonts w:ascii="Times New Roman" w:hAnsi="Times New Roman" w:cs="Times New Roman"/>
          <w:sz w:val="24"/>
          <w:szCs w:val="24"/>
        </w:rPr>
        <w:t>„(</w:t>
      </w:r>
      <w:r>
        <w:rPr>
          <w:rFonts w:ascii="Times New Roman" w:hAnsi="Times New Roman" w:cs="Times New Roman"/>
          <w:sz w:val="24"/>
          <w:szCs w:val="24"/>
        </w:rPr>
        <w:t>3</w:t>
      </w:r>
      <w:r w:rsidRPr="00EE3E8E">
        <w:rPr>
          <w:rFonts w:ascii="Times New Roman" w:hAnsi="Times New Roman" w:cs="Times New Roman"/>
          <w:sz w:val="24"/>
          <w:szCs w:val="24"/>
        </w:rPr>
        <w:t>) În situația prosumatorului client casnic, dacă în urma compensării între facturile prevăzute la alin. (1) rezultă de plată de către furnizorul de energie electrică o sumă mai mare de 100 lei, devin aplicabile prevederile art. 62 alin. (1) lit. h^5) din Lege. Sumele sub valoarea de 100 lei vor fi compensate cu sumele din facturile emise pentru perioada/perioadele următoare de facturare.”</w:t>
      </w:r>
    </w:p>
    <w:p w:rsidR="00EE3E8E" w:rsidRPr="00EE3E8E" w:rsidRDefault="00EE3E8E" w:rsidP="00EE3E8E">
      <w:pPr>
        <w:pStyle w:val="ListParagraph"/>
        <w:spacing w:after="0" w:line="360" w:lineRule="auto"/>
        <w:ind w:left="357"/>
        <w:jc w:val="both"/>
        <w:rPr>
          <w:rFonts w:ascii="Times New Roman" w:hAnsi="Times New Roman" w:cs="Times New Roman"/>
          <w:sz w:val="24"/>
          <w:szCs w:val="24"/>
        </w:rPr>
      </w:pPr>
    </w:p>
    <w:p w:rsidR="00645E74" w:rsidRDefault="00645E74" w:rsidP="00505617">
      <w:pPr>
        <w:pStyle w:val="ListParagraph"/>
        <w:numPr>
          <w:ilvl w:val="0"/>
          <w:numId w:val="1"/>
        </w:numPr>
        <w:spacing w:after="0" w:line="360" w:lineRule="auto"/>
        <w:ind w:left="357" w:hanging="357"/>
        <w:jc w:val="both"/>
        <w:rPr>
          <w:rFonts w:ascii="Times New Roman" w:hAnsi="Times New Roman" w:cs="Times New Roman"/>
          <w:b/>
          <w:sz w:val="24"/>
          <w:szCs w:val="24"/>
        </w:rPr>
      </w:pPr>
      <w:r w:rsidRPr="00645E74">
        <w:rPr>
          <w:rFonts w:ascii="Times New Roman" w:hAnsi="Times New Roman" w:cs="Times New Roman"/>
          <w:b/>
          <w:sz w:val="24"/>
          <w:szCs w:val="24"/>
        </w:rPr>
        <w:t>La articolul 1</w:t>
      </w:r>
      <w:r w:rsidR="00505617">
        <w:rPr>
          <w:rFonts w:ascii="Times New Roman" w:hAnsi="Times New Roman" w:cs="Times New Roman"/>
          <w:b/>
          <w:sz w:val="24"/>
          <w:szCs w:val="24"/>
        </w:rPr>
        <w:t>2</w:t>
      </w:r>
      <w:r w:rsidRPr="00645E74">
        <w:rPr>
          <w:rFonts w:ascii="Times New Roman" w:hAnsi="Times New Roman" w:cs="Times New Roman"/>
          <w:b/>
          <w:sz w:val="24"/>
          <w:szCs w:val="24"/>
        </w:rPr>
        <w:t>, după alineatul (</w:t>
      </w:r>
      <w:r w:rsidR="00505617">
        <w:rPr>
          <w:rFonts w:ascii="Times New Roman" w:hAnsi="Times New Roman" w:cs="Times New Roman"/>
          <w:b/>
          <w:sz w:val="24"/>
          <w:szCs w:val="24"/>
        </w:rPr>
        <w:t>4</w:t>
      </w:r>
      <w:r w:rsidRPr="00645E74">
        <w:rPr>
          <w:rFonts w:ascii="Times New Roman" w:hAnsi="Times New Roman" w:cs="Times New Roman"/>
          <w:b/>
          <w:sz w:val="24"/>
          <w:szCs w:val="24"/>
        </w:rPr>
        <w:t>), se introduce un nou alineat, alineatul (</w:t>
      </w:r>
      <w:r w:rsidR="00505617">
        <w:rPr>
          <w:rFonts w:ascii="Times New Roman" w:hAnsi="Times New Roman" w:cs="Times New Roman"/>
          <w:b/>
          <w:sz w:val="24"/>
          <w:szCs w:val="24"/>
        </w:rPr>
        <w:t>4</w:t>
      </w:r>
      <w:r w:rsidR="00505617">
        <w:rPr>
          <w:rFonts w:ascii="Times New Roman" w:hAnsi="Times New Roman" w:cs="Times New Roman"/>
          <w:b/>
          <w:sz w:val="24"/>
          <w:szCs w:val="24"/>
          <w:vertAlign w:val="superscript"/>
        </w:rPr>
        <w:t>1</w:t>
      </w:r>
      <w:r w:rsidRPr="00645E74">
        <w:rPr>
          <w:rFonts w:ascii="Times New Roman" w:hAnsi="Times New Roman" w:cs="Times New Roman"/>
          <w:b/>
          <w:sz w:val="24"/>
          <w:szCs w:val="24"/>
        </w:rPr>
        <w:t>), cu următorul cuprins:</w:t>
      </w:r>
    </w:p>
    <w:p w:rsidR="00A430B8" w:rsidRPr="00505617" w:rsidRDefault="00505617" w:rsidP="00505617">
      <w:pPr>
        <w:pStyle w:val="ListParagraph"/>
        <w:spacing w:after="0" w:line="360" w:lineRule="auto"/>
        <w:ind w:left="357"/>
        <w:jc w:val="both"/>
        <w:rPr>
          <w:rFonts w:ascii="Times New Roman" w:hAnsi="Times New Roman" w:cs="Times New Roman"/>
          <w:sz w:val="24"/>
          <w:szCs w:val="24"/>
        </w:rPr>
      </w:pPr>
      <w:bookmarkStart w:id="2" w:name="_Hlk145324889"/>
      <w:r w:rsidRPr="00505617">
        <w:rPr>
          <w:rFonts w:ascii="Times New Roman" w:hAnsi="Times New Roman" w:cs="Times New Roman"/>
          <w:sz w:val="24"/>
          <w:szCs w:val="24"/>
        </w:rPr>
        <w:t>„(4</w:t>
      </w:r>
      <w:r w:rsidRPr="00505617">
        <w:rPr>
          <w:rFonts w:ascii="Times New Roman" w:hAnsi="Times New Roman" w:cs="Times New Roman"/>
          <w:sz w:val="24"/>
          <w:szCs w:val="24"/>
          <w:vertAlign w:val="superscript"/>
        </w:rPr>
        <w:t>1</w:t>
      </w:r>
      <w:r w:rsidRPr="00505617">
        <w:rPr>
          <w:rFonts w:ascii="Times New Roman" w:hAnsi="Times New Roman" w:cs="Times New Roman"/>
          <w:sz w:val="24"/>
          <w:szCs w:val="24"/>
        </w:rPr>
        <w:t xml:space="preserve">) </w:t>
      </w:r>
      <w:r w:rsidR="00A20618" w:rsidRPr="00A20618">
        <w:rPr>
          <w:rFonts w:ascii="Times New Roman" w:hAnsi="Times New Roman" w:cs="Times New Roman"/>
          <w:sz w:val="24"/>
          <w:szCs w:val="24"/>
        </w:rPr>
        <w:t xml:space="preserve">Furnizorul de energie electrică are obligația ca odată cu factura/facturile prevăzute la alin. (4) lit. a) să transmită prosumatorului și rezultatul compensării financiare </w:t>
      </w:r>
      <w:r w:rsidR="00EE3E8E">
        <w:rPr>
          <w:rFonts w:ascii="Times New Roman" w:hAnsi="Times New Roman" w:cs="Times New Roman"/>
          <w:sz w:val="24"/>
          <w:szCs w:val="24"/>
        </w:rPr>
        <w:t xml:space="preserve">realizate </w:t>
      </w:r>
      <w:r w:rsidR="00A20618" w:rsidRPr="00A20618">
        <w:rPr>
          <w:rFonts w:ascii="Times New Roman" w:hAnsi="Times New Roman" w:cs="Times New Roman"/>
          <w:sz w:val="24"/>
          <w:szCs w:val="24"/>
        </w:rPr>
        <w:t>conform alin. (4), respectiv soldul de plată rezultat.</w:t>
      </w:r>
      <w:r w:rsidRPr="00505617">
        <w:rPr>
          <w:rFonts w:ascii="Times New Roman" w:hAnsi="Times New Roman" w:cs="Times New Roman"/>
          <w:sz w:val="24"/>
          <w:szCs w:val="24"/>
        </w:rPr>
        <w:t>”</w:t>
      </w:r>
    </w:p>
    <w:bookmarkEnd w:id="2"/>
    <w:p w:rsidR="007D1DAD" w:rsidRDefault="007D1DAD" w:rsidP="00645E74">
      <w:pPr>
        <w:pStyle w:val="ListParagraph"/>
        <w:spacing w:line="360" w:lineRule="auto"/>
        <w:ind w:left="360"/>
        <w:jc w:val="both"/>
        <w:rPr>
          <w:rFonts w:ascii="Times New Roman" w:hAnsi="Times New Roman" w:cs="Times New Roman"/>
          <w:b/>
          <w:sz w:val="24"/>
          <w:szCs w:val="24"/>
        </w:rPr>
      </w:pPr>
    </w:p>
    <w:p w:rsidR="00EE3E8E" w:rsidRDefault="00EE3E8E" w:rsidP="00685BE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 articolul 12, după alineatul (5), se introduce un nou alineat, alineatul (6), cu următorul cuprins:</w:t>
      </w:r>
    </w:p>
    <w:p w:rsidR="00EE3E8E" w:rsidRDefault="00673E80" w:rsidP="00EE3E8E">
      <w:pPr>
        <w:pStyle w:val="ListParagraph"/>
        <w:spacing w:line="360" w:lineRule="auto"/>
        <w:ind w:left="360"/>
        <w:jc w:val="both"/>
        <w:rPr>
          <w:rFonts w:ascii="Times New Roman" w:hAnsi="Times New Roman" w:cs="Times New Roman"/>
          <w:sz w:val="24"/>
          <w:szCs w:val="24"/>
        </w:rPr>
      </w:pPr>
      <w:r w:rsidRPr="00505617">
        <w:rPr>
          <w:rFonts w:ascii="Times New Roman" w:hAnsi="Times New Roman" w:cs="Times New Roman"/>
          <w:sz w:val="24"/>
          <w:szCs w:val="24"/>
        </w:rPr>
        <w:t>„</w:t>
      </w:r>
      <w:r w:rsidRPr="00673E80">
        <w:rPr>
          <w:rFonts w:ascii="Times New Roman" w:hAnsi="Times New Roman" w:cs="Times New Roman"/>
          <w:sz w:val="24"/>
          <w:szCs w:val="24"/>
        </w:rPr>
        <w:t xml:space="preserve">(6) În situația prosumatorului client casnic, dacă în urma compensării între facturile prevăzute la alin. (4), respectiv cele prevăzute la art. 11 alin. (5) lit. a) sau b), după caz, </w:t>
      </w:r>
      <w:r w:rsidRPr="00673E80">
        <w:rPr>
          <w:rFonts w:ascii="Times New Roman" w:hAnsi="Times New Roman" w:cs="Times New Roman"/>
          <w:sz w:val="24"/>
          <w:szCs w:val="24"/>
        </w:rPr>
        <w:lastRenderedPageBreak/>
        <w:t>rezultă de plată de către furnizorul de energie electrică o sumă mai mare de 100 lei, devin aplicabile prevederile art. 62 alin. (1) lit. h^5) din Lege. Sumele sub valoarea de 100 lei vor fi compensate cu sumele din facturile emise pentru perioada/perioadele următoare de facturare.</w:t>
      </w:r>
      <w:r w:rsidRPr="00505617">
        <w:rPr>
          <w:rFonts w:ascii="Times New Roman" w:hAnsi="Times New Roman" w:cs="Times New Roman"/>
          <w:sz w:val="24"/>
          <w:szCs w:val="24"/>
        </w:rPr>
        <w:t>”</w:t>
      </w:r>
    </w:p>
    <w:p w:rsidR="00673E80" w:rsidRPr="00673E80" w:rsidRDefault="00673E80" w:rsidP="00EE3E8E">
      <w:pPr>
        <w:pStyle w:val="ListParagraph"/>
        <w:spacing w:line="360" w:lineRule="auto"/>
        <w:ind w:left="360"/>
        <w:jc w:val="both"/>
        <w:rPr>
          <w:rFonts w:ascii="Times New Roman" w:hAnsi="Times New Roman" w:cs="Times New Roman"/>
          <w:sz w:val="24"/>
          <w:szCs w:val="24"/>
        </w:rPr>
      </w:pPr>
    </w:p>
    <w:p w:rsidR="00CC3301" w:rsidRDefault="00F62CF2" w:rsidP="00685BEB">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Articolul 12</w:t>
      </w:r>
      <w:r>
        <w:rPr>
          <w:rFonts w:ascii="Times New Roman" w:hAnsi="Times New Roman" w:cs="Times New Roman"/>
          <w:b/>
          <w:sz w:val="24"/>
          <w:szCs w:val="24"/>
          <w:vertAlign w:val="superscript"/>
        </w:rPr>
        <w:t>1</w:t>
      </w:r>
      <w:r w:rsidR="00CC3301">
        <w:rPr>
          <w:rFonts w:ascii="Times New Roman" w:hAnsi="Times New Roman" w:cs="Times New Roman"/>
          <w:b/>
          <w:sz w:val="24"/>
          <w:szCs w:val="24"/>
        </w:rPr>
        <w:t xml:space="preserve"> se </w:t>
      </w:r>
      <w:r w:rsidR="00A977B8">
        <w:rPr>
          <w:rFonts w:ascii="Times New Roman" w:hAnsi="Times New Roman" w:cs="Times New Roman"/>
          <w:b/>
          <w:sz w:val="24"/>
          <w:szCs w:val="24"/>
        </w:rPr>
        <w:t>modifică și va avea următorul cuprins:</w:t>
      </w:r>
    </w:p>
    <w:p w:rsidR="004B3A6B" w:rsidRPr="004B3A6B" w:rsidRDefault="00CC3301" w:rsidP="004B3A6B">
      <w:pPr>
        <w:pStyle w:val="ListParagraph"/>
        <w:spacing w:line="360" w:lineRule="auto"/>
        <w:ind w:left="360"/>
        <w:jc w:val="both"/>
        <w:rPr>
          <w:rFonts w:ascii="Times New Roman" w:hAnsi="Times New Roman" w:cs="Times New Roman"/>
          <w:sz w:val="24"/>
          <w:szCs w:val="24"/>
          <w:lang w:val="en-US"/>
        </w:rPr>
      </w:pPr>
      <w:bookmarkStart w:id="3" w:name="_Hlk128476916"/>
      <w:r>
        <w:rPr>
          <w:rFonts w:ascii="Times New Roman" w:hAnsi="Times New Roman" w:cs="Times New Roman"/>
          <w:sz w:val="24"/>
          <w:szCs w:val="24"/>
          <w:lang w:val="en-US"/>
        </w:rPr>
        <w:t>“</w:t>
      </w:r>
      <w:r w:rsidR="00453B42" w:rsidRPr="003E60FA">
        <w:rPr>
          <w:rFonts w:ascii="Times New Roman" w:hAnsi="Times New Roman" w:cs="Times New Roman"/>
          <w:b/>
          <w:sz w:val="24"/>
          <w:szCs w:val="24"/>
          <w:lang w:val="en-US"/>
        </w:rPr>
        <w:t>Art</w:t>
      </w:r>
      <w:r w:rsidR="003E60FA">
        <w:rPr>
          <w:rFonts w:ascii="Times New Roman" w:hAnsi="Times New Roman" w:cs="Times New Roman"/>
          <w:b/>
          <w:sz w:val="24"/>
          <w:szCs w:val="24"/>
          <w:lang w:val="en-US"/>
        </w:rPr>
        <w:t>icolul</w:t>
      </w:r>
      <w:r w:rsidR="00453B42" w:rsidRPr="003E60FA">
        <w:rPr>
          <w:rFonts w:ascii="Times New Roman" w:hAnsi="Times New Roman" w:cs="Times New Roman"/>
          <w:b/>
          <w:sz w:val="24"/>
          <w:szCs w:val="24"/>
          <w:lang w:val="en-US"/>
        </w:rPr>
        <w:t xml:space="preserve"> </w:t>
      </w:r>
      <w:r w:rsidR="00F62CF2" w:rsidRPr="003E60FA">
        <w:rPr>
          <w:rFonts w:ascii="Times New Roman" w:hAnsi="Times New Roman" w:cs="Times New Roman"/>
          <w:b/>
          <w:sz w:val="24"/>
          <w:szCs w:val="24"/>
          <w:lang w:val="en-US"/>
        </w:rPr>
        <w:t>12</w:t>
      </w:r>
      <w:r w:rsidR="00F62CF2" w:rsidRPr="003E60FA">
        <w:rPr>
          <w:rFonts w:ascii="Times New Roman" w:hAnsi="Times New Roman" w:cs="Times New Roman"/>
          <w:b/>
          <w:sz w:val="24"/>
          <w:szCs w:val="24"/>
          <w:vertAlign w:val="superscript"/>
          <w:lang w:val="en-US"/>
        </w:rPr>
        <w:t>1</w:t>
      </w:r>
      <w:r w:rsidR="00A977B8" w:rsidRPr="00EB14F4">
        <w:rPr>
          <w:rFonts w:ascii="Times New Roman" w:hAnsi="Times New Roman" w:cs="Times New Roman"/>
          <w:sz w:val="24"/>
          <w:szCs w:val="24"/>
          <w:lang w:val="en-US"/>
        </w:rPr>
        <w:t xml:space="preserve"> </w:t>
      </w:r>
      <w:r w:rsidR="00453B42">
        <w:rPr>
          <w:rFonts w:ascii="Times New Roman" w:hAnsi="Times New Roman" w:cs="Times New Roman"/>
          <w:sz w:val="24"/>
          <w:szCs w:val="24"/>
          <w:lang w:val="en-US"/>
        </w:rPr>
        <w:t xml:space="preserve">- </w:t>
      </w:r>
      <w:r w:rsidR="00453B42" w:rsidRPr="00453B42">
        <w:rPr>
          <w:rFonts w:ascii="Times New Roman" w:hAnsi="Times New Roman" w:cs="Times New Roman"/>
          <w:sz w:val="24"/>
          <w:szCs w:val="24"/>
          <w:lang w:val="en-US"/>
        </w:rPr>
        <w:t xml:space="preserve">(1) </w:t>
      </w:r>
      <w:r w:rsidR="004B3A6B" w:rsidRPr="004B3A6B">
        <w:rPr>
          <w:rFonts w:ascii="Times New Roman" w:hAnsi="Times New Roman" w:cs="Times New Roman"/>
          <w:sz w:val="24"/>
          <w:szCs w:val="24"/>
          <w:lang w:val="en-US"/>
        </w:rPr>
        <w:t>Până la expirarea perioadei de aplicabilitate a prevederilor OUG nr. 27/2022, compensarea cantitativă prevăzută la art. 73^1 alin. (3) din Lege se realizează cu preluarea energiei electrice produse şi livrate în reţeaua electrică de prosumatori la un preţ stabilit conform urmatoarelor reguli:</w:t>
      </w:r>
    </w:p>
    <w:p w:rsidR="004B3A6B" w:rsidRPr="004B3A6B" w:rsidRDefault="004B3A6B" w:rsidP="004B3A6B">
      <w:pPr>
        <w:pStyle w:val="ListParagraph"/>
        <w:spacing w:line="360" w:lineRule="auto"/>
        <w:ind w:left="360"/>
        <w:jc w:val="both"/>
        <w:rPr>
          <w:rFonts w:ascii="Times New Roman" w:hAnsi="Times New Roman" w:cs="Times New Roman"/>
          <w:sz w:val="24"/>
          <w:szCs w:val="24"/>
          <w:lang w:val="en-US"/>
        </w:rPr>
      </w:pPr>
      <w:r w:rsidRPr="004B3A6B">
        <w:rPr>
          <w:rFonts w:ascii="Times New Roman" w:hAnsi="Times New Roman" w:cs="Times New Roman"/>
          <w:sz w:val="24"/>
          <w:szCs w:val="24"/>
          <w:lang w:val="en-US"/>
        </w:rPr>
        <w:t xml:space="preserve">a) prețul energiei electrice active din contractul de furnizare </w:t>
      </w:r>
      <w:proofErr w:type="gramStart"/>
      <w:r w:rsidRPr="004B3A6B">
        <w:rPr>
          <w:rFonts w:ascii="Times New Roman" w:hAnsi="Times New Roman" w:cs="Times New Roman"/>
          <w:sz w:val="24"/>
          <w:szCs w:val="24"/>
          <w:lang w:val="en-US"/>
        </w:rPr>
        <w:t>a</w:t>
      </w:r>
      <w:proofErr w:type="gramEnd"/>
      <w:r w:rsidRPr="004B3A6B">
        <w:rPr>
          <w:rFonts w:ascii="Times New Roman" w:hAnsi="Times New Roman" w:cs="Times New Roman"/>
          <w:sz w:val="24"/>
          <w:szCs w:val="24"/>
          <w:lang w:val="en-US"/>
        </w:rPr>
        <w:t xml:space="preserve"> energiei electrice, fără prețul dezechilibrelor și al taxelor și tarifelor de rețea legale, dacă prețul final al energiei electrice din contractul de furnizare a energiei electrice este mai mic sau egal cu prețul final facturat plafonat corespunzător categoriei de consumator din OUG nr. 27/2022;</w:t>
      </w:r>
    </w:p>
    <w:p w:rsidR="004B3A6B" w:rsidRPr="004B3A6B" w:rsidRDefault="004B3A6B" w:rsidP="004B3A6B">
      <w:pPr>
        <w:pStyle w:val="ListParagraph"/>
        <w:spacing w:line="360" w:lineRule="auto"/>
        <w:ind w:left="360"/>
        <w:jc w:val="both"/>
        <w:rPr>
          <w:rFonts w:ascii="Times New Roman" w:hAnsi="Times New Roman" w:cs="Times New Roman"/>
          <w:sz w:val="24"/>
          <w:szCs w:val="24"/>
          <w:lang w:val="en-US"/>
        </w:rPr>
      </w:pPr>
      <w:r w:rsidRPr="004B3A6B">
        <w:rPr>
          <w:rFonts w:ascii="Times New Roman" w:hAnsi="Times New Roman" w:cs="Times New Roman"/>
          <w:sz w:val="24"/>
          <w:szCs w:val="24"/>
          <w:lang w:val="en-US"/>
        </w:rPr>
        <w:t xml:space="preserve">b) prețul mediu de achiziție realizat stabilit de furnizorul de energie electrică conform prevederilor OUG nr. 27/2022, dar nu mai mult de valoarea prevăzută la art. VI din OUG nr. 119/2022, cu modificările ulterioare, fără prețul dezechilibrelor și al tarifului de transport – componenta de introducere în rețea, dacă prețul final al energiei electrice din contractul de furnizare </w:t>
      </w:r>
      <w:proofErr w:type="gramStart"/>
      <w:r w:rsidRPr="004B3A6B">
        <w:rPr>
          <w:rFonts w:ascii="Times New Roman" w:hAnsi="Times New Roman" w:cs="Times New Roman"/>
          <w:sz w:val="24"/>
          <w:szCs w:val="24"/>
          <w:lang w:val="en-US"/>
        </w:rPr>
        <w:t>a</w:t>
      </w:r>
      <w:proofErr w:type="gramEnd"/>
      <w:r w:rsidRPr="004B3A6B">
        <w:rPr>
          <w:rFonts w:ascii="Times New Roman" w:hAnsi="Times New Roman" w:cs="Times New Roman"/>
          <w:sz w:val="24"/>
          <w:szCs w:val="24"/>
          <w:lang w:val="en-US"/>
        </w:rPr>
        <w:t xml:space="preserve"> energiei electrice este mai mare decât prețul final facturat plafonat corespunzător categoriei de consumator din OUG nr. 27/2022.</w:t>
      </w:r>
    </w:p>
    <w:p w:rsidR="004B3A6B" w:rsidRPr="004B3A6B" w:rsidRDefault="004B3A6B" w:rsidP="004B3A6B">
      <w:pPr>
        <w:pStyle w:val="ListParagraph"/>
        <w:spacing w:line="360" w:lineRule="auto"/>
        <w:ind w:left="360"/>
        <w:jc w:val="both"/>
        <w:rPr>
          <w:rFonts w:ascii="Times New Roman" w:hAnsi="Times New Roman" w:cs="Times New Roman"/>
          <w:sz w:val="24"/>
          <w:szCs w:val="24"/>
          <w:lang w:val="en-US"/>
        </w:rPr>
      </w:pPr>
      <w:r w:rsidRPr="004B3A6B">
        <w:rPr>
          <w:rFonts w:ascii="Times New Roman" w:hAnsi="Times New Roman" w:cs="Times New Roman"/>
          <w:sz w:val="24"/>
          <w:szCs w:val="24"/>
          <w:lang w:val="en-US"/>
        </w:rPr>
        <w:t>(1</w:t>
      </w:r>
      <w:r w:rsidRPr="00492098">
        <w:rPr>
          <w:rFonts w:ascii="Times New Roman" w:hAnsi="Times New Roman" w:cs="Times New Roman"/>
          <w:sz w:val="24"/>
          <w:szCs w:val="24"/>
          <w:vertAlign w:val="superscript"/>
          <w:lang w:val="en-US"/>
        </w:rPr>
        <w:t>1</w:t>
      </w:r>
      <w:r w:rsidRPr="004B3A6B">
        <w:rPr>
          <w:rFonts w:ascii="Times New Roman" w:hAnsi="Times New Roman" w:cs="Times New Roman"/>
          <w:sz w:val="24"/>
          <w:szCs w:val="24"/>
          <w:lang w:val="en-US"/>
        </w:rPr>
        <w:t>) Prin excepție de la prevederile alin. (1), pentru prosumatorii cu calitatea de consumatori finali preluaţi în regim de ultimă instanţă, preluarea energiei electrice produse şi livrate în reţeaua electrică de prosumatori se realizeză la preţul mediu de achiziție realizat stabilit de FUI conform prevederilor OUG nr. 27/2022, fără prețul dezechilibrelor.</w:t>
      </w:r>
    </w:p>
    <w:p w:rsidR="004B3A6B" w:rsidRPr="004B3A6B" w:rsidRDefault="004B3A6B" w:rsidP="004B3A6B">
      <w:pPr>
        <w:pStyle w:val="ListParagraph"/>
        <w:spacing w:line="360" w:lineRule="auto"/>
        <w:ind w:left="360"/>
        <w:jc w:val="both"/>
        <w:rPr>
          <w:rFonts w:ascii="Times New Roman" w:hAnsi="Times New Roman" w:cs="Times New Roman"/>
          <w:sz w:val="24"/>
          <w:szCs w:val="24"/>
          <w:lang w:val="en-US"/>
        </w:rPr>
      </w:pPr>
      <w:r w:rsidRPr="004B3A6B">
        <w:rPr>
          <w:rFonts w:ascii="Times New Roman" w:hAnsi="Times New Roman" w:cs="Times New Roman"/>
          <w:sz w:val="24"/>
          <w:szCs w:val="24"/>
          <w:lang w:val="en-US"/>
        </w:rPr>
        <w:t xml:space="preserve"> (2) Preţul mediu de achiziţie </w:t>
      </w:r>
      <w:proofErr w:type="gramStart"/>
      <w:r w:rsidRPr="004B3A6B">
        <w:rPr>
          <w:rFonts w:ascii="Times New Roman" w:hAnsi="Times New Roman" w:cs="Times New Roman"/>
          <w:sz w:val="24"/>
          <w:szCs w:val="24"/>
          <w:lang w:val="en-US"/>
        </w:rPr>
        <w:t>a</w:t>
      </w:r>
      <w:proofErr w:type="gramEnd"/>
      <w:r w:rsidRPr="004B3A6B">
        <w:rPr>
          <w:rFonts w:ascii="Times New Roman" w:hAnsi="Times New Roman" w:cs="Times New Roman"/>
          <w:sz w:val="24"/>
          <w:szCs w:val="24"/>
          <w:lang w:val="en-US"/>
        </w:rPr>
        <w:t xml:space="preserve"> energiei electrice realizat prevăzut la alin. (1) și (1</w:t>
      </w:r>
      <w:r w:rsidRPr="006254BC">
        <w:rPr>
          <w:rFonts w:ascii="Times New Roman" w:hAnsi="Times New Roman" w:cs="Times New Roman"/>
          <w:sz w:val="24"/>
          <w:szCs w:val="24"/>
          <w:vertAlign w:val="superscript"/>
          <w:lang w:val="en-US"/>
        </w:rPr>
        <w:t>1</w:t>
      </w:r>
      <w:r w:rsidRPr="004B3A6B">
        <w:rPr>
          <w:rFonts w:ascii="Times New Roman" w:hAnsi="Times New Roman" w:cs="Times New Roman"/>
          <w:sz w:val="24"/>
          <w:szCs w:val="24"/>
          <w:lang w:val="en-US"/>
        </w:rPr>
        <w:t>) se stabilește pentru o perioadă de facturare, fără a fi considerată achiziţia energiei electrice produse şi livrate în reţeaua electrică de prosumatori, în aceeaşi perioadă de facturare.</w:t>
      </w:r>
    </w:p>
    <w:p w:rsidR="00CC3301" w:rsidRPr="003F46CA" w:rsidRDefault="004B3A6B" w:rsidP="004B3A6B">
      <w:pPr>
        <w:pStyle w:val="ListParagraph"/>
        <w:spacing w:line="360" w:lineRule="auto"/>
        <w:ind w:left="360"/>
        <w:jc w:val="both"/>
        <w:rPr>
          <w:rFonts w:ascii="Times New Roman" w:hAnsi="Times New Roman" w:cs="Times New Roman"/>
          <w:sz w:val="24"/>
          <w:szCs w:val="24"/>
          <w:lang w:val="en-US"/>
        </w:rPr>
      </w:pPr>
      <w:r w:rsidRPr="004B3A6B">
        <w:rPr>
          <w:rFonts w:ascii="Times New Roman" w:hAnsi="Times New Roman" w:cs="Times New Roman"/>
          <w:sz w:val="24"/>
          <w:szCs w:val="24"/>
          <w:lang w:val="en-US"/>
        </w:rPr>
        <w:t>(3) La facturarea energiei electrice consumate din reţeaua electrică de prosumatori în calitate de consumatori furnizorii de energie electrică evidenţiază distinct componenta de energie electrică activă stabilită conform prevederilor OUG nr. 27/2022, diminuată cu preţul dezechilibrelor, iar neincluderea preţului dezechilibrelor este precizată distinct, ca element de informare în factură.</w:t>
      </w:r>
      <w:r w:rsidR="00CC3301" w:rsidRPr="003F46CA">
        <w:rPr>
          <w:rFonts w:ascii="Times New Roman" w:hAnsi="Times New Roman" w:cs="Times New Roman"/>
          <w:sz w:val="24"/>
          <w:szCs w:val="24"/>
          <w:lang w:val="en-US"/>
        </w:rPr>
        <w:t>”</w:t>
      </w:r>
      <w:r w:rsidR="00CC3301" w:rsidRPr="003F46CA">
        <w:rPr>
          <w:rFonts w:ascii="Times New Roman" w:hAnsi="Times New Roman" w:cs="Times New Roman"/>
          <w:b/>
          <w:sz w:val="24"/>
          <w:szCs w:val="24"/>
        </w:rPr>
        <w:t xml:space="preserve"> </w:t>
      </w:r>
    </w:p>
    <w:p w:rsidR="00DD5A3A" w:rsidRDefault="00DD5A3A" w:rsidP="00453B42">
      <w:pPr>
        <w:pStyle w:val="ListParagraph"/>
        <w:spacing w:line="360" w:lineRule="auto"/>
        <w:ind w:left="360"/>
        <w:jc w:val="both"/>
        <w:rPr>
          <w:rFonts w:ascii="Times New Roman" w:hAnsi="Times New Roman" w:cs="Times New Roman"/>
          <w:b/>
          <w:sz w:val="24"/>
          <w:szCs w:val="24"/>
        </w:rPr>
      </w:pPr>
    </w:p>
    <w:bookmarkEnd w:id="3"/>
    <w:p w:rsidR="000F7F4D" w:rsidRDefault="000F7F4D" w:rsidP="000F7F4D">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După articolul 12</w:t>
      </w:r>
      <w:r>
        <w:rPr>
          <w:rFonts w:ascii="Times New Roman" w:hAnsi="Times New Roman" w:cs="Times New Roman"/>
          <w:b/>
          <w:sz w:val="24"/>
          <w:szCs w:val="24"/>
          <w:vertAlign w:val="superscript"/>
        </w:rPr>
        <w:t>1</w:t>
      </w:r>
      <w:r w:rsidR="00DD5A3A">
        <w:rPr>
          <w:rFonts w:ascii="Times New Roman" w:hAnsi="Times New Roman" w:cs="Times New Roman"/>
          <w:b/>
          <w:sz w:val="24"/>
          <w:szCs w:val="24"/>
        </w:rPr>
        <w:t xml:space="preserve"> </w:t>
      </w:r>
      <w:r w:rsidRPr="000F7F4D">
        <w:rPr>
          <w:rFonts w:ascii="Times New Roman" w:hAnsi="Times New Roman" w:cs="Times New Roman"/>
          <w:b/>
          <w:sz w:val="24"/>
          <w:szCs w:val="24"/>
        </w:rPr>
        <w:t xml:space="preserve">se introduce </w:t>
      </w:r>
      <w:r>
        <w:rPr>
          <w:rFonts w:ascii="Times New Roman" w:hAnsi="Times New Roman" w:cs="Times New Roman"/>
          <w:b/>
          <w:sz w:val="24"/>
          <w:szCs w:val="24"/>
        </w:rPr>
        <w:t>un nou capitol</w:t>
      </w:r>
      <w:r w:rsidRPr="000F7F4D">
        <w:rPr>
          <w:rFonts w:ascii="Times New Roman" w:hAnsi="Times New Roman" w:cs="Times New Roman"/>
          <w:b/>
          <w:sz w:val="24"/>
          <w:szCs w:val="24"/>
        </w:rPr>
        <w:t xml:space="preserve">, </w:t>
      </w:r>
      <w:r>
        <w:rPr>
          <w:rFonts w:ascii="Times New Roman" w:hAnsi="Times New Roman" w:cs="Times New Roman"/>
          <w:b/>
          <w:sz w:val="24"/>
          <w:szCs w:val="24"/>
        </w:rPr>
        <w:t>capitolul V</w:t>
      </w:r>
      <w:r w:rsidRPr="000F7F4D">
        <w:rPr>
          <w:rFonts w:ascii="Times New Roman" w:hAnsi="Times New Roman" w:cs="Times New Roman"/>
          <w:b/>
          <w:sz w:val="24"/>
          <w:szCs w:val="24"/>
        </w:rPr>
        <w:t xml:space="preserve">, </w:t>
      </w:r>
      <w:r>
        <w:rPr>
          <w:rFonts w:ascii="Times New Roman" w:hAnsi="Times New Roman" w:cs="Times New Roman"/>
          <w:b/>
          <w:sz w:val="24"/>
          <w:szCs w:val="24"/>
        </w:rPr>
        <w:t>cu următoare</w:t>
      </w:r>
      <w:r w:rsidR="00DD2493">
        <w:rPr>
          <w:rFonts w:ascii="Times New Roman" w:hAnsi="Times New Roman" w:cs="Times New Roman"/>
          <w:b/>
          <w:sz w:val="24"/>
          <w:szCs w:val="24"/>
        </w:rPr>
        <w:t>a</w:t>
      </w:r>
      <w:r>
        <w:rPr>
          <w:rFonts w:ascii="Times New Roman" w:hAnsi="Times New Roman" w:cs="Times New Roman"/>
          <w:b/>
          <w:sz w:val="24"/>
          <w:szCs w:val="24"/>
        </w:rPr>
        <w:t xml:space="preserve"> denumire</w:t>
      </w:r>
      <w:r w:rsidRPr="000F7F4D">
        <w:rPr>
          <w:rFonts w:ascii="Times New Roman" w:hAnsi="Times New Roman" w:cs="Times New Roman"/>
          <w:b/>
          <w:sz w:val="24"/>
          <w:szCs w:val="24"/>
        </w:rPr>
        <w:t xml:space="preserve">: </w:t>
      </w:r>
    </w:p>
    <w:p w:rsidR="00DD5A3A" w:rsidRPr="000F7F4D" w:rsidRDefault="00DD5A3A" w:rsidP="00DD5A3A">
      <w:pPr>
        <w:pStyle w:val="ListParagraph"/>
        <w:spacing w:after="0" w:line="360" w:lineRule="auto"/>
        <w:ind w:left="360"/>
        <w:jc w:val="both"/>
        <w:rPr>
          <w:rFonts w:ascii="Times New Roman" w:hAnsi="Times New Roman" w:cs="Times New Roman"/>
          <w:b/>
          <w:sz w:val="24"/>
          <w:szCs w:val="24"/>
        </w:rPr>
      </w:pPr>
    </w:p>
    <w:p w:rsidR="000F7F4D" w:rsidRDefault="007D6DDA" w:rsidP="000F7F4D">
      <w:pPr>
        <w:pStyle w:val="ListParagraph"/>
        <w:autoSpaceDE w:val="0"/>
        <w:autoSpaceDN w:val="0"/>
        <w:adjustRightInd w:val="0"/>
        <w:spacing w:after="0" w:line="360" w:lineRule="auto"/>
        <w:ind w:left="360"/>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0F7F4D">
        <w:rPr>
          <w:rFonts w:ascii="Times New Roman" w:hAnsi="Times New Roman" w:cs="Times New Roman"/>
          <w:sz w:val="24"/>
          <w:szCs w:val="24"/>
          <w:lang w:val="en-US"/>
        </w:rPr>
        <w:t>Capitolul V</w:t>
      </w:r>
    </w:p>
    <w:p w:rsidR="007D6DDA" w:rsidRDefault="000F7F4D" w:rsidP="000F7F4D">
      <w:pPr>
        <w:pStyle w:val="ListParagraph"/>
        <w:autoSpaceDE w:val="0"/>
        <w:autoSpaceDN w:val="0"/>
        <w:adjustRightInd w:val="0"/>
        <w:spacing w:after="0" w:line="360" w:lineRule="auto"/>
        <w:ind w:left="36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Dispoziții finale</w:t>
      </w:r>
      <w:r w:rsidR="007D6DDA">
        <w:rPr>
          <w:rFonts w:ascii="Times New Roman" w:hAnsi="Times New Roman" w:cs="Times New Roman"/>
          <w:sz w:val="24"/>
          <w:szCs w:val="24"/>
          <w:lang w:val="en-US"/>
        </w:rPr>
        <w:t>”</w:t>
      </w:r>
    </w:p>
    <w:p w:rsidR="00DD5A3A" w:rsidRPr="007D6DDA" w:rsidRDefault="00DD5A3A" w:rsidP="000F7F4D">
      <w:pPr>
        <w:pStyle w:val="ListParagraph"/>
        <w:autoSpaceDE w:val="0"/>
        <w:autoSpaceDN w:val="0"/>
        <w:adjustRightInd w:val="0"/>
        <w:spacing w:after="0" w:line="360" w:lineRule="auto"/>
        <w:ind w:left="360"/>
        <w:jc w:val="center"/>
        <w:rPr>
          <w:rFonts w:ascii="Times New Roman" w:hAnsi="Times New Roman" w:cs="Times New Roman"/>
          <w:sz w:val="24"/>
          <w:szCs w:val="24"/>
        </w:rPr>
      </w:pPr>
    </w:p>
    <w:p w:rsidR="000F7F4D" w:rsidRPr="000F7F4D" w:rsidRDefault="000F7F4D" w:rsidP="000F7F4D">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bookmarkStart w:id="4" w:name="_Hlk131672428"/>
      <w:r w:rsidRPr="000F7F4D">
        <w:rPr>
          <w:rFonts w:ascii="Times New Roman" w:hAnsi="Times New Roman" w:cs="Times New Roman"/>
          <w:b/>
          <w:sz w:val="24"/>
          <w:szCs w:val="24"/>
        </w:rPr>
        <w:t>La articolul 1</w:t>
      </w:r>
      <w:r w:rsidR="003E60FA">
        <w:rPr>
          <w:rFonts w:ascii="Times New Roman" w:hAnsi="Times New Roman" w:cs="Times New Roman"/>
          <w:b/>
          <w:sz w:val="24"/>
          <w:szCs w:val="24"/>
        </w:rPr>
        <w:t>3</w:t>
      </w:r>
      <w:r w:rsidRPr="000F7F4D">
        <w:rPr>
          <w:rFonts w:ascii="Times New Roman" w:hAnsi="Times New Roman" w:cs="Times New Roman"/>
          <w:b/>
          <w:sz w:val="24"/>
          <w:szCs w:val="24"/>
        </w:rPr>
        <w:t xml:space="preserve">, după </w:t>
      </w:r>
      <w:r w:rsidR="003E60FA">
        <w:rPr>
          <w:rFonts w:ascii="Times New Roman" w:hAnsi="Times New Roman" w:cs="Times New Roman"/>
          <w:b/>
          <w:sz w:val="24"/>
          <w:szCs w:val="24"/>
        </w:rPr>
        <w:t>alineatul (1),</w:t>
      </w:r>
      <w:r w:rsidRPr="000F7F4D">
        <w:rPr>
          <w:rFonts w:ascii="Times New Roman" w:hAnsi="Times New Roman" w:cs="Times New Roman"/>
          <w:b/>
          <w:sz w:val="24"/>
          <w:szCs w:val="24"/>
        </w:rPr>
        <w:t xml:space="preserve"> se introduce </w:t>
      </w:r>
      <w:r w:rsidR="00DD2493">
        <w:rPr>
          <w:rFonts w:ascii="Times New Roman" w:hAnsi="Times New Roman" w:cs="Times New Roman"/>
          <w:b/>
          <w:sz w:val="24"/>
          <w:szCs w:val="24"/>
        </w:rPr>
        <w:t>u</w:t>
      </w:r>
      <w:r w:rsidR="003E60FA">
        <w:rPr>
          <w:rFonts w:ascii="Times New Roman" w:hAnsi="Times New Roman" w:cs="Times New Roman"/>
          <w:b/>
          <w:sz w:val="24"/>
          <w:szCs w:val="24"/>
        </w:rPr>
        <w:t>n nou alineat</w:t>
      </w:r>
      <w:r w:rsidRPr="000F7F4D">
        <w:rPr>
          <w:rFonts w:ascii="Times New Roman" w:hAnsi="Times New Roman" w:cs="Times New Roman"/>
          <w:b/>
          <w:sz w:val="24"/>
          <w:szCs w:val="24"/>
        </w:rPr>
        <w:t xml:space="preserve">, </w:t>
      </w:r>
      <w:r w:rsidR="003E60FA">
        <w:rPr>
          <w:rFonts w:ascii="Times New Roman" w:hAnsi="Times New Roman" w:cs="Times New Roman"/>
          <w:b/>
          <w:sz w:val="24"/>
          <w:szCs w:val="24"/>
        </w:rPr>
        <w:t>alineatul (1</w:t>
      </w:r>
      <w:r w:rsidR="003E60FA">
        <w:rPr>
          <w:rFonts w:ascii="Times New Roman" w:hAnsi="Times New Roman" w:cs="Times New Roman"/>
          <w:b/>
          <w:sz w:val="24"/>
          <w:szCs w:val="24"/>
          <w:vertAlign w:val="superscript"/>
        </w:rPr>
        <w:t>1</w:t>
      </w:r>
      <w:r w:rsidR="003E60FA">
        <w:rPr>
          <w:rFonts w:ascii="Times New Roman" w:hAnsi="Times New Roman" w:cs="Times New Roman"/>
          <w:b/>
          <w:sz w:val="24"/>
          <w:szCs w:val="24"/>
        </w:rPr>
        <w:t>)</w:t>
      </w:r>
      <w:r w:rsidRPr="000F7F4D">
        <w:rPr>
          <w:rFonts w:ascii="Times New Roman" w:hAnsi="Times New Roman" w:cs="Times New Roman"/>
          <w:b/>
          <w:sz w:val="24"/>
          <w:szCs w:val="24"/>
        </w:rPr>
        <w:t xml:space="preserve">, </w:t>
      </w:r>
      <w:r w:rsidR="00DD2493">
        <w:rPr>
          <w:rFonts w:ascii="Times New Roman" w:hAnsi="Times New Roman" w:cs="Times New Roman"/>
          <w:b/>
          <w:sz w:val="24"/>
          <w:szCs w:val="24"/>
        </w:rPr>
        <w:t>cu</w:t>
      </w:r>
      <w:r w:rsidRPr="000F7F4D">
        <w:rPr>
          <w:rFonts w:ascii="Times New Roman" w:hAnsi="Times New Roman" w:cs="Times New Roman"/>
          <w:b/>
          <w:sz w:val="24"/>
          <w:szCs w:val="24"/>
        </w:rPr>
        <w:t xml:space="preserve"> următorul cuprins:</w:t>
      </w:r>
    </w:p>
    <w:bookmarkEnd w:id="4"/>
    <w:p w:rsidR="003F2251" w:rsidRDefault="000F7F4D" w:rsidP="003E60FA">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0F7F4D">
        <w:rPr>
          <w:rFonts w:ascii="Times New Roman" w:hAnsi="Times New Roman" w:cs="Times New Roman"/>
          <w:b/>
          <w:sz w:val="24"/>
          <w:szCs w:val="24"/>
        </w:rPr>
        <w:t xml:space="preserve"> </w:t>
      </w:r>
      <w:r w:rsidR="003F4EDF" w:rsidRPr="00673A5F">
        <w:rPr>
          <w:rFonts w:ascii="Times New Roman" w:hAnsi="Times New Roman" w:cs="Times New Roman"/>
          <w:sz w:val="24"/>
          <w:szCs w:val="24"/>
        </w:rPr>
        <w:t>„</w:t>
      </w:r>
      <w:r w:rsidR="000D376E" w:rsidRPr="000D376E">
        <w:rPr>
          <w:rFonts w:ascii="Times New Roman" w:hAnsi="Times New Roman" w:cs="Times New Roman"/>
          <w:sz w:val="24"/>
          <w:szCs w:val="24"/>
          <w:lang w:val="en-US"/>
        </w:rPr>
        <w:t>(1</w:t>
      </w:r>
      <w:r w:rsidR="003E60FA">
        <w:rPr>
          <w:rFonts w:ascii="Times New Roman" w:hAnsi="Times New Roman" w:cs="Times New Roman"/>
          <w:sz w:val="24"/>
          <w:szCs w:val="24"/>
          <w:vertAlign w:val="superscript"/>
          <w:lang w:val="en-US"/>
        </w:rPr>
        <w:t>1</w:t>
      </w:r>
      <w:r w:rsidR="000D376E" w:rsidRPr="000D376E">
        <w:rPr>
          <w:rFonts w:ascii="Times New Roman" w:hAnsi="Times New Roman" w:cs="Times New Roman"/>
          <w:sz w:val="24"/>
          <w:szCs w:val="24"/>
          <w:lang w:val="en-US"/>
        </w:rPr>
        <w:t xml:space="preserve">) </w:t>
      </w:r>
      <w:r w:rsidR="007C3817" w:rsidRPr="007C3817">
        <w:rPr>
          <w:rFonts w:ascii="Times New Roman" w:hAnsi="Times New Roman" w:cs="Times New Roman"/>
          <w:sz w:val="24"/>
          <w:szCs w:val="24"/>
          <w:lang w:val="en-US"/>
        </w:rPr>
        <w:t>La solicitarea prosumatorului, atât în situația schimbării furnizorului de energie electrică, precum și în situația unui loc nou de producere și consum pentru care prosumatorul deține certificatul de racordare completat cu calitatea de prosumator, furnizorul de energie electrică este obligat să încheie simultan contractul de furnizare a energiei electrice și contractul de vânzare-cumpărare a energiei electrice produse în centralele electrice din surse regenerabile de energie cu putere electrică instalată de cel mult 400 kW pe loc de consum şi livrate în reţeaua electrică</w:t>
      </w:r>
      <w:r w:rsidR="003E60FA" w:rsidRPr="003E60FA">
        <w:rPr>
          <w:rFonts w:ascii="Times New Roman" w:hAnsi="Times New Roman" w:cs="Times New Roman"/>
          <w:sz w:val="24"/>
          <w:szCs w:val="24"/>
          <w:lang w:val="en-US"/>
        </w:rPr>
        <w:t>.”</w:t>
      </w:r>
    </w:p>
    <w:p w:rsidR="003F2251" w:rsidRPr="00EF48C6" w:rsidRDefault="003F2251" w:rsidP="000D376E">
      <w:pPr>
        <w:pStyle w:val="ListParagraph"/>
        <w:autoSpaceDE w:val="0"/>
        <w:autoSpaceDN w:val="0"/>
        <w:adjustRightInd w:val="0"/>
        <w:spacing w:after="0" w:line="360" w:lineRule="auto"/>
        <w:ind w:left="360"/>
        <w:jc w:val="both"/>
        <w:rPr>
          <w:rFonts w:ascii="Times New Roman" w:hAnsi="Times New Roman" w:cs="Times New Roman"/>
          <w:sz w:val="16"/>
          <w:szCs w:val="16"/>
          <w:lang w:val="en-US"/>
        </w:rPr>
      </w:pPr>
    </w:p>
    <w:p w:rsidR="003F2251" w:rsidRPr="007D4FDC" w:rsidRDefault="00240D00" w:rsidP="007D4FDC">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După articolul 14, se introduce un nou articol, articolul 14</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r w:rsidR="007D4FDC" w:rsidRPr="007D4FDC">
        <w:rPr>
          <w:rFonts w:ascii="Times New Roman" w:hAnsi="Times New Roman" w:cs="Times New Roman"/>
          <w:b/>
          <w:sz w:val="24"/>
          <w:szCs w:val="24"/>
          <w:lang w:val="en-US"/>
        </w:rPr>
        <w:t xml:space="preserve"> </w:t>
      </w:r>
      <w:r w:rsidR="00DD2493">
        <w:rPr>
          <w:rFonts w:ascii="Times New Roman" w:hAnsi="Times New Roman" w:cs="Times New Roman"/>
          <w:b/>
          <w:sz w:val="24"/>
          <w:szCs w:val="24"/>
          <w:lang w:val="en-US"/>
        </w:rPr>
        <w:t>cu</w:t>
      </w:r>
      <w:r w:rsidR="007D4FDC" w:rsidRPr="007D4FDC">
        <w:rPr>
          <w:rFonts w:ascii="Times New Roman" w:hAnsi="Times New Roman" w:cs="Times New Roman"/>
          <w:b/>
          <w:sz w:val="24"/>
          <w:szCs w:val="24"/>
          <w:lang w:val="en-US"/>
        </w:rPr>
        <w:t xml:space="preserve"> următorul cuprins:</w:t>
      </w:r>
    </w:p>
    <w:p w:rsidR="00C646E1" w:rsidRDefault="007D4FDC"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bookmarkStart w:id="5" w:name="_Hlk128477980"/>
      <w:r w:rsidRPr="007D4FDC">
        <w:rPr>
          <w:rFonts w:ascii="Times New Roman" w:hAnsi="Times New Roman" w:cs="Times New Roman"/>
          <w:sz w:val="24"/>
          <w:szCs w:val="24"/>
          <w:lang w:val="en-US"/>
        </w:rPr>
        <w:t>“</w:t>
      </w:r>
      <w:r w:rsidR="00240D00" w:rsidRPr="00240D00">
        <w:rPr>
          <w:rFonts w:ascii="Times New Roman" w:hAnsi="Times New Roman" w:cs="Times New Roman"/>
          <w:b/>
          <w:sz w:val="24"/>
          <w:szCs w:val="24"/>
          <w:lang w:val="en-US"/>
        </w:rPr>
        <w:t xml:space="preserve">Articolul </w:t>
      </w:r>
      <w:r w:rsidR="00EF48C6" w:rsidRPr="00240D00">
        <w:rPr>
          <w:rFonts w:ascii="Times New Roman" w:hAnsi="Times New Roman" w:cs="Times New Roman"/>
          <w:b/>
          <w:sz w:val="24"/>
          <w:szCs w:val="24"/>
          <w:lang w:val="en-US"/>
        </w:rPr>
        <w:t>1</w:t>
      </w:r>
      <w:r w:rsidR="00240D00" w:rsidRPr="00240D00">
        <w:rPr>
          <w:rFonts w:ascii="Times New Roman" w:hAnsi="Times New Roman" w:cs="Times New Roman"/>
          <w:b/>
          <w:sz w:val="24"/>
          <w:szCs w:val="24"/>
          <w:lang w:val="en-US"/>
        </w:rPr>
        <w:t>4</w:t>
      </w:r>
      <w:r w:rsidR="00EF48C6" w:rsidRPr="00240D00">
        <w:rPr>
          <w:rFonts w:ascii="Times New Roman" w:hAnsi="Times New Roman" w:cs="Times New Roman"/>
          <w:b/>
          <w:sz w:val="24"/>
          <w:szCs w:val="24"/>
          <w:vertAlign w:val="superscript"/>
          <w:lang w:val="en-US"/>
        </w:rPr>
        <w:t>1</w:t>
      </w:r>
      <w:r w:rsidRPr="007D4FDC">
        <w:rPr>
          <w:rFonts w:ascii="Times New Roman" w:hAnsi="Times New Roman" w:cs="Times New Roman"/>
          <w:sz w:val="24"/>
          <w:szCs w:val="24"/>
          <w:lang w:val="en-US"/>
        </w:rPr>
        <w:t xml:space="preserve"> </w:t>
      </w:r>
      <w:r w:rsidR="00240D00">
        <w:rPr>
          <w:rFonts w:ascii="Times New Roman" w:hAnsi="Times New Roman" w:cs="Times New Roman"/>
          <w:sz w:val="24"/>
          <w:szCs w:val="24"/>
          <w:lang w:val="en-US"/>
        </w:rPr>
        <w:t xml:space="preserve">- </w:t>
      </w:r>
      <w:r w:rsidR="00C646E1" w:rsidRPr="00C646E1">
        <w:rPr>
          <w:rFonts w:ascii="Times New Roman" w:hAnsi="Times New Roman" w:cs="Times New Roman"/>
          <w:sz w:val="24"/>
          <w:szCs w:val="24"/>
          <w:lang w:val="en-US"/>
        </w:rPr>
        <w:t>(1)</w:t>
      </w:r>
      <w:r w:rsidR="00C646E1">
        <w:rPr>
          <w:rFonts w:ascii="Times New Roman" w:hAnsi="Times New Roman" w:cs="Times New Roman"/>
          <w:sz w:val="24"/>
          <w:szCs w:val="24"/>
          <w:lang w:val="en-US"/>
        </w:rPr>
        <w:t xml:space="preserve"> </w:t>
      </w:r>
      <w:r w:rsidR="00C646E1" w:rsidRPr="00C646E1">
        <w:rPr>
          <w:rFonts w:ascii="Times New Roman" w:hAnsi="Times New Roman" w:cs="Times New Roman"/>
          <w:sz w:val="24"/>
          <w:szCs w:val="24"/>
          <w:lang w:val="en-US"/>
        </w:rPr>
        <w:t xml:space="preserve">La solicitarea unui prosumator certificat conform reglementărilor ANRE în vigoare, furnizorul de energie electrică realizează, în fiecare perioadă de facturare, decontarea financiară </w:t>
      </w:r>
      <w:proofErr w:type="gramStart"/>
      <w:r w:rsidR="00C646E1" w:rsidRPr="00C646E1">
        <w:rPr>
          <w:rFonts w:ascii="Times New Roman" w:hAnsi="Times New Roman" w:cs="Times New Roman"/>
          <w:sz w:val="24"/>
          <w:szCs w:val="24"/>
          <w:lang w:val="en-US"/>
        </w:rPr>
        <w:t>a</w:t>
      </w:r>
      <w:proofErr w:type="gramEnd"/>
      <w:r w:rsidR="00C646E1" w:rsidRPr="00C646E1">
        <w:rPr>
          <w:rFonts w:ascii="Times New Roman" w:hAnsi="Times New Roman" w:cs="Times New Roman"/>
          <w:sz w:val="24"/>
          <w:szCs w:val="24"/>
          <w:lang w:val="en-US"/>
        </w:rPr>
        <w:t xml:space="preserve"> energiei electrice produse la unul sau mai multe locuri de producere și consum și livrate în rețeaua electrică la alte locuri de consum/locuri de producere și consum, conform cererii prosumatorului transmisă furnizorului în acest sens. </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(2)</w:t>
      </w:r>
      <w:r w:rsidRPr="00C646E1">
        <w:rPr>
          <w:rFonts w:ascii="Times New Roman" w:hAnsi="Times New Roman" w:cs="Times New Roman"/>
          <w:sz w:val="24"/>
          <w:szCs w:val="24"/>
          <w:lang w:val="en-US"/>
        </w:rPr>
        <w:tab/>
        <w:t>Prosumatorul poate beneficia de mecanismul de decontare financiară prevăzut la alin. (1), între unul sau mai multe locuri de producere și consum, indiferent de puterea electrică instalată la locurile respective și locurile de consum ale acestuia, începând cu perioada de facturare imediat următoare datei înregistrării la furnizor de energie electrică a cererii întocmite de prosumator în acest sens, dacă sunt întrunite cumulativ următoarele condiții:</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 xml:space="preserve">a) detine unul sau mai multe locuri de producere și consum la care </w:t>
      </w:r>
      <w:proofErr w:type="gramStart"/>
      <w:r w:rsidRPr="00C646E1">
        <w:rPr>
          <w:rFonts w:ascii="Times New Roman" w:hAnsi="Times New Roman" w:cs="Times New Roman"/>
          <w:sz w:val="24"/>
          <w:szCs w:val="24"/>
          <w:lang w:val="en-US"/>
        </w:rPr>
        <w:t>are</w:t>
      </w:r>
      <w:proofErr w:type="gramEnd"/>
      <w:r w:rsidRPr="00C646E1">
        <w:rPr>
          <w:rFonts w:ascii="Times New Roman" w:hAnsi="Times New Roman" w:cs="Times New Roman"/>
          <w:sz w:val="24"/>
          <w:szCs w:val="24"/>
          <w:lang w:val="en-US"/>
        </w:rPr>
        <w:t xml:space="preserve"> calitatea de prosumator certificată conform reglementărilor ANRE; </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 xml:space="preserve">  b) este titular de contract de furnizare la toate locurile de consum ale acestuia care intră în compensare financiară;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 xml:space="preserve">c) este titular de contract de vânzare-cumpărare </w:t>
      </w:r>
      <w:proofErr w:type="gramStart"/>
      <w:r w:rsidRPr="00C646E1">
        <w:rPr>
          <w:rFonts w:ascii="Times New Roman" w:hAnsi="Times New Roman" w:cs="Times New Roman"/>
          <w:sz w:val="24"/>
          <w:szCs w:val="24"/>
          <w:lang w:val="en-US"/>
        </w:rPr>
        <w:t>a</w:t>
      </w:r>
      <w:proofErr w:type="gramEnd"/>
      <w:r w:rsidRPr="00C646E1">
        <w:rPr>
          <w:rFonts w:ascii="Times New Roman" w:hAnsi="Times New Roman" w:cs="Times New Roman"/>
          <w:sz w:val="24"/>
          <w:szCs w:val="24"/>
          <w:lang w:val="en-US"/>
        </w:rPr>
        <w:t xml:space="preserve"> energiei electrice produse și livrate în rețeaua electrică la toate locurile de producere și consum ale acestuia și care intră în compensare financiară, respectiv contract negociat direct sau contract încheiat cu respectarea contractului-cadru prevăzut în anexa nr. 1. sau în anexa nr. 2, după caz;</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lastRenderedPageBreak/>
        <w:t xml:space="preserve">d) locurile de producere si consum/locurile de consum prevăzute la alin. a) si b) sunt racordate la rețeaua electrică </w:t>
      </w:r>
      <w:proofErr w:type="gramStart"/>
      <w:r w:rsidRPr="00C646E1">
        <w:rPr>
          <w:rFonts w:ascii="Times New Roman" w:hAnsi="Times New Roman" w:cs="Times New Roman"/>
          <w:sz w:val="24"/>
          <w:szCs w:val="24"/>
          <w:lang w:val="en-US"/>
        </w:rPr>
        <w:t>a</w:t>
      </w:r>
      <w:proofErr w:type="gramEnd"/>
      <w:r w:rsidRPr="00C646E1">
        <w:rPr>
          <w:rFonts w:ascii="Times New Roman" w:hAnsi="Times New Roman" w:cs="Times New Roman"/>
          <w:sz w:val="24"/>
          <w:szCs w:val="24"/>
          <w:lang w:val="en-US"/>
        </w:rPr>
        <w:t xml:space="preserve"> aceluiași operator de distribuție a energiei electrice și furnizarea energiei electrice se realizează de acelaşi furnizor de energie electrică.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(3)</w:t>
      </w:r>
      <w:r w:rsidRPr="00C646E1">
        <w:rPr>
          <w:rFonts w:ascii="Times New Roman" w:hAnsi="Times New Roman" w:cs="Times New Roman"/>
          <w:sz w:val="24"/>
          <w:szCs w:val="24"/>
          <w:lang w:val="en-US"/>
        </w:rPr>
        <w:tab/>
        <w:t>Pentru a beneficia de decontarea financiară prevăzută la alin. (1), prosumatorul transmite furnizorului de energie electrică o cerere de decontare financiară, conform prevederilor Anexei nr. 3, în care precizează, pentru locul/locurile de producere și consum și pentru locul/locurile de consum pe care le deține și care îndeplinesc condiția de la alin. (2) lit. c), schema de utilizare a energiei electrice produse în exces la unul sau mai multe locuri de producere și consum și livrate în rețeaua electrică într-o perioadă de facturare, din care să rezulte ordinea de prioritate a acoperirii consumului de energie electrică de la alte locuri de producere și consum/locuri de consum în aceeași perioadă de facturare, schemă elaborată astfel încât să fie aplicabilă în toate regimurile de funcționare posibile în care prosumatorul poate să producă și să livreze în rețeaua electrică un excedent de energie electrică.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(4)</w:t>
      </w:r>
      <w:r w:rsidRPr="00C646E1">
        <w:rPr>
          <w:rFonts w:ascii="Times New Roman" w:hAnsi="Times New Roman" w:cs="Times New Roman"/>
          <w:sz w:val="24"/>
          <w:szCs w:val="24"/>
          <w:lang w:val="en-US"/>
        </w:rPr>
        <w:tab/>
        <w:t>Ordinea de prioritate prevăzută la alin. (3) poate fi modificată anual de prosumator.</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(5)</w:t>
      </w:r>
      <w:r w:rsidRPr="00C646E1">
        <w:rPr>
          <w:rFonts w:ascii="Times New Roman" w:hAnsi="Times New Roman" w:cs="Times New Roman"/>
          <w:sz w:val="24"/>
          <w:szCs w:val="24"/>
          <w:lang w:val="en-US"/>
        </w:rPr>
        <w:tab/>
        <w:t>Decontarea financiară prevăzută la alin. (1) se realizează prin compensare financiară între facturile emise de furnizor/prosumator, după caz, pentru fiecare dintre locurile de producere și consum și locurile de consum care intră în compensare financiară în perioada de facturare, cu respectarea tuturor regulilor aplicabile fiecărui loc de producere și consum/ loc de consum în parte. Emiterea facturilor de energie electrică se realizează după cum urmează: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a)</w:t>
      </w:r>
      <w:r w:rsidRPr="00C646E1">
        <w:rPr>
          <w:rFonts w:ascii="Times New Roman" w:hAnsi="Times New Roman" w:cs="Times New Roman"/>
          <w:sz w:val="24"/>
          <w:szCs w:val="24"/>
          <w:lang w:val="en-US"/>
        </w:rPr>
        <w:tab/>
        <w:t>dacă pentru locurile de producere și consum se aplică mecanismul de regularizare financiară, se emit facturi conform art. 10;</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b)</w:t>
      </w:r>
      <w:r w:rsidRPr="00C646E1">
        <w:rPr>
          <w:rFonts w:ascii="Times New Roman" w:hAnsi="Times New Roman" w:cs="Times New Roman"/>
          <w:sz w:val="24"/>
          <w:szCs w:val="24"/>
          <w:lang w:val="en-US"/>
        </w:rPr>
        <w:tab/>
        <w:t>dacă pentru locurile de producere și consum se aplică mecanismul de compensare cantitativă, se emit facturi conform art. 11, 12 și 12</w:t>
      </w:r>
      <w:r w:rsidRPr="006254BC">
        <w:rPr>
          <w:rFonts w:ascii="Times New Roman" w:hAnsi="Times New Roman" w:cs="Times New Roman"/>
          <w:sz w:val="24"/>
          <w:szCs w:val="24"/>
          <w:vertAlign w:val="superscript"/>
          <w:lang w:val="en-US"/>
        </w:rPr>
        <w:t>1</w:t>
      </w:r>
      <w:r w:rsidRPr="00C646E1">
        <w:rPr>
          <w:rFonts w:ascii="Times New Roman" w:hAnsi="Times New Roman" w:cs="Times New Roman"/>
          <w:sz w:val="24"/>
          <w:szCs w:val="24"/>
          <w:lang w:val="en-US"/>
        </w:rPr>
        <w:t>, după caz;</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c)</w:t>
      </w:r>
      <w:r w:rsidRPr="00C646E1">
        <w:rPr>
          <w:rFonts w:ascii="Times New Roman" w:hAnsi="Times New Roman" w:cs="Times New Roman"/>
          <w:sz w:val="24"/>
          <w:szCs w:val="24"/>
          <w:lang w:val="en-US"/>
        </w:rPr>
        <w:tab/>
        <w:t>dacă pentru locurile de producere și consum se aplică  prevederile unui contract bilateral negociat de vânzare-cumpărare a energiei electrice produse și livrate în rețeaua electrică de prosumator, se emit facturi de către prosumator pentru energie electrică produsă și livrată în rețeaua electrică conform contractului de vânzare-cumpărare încheiat între părți, respectiv de către furnizorul de energie electrică pentru energia electrică consumată conform contractului de furnizare a energiei electrice;</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lastRenderedPageBreak/>
        <w:t>d)</w:t>
      </w:r>
      <w:r w:rsidRPr="00C646E1">
        <w:rPr>
          <w:rFonts w:ascii="Times New Roman" w:hAnsi="Times New Roman" w:cs="Times New Roman"/>
          <w:sz w:val="24"/>
          <w:szCs w:val="24"/>
          <w:lang w:val="en-US"/>
        </w:rPr>
        <w:tab/>
        <w:t xml:space="preserve">pentru locurile de consum ale prosumatorului, altele decât cele de la alin. a), b), c), care respectă conditiile de la alin. (2) lit. b) și d) se emit facturi de către furnizorul de energie electrică pentru energia electrică consumată conform contractului de furnizare </w:t>
      </w:r>
      <w:proofErr w:type="gramStart"/>
      <w:r w:rsidRPr="00C646E1">
        <w:rPr>
          <w:rFonts w:ascii="Times New Roman" w:hAnsi="Times New Roman" w:cs="Times New Roman"/>
          <w:sz w:val="24"/>
          <w:szCs w:val="24"/>
          <w:lang w:val="en-US"/>
        </w:rPr>
        <w:t>a</w:t>
      </w:r>
      <w:proofErr w:type="gramEnd"/>
      <w:r w:rsidRPr="00C646E1">
        <w:rPr>
          <w:rFonts w:ascii="Times New Roman" w:hAnsi="Times New Roman" w:cs="Times New Roman"/>
          <w:sz w:val="24"/>
          <w:szCs w:val="24"/>
          <w:lang w:val="en-US"/>
        </w:rPr>
        <w:t xml:space="preserve"> energiei electrice încheiat pentru locurile de consum respective.</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(6)</w:t>
      </w:r>
      <w:r w:rsidRPr="00C646E1">
        <w:rPr>
          <w:rFonts w:ascii="Times New Roman" w:hAnsi="Times New Roman" w:cs="Times New Roman"/>
          <w:sz w:val="24"/>
          <w:szCs w:val="24"/>
          <w:lang w:val="en-US"/>
        </w:rPr>
        <w:tab/>
        <w:t xml:space="preserve">Pentru fiecare loc de producere și consum/loc de consum care intră în decontarea financiară prevăzută la alin. (1), furnizorul de energie electrică evidențiază într-un tabel distinct din anexa la factura emisă pentru fiecare perioadă de facturare, conform contractului de furnizare </w:t>
      </w:r>
      <w:proofErr w:type="gramStart"/>
      <w:r w:rsidRPr="00C646E1">
        <w:rPr>
          <w:rFonts w:ascii="Times New Roman" w:hAnsi="Times New Roman" w:cs="Times New Roman"/>
          <w:sz w:val="24"/>
          <w:szCs w:val="24"/>
          <w:lang w:val="en-US"/>
        </w:rPr>
        <w:t>a</w:t>
      </w:r>
      <w:proofErr w:type="gramEnd"/>
      <w:r w:rsidRPr="00C646E1">
        <w:rPr>
          <w:rFonts w:ascii="Times New Roman" w:hAnsi="Times New Roman" w:cs="Times New Roman"/>
          <w:sz w:val="24"/>
          <w:szCs w:val="24"/>
          <w:lang w:val="en-US"/>
        </w:rPr>
        <w:t xml:space="preserve"> energiei electrice, în ordinea de prioritate prevăzută la alin. (3), următoarele: </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a)</w:t>
      </w:r>
      <w:r w:rsidRPr="00C646E1">
        <w:rPr>
          <w:rFonts w:ascii="Times New Roman" w:hAnsi="Times New Roman" w:cs="Times New Roman"/>
          <w:sz w:val="24"/>
          <w:szCs w:val="24"/>
          <w:lang w:val="en-US"/>
        </w:rPr>
        <w:tab/>
        <w:t>pentru locul de producere și consum la care se înregistrează un excedent de energie electrică produsă și livrată în rețeaua electrică: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(i)</w:t>
      </w:r>
      <w:r w:rsidRPr="00C646E1">
        <w:rPr>
          <w:rFonts w:ascii="Times New Roman" w:hAnsi="Times New Roman" w:cs="Times New Roman"/>
          <w:sz w:val="24"/>
          <w:szCs w:val="24"/>
          <w:lang w:val="en-US"/>
        </w:rPr>
        <w:tab/>
        <w:t xml:space="preserve">excedentul de energie electrică utilizat pentru acoperirea consumului la locul de producere și consum respective și la alte locuri de consum/locuri de producere și consum ale prosumatorului, după caz, excedent care poate proveni din energia electrică reportată din luni anterioare, în ordinea în care aceasta a fost livrată în reţeaua electrică și/sau din energia electrică produsă și livrată în rețeaua electrică în perioada de facturare, cu defalcarea excedentului pe fiecare loc de consum acoperit. </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(ii)</w:t>
      </w:r>
      <w:r w:rsidRPr="00C646E1">
        <w:rPr>
          <w:rFonts w:ascii="Times New Roman" w:hAnsi="Times New Roman" w:cs="Times New Roman"/>
          <w:sz w:val="24"/>
          <w:szCs w:val="24"/>
          <w:lang w:val="en-US"/>
        </w:rPr>
        <w:tab/>
        <w:t>preţul energiei electrice utilizate conform pct. (i) pentru acoperirea consumului la alte locuri de consum/locuri de producere și consum ale prosumatorului, care este egal cu preţul din factura emisă prosumatorului în perioada în care energia electrică reportată a fost efectiv produsă şi livrată în reţeaua electrică.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b)</w:t>
      </w:r>
      <w:r w:rsidRPr="00C646E1">
        <w:rPr>
          <w:rFonts w:ascii="Times New Roman" w:hAnsi="Times New Roman" w:cs="Times New Roman"/>
          <w:sz w:val="24"/>
          <w:szCs w:val="24"/>
          <w:lang w:val="en-US"/>
        </w:rPr>
        <w:tab/>
        <w:t xml:space="preserve">pentru locul de consum/locul de producere și consum la care se utilizează energie electrică excedentară, produsă și livrată în rețeaua electrică la alt loc de producere și consum: </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(i)  cantitatea de energie electrică utilizată la locul de consum/locul de producere și consum, acoperită din excedentul înregistrat la alt loc/alte locuri de producere și consum;</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(ii) prețul energiei electrice utilizate conform pct. (i) pentru acoperirea consumului respectiv, care este egal cu preţul de la lit. a) pct. (ii), corespunzător locului de producere și consum de la care provine energia electrică respectivă.</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(7) Furnizorul de energie electrică are obligația ca, odată cu facturile emise conform alin. (5) pentru locurile de producere și consum/locurile de consum ale prosumatorului care intră în decontare financiară într-o perioadă de facturare, să transmită prosumatorului și rezultatul compensării financiare între aceste facturi. respectiv soldul de plată rezultat la fiecare loc de producere și consum/loc de consum în parte.</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Pr="00C646E1">
        <w:rPr>
          <w:rFonts w:ascii="Times New Roman" w:hAnsi="Times New Roman" w:cs="Times New Roman"/>
          <w:sz w:val="24"/>
          <w:szCs w:val="24"/>
          <w:lang w:val="en-US"/>
        </w:rPr>
        <w:t xml:space="preserve">Soldul de plată de la alin. (7) rezultat din aplicarea compensării financiare între facturile prevăzute la alin. (5) se achită de către prosumator/furnizorul de energie electrică, după caz, în termenul de scadență prevăzut în contractul de furnizare, iar în caz de neplată se va proceda în conformitate cu clauzele contractului de funizare </w:t>
      </w:r>
      <w:proofErr w:type="gramStart"/>
      <w:r w:rsidRPr="00C646E1">
        <w:rPr>
          <w:rFonts w:ascii="Times New Roman" w:hAnsi="Times New Roman" w:cs="Times New Roman"/>
          <w:sz w:val="24"/>
          <w:szCs w:val="24"/>
          <w:lang w:val="en-US"/>
        </w:rPr>
        <w:t>a</w:t>
      </w:r>
      <w:proofErr w:type="gramEnd"/>
      <w:r w:rsidRPr="00C646E1">
        <w:rPr>
          <w:rFonts w:ascii="Times New Roman" w:hAnsi="Times New Roman" w:cs="Times New Roman"/>
          <w:sz w:val="24"/>
          <w:szCs w:val="24"/>
          <w:lang w:val="en-US"/>
        </w:rPr>
        <w:t xml:space="preserve"> energiei electrice. Modul de alocare a soldului de plată pe locurile de consum/locurile de producere și consum ale prosumatorului se stabilește între părți, în cuprinsul contractelor de furnizare respective.</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 xml:space="preserve">(9) Prin excepție de la prevederile alin. (8), în situația prosumatorului client casnic, dacă în urma compensării </w:t>
      </w:r>
      <w:r>
        <w:rPr>
          <w:rFonts w:ascii="Times New Roman" w:hAnsi="Times New Roman" w:cs="Times New Roman"/>
          <w:sz w:val="24"/>
          <w:szCs w:val="24"/>
          <w:lang w:val="en-US"/>
        </w:rPr>
        <w:t>f</w:t>
      </w:r>
      <w:r w:rsidRPr="00C646E1">
        <w:rPr>
          <w:rFonts w:ascii="Times New Roman" w:hAnsi="Times New Roman" w:cs="Times New Roman"/>
          <w:sz w:val="24"/>
          <w:szCs w:val="24"/>
          <w:lang w:val="en-US"/>
        </w:rPr>
        <w:t>inanciare între facturile prevăzute la alin. (5) rezultă de plată de către furnizorul de energie electrică o sumă mai mare de 100 lei, devin aplicabile prevederile art. 62 alin. (1) lit. h^5) din Lege. Sumele sub valoarea de 100 lei vor fi compensate cu sumele din facturile emise pentru perioada/perioadele următoare de facturare.</w:t>
      </w:r>
    </w:p>
    <w:p w:rsidR="00C646E1" w:rsidRPr="00C646E1"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D119A8" w:rsidRDefault="00C646E1" w:rsidP="00C646E1">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r w:rsidRPr="00C646E1">
        <w:rPr>
          <w:rFonts w:ascii="Times New Roman" w:hAnsi="Times New Roman" w:cs="Times New Roman"/>
          <w:sz w:val="24"/>
          <w:szCs w:val="24"/>
          <w:lang w:val="en-US"/>
        </w:rPr>
        <w:t>(10) În situația schimbării furnizorului de energie electrică, precum și în situația unui loc nou de producere și consum pentru care prosumatorul deține certificatul de racordare completat cu calitatea de prosumator, dacă prosumatorul a solicitat compensarea financiară pentru locurile de producere și consum/locurile de consum pe care le deține, furnizorul de energie electrică este obligat să încheie simultan contractul de furnizare a energiei electrice și contractul de vânzare-cumpărare a energiei electrice produse în centralele electrice din surse regenerabile de energie şi livrate în reţeaua electrică pentru locul/locurile de producere și consum respective și să preia totodată toate locurile de consum ale prosumatorului</w:t>
      </w:r>
      <w:r w:rsidR="00BD2E63" w:rsidRPr="00BD2E63">
        <w:rPr>
          <w:rFonts w:ascii="Times New Roman" w:hAnsi="Times New Roman" w:cs="Times New Roman"/>
          <w:sz w:val="24"/>
          <w:szCs w:val="24"/>
          <w:lang w:val="en-US"/>
        </w:rPr>
        <w:t>.</w:t>
      </w:r>
      <w:r w:rsidR="007D4FDC" w:rsidRPr="007D4FDC">
        <w:rPr>
          <w:rFonts w:ascii="Times New Roman" w:hAnsi="Times New Roman" w:cs="Times New Roman"/>
          <w:sz w:val="24"/>
          <w:szCs w:val="24"/>
          <w:lang w:val="en-US"/>
        </w:rPr>
        <w:t>”</w:t>
      </w:r>
      <w:bookmarkEnd w:id="5"/>
    </w:p>
    <w:p w:rsidR="00240D00" w:rsidRPr="00240D00" w:rsidRDefault="00240D00" w:rsidP="00240D00">
      <w:pPr>
        <w:pStyle w:val="ListParagraph"/>
        <w:autoSpaceDE w:val="0"/>
        <w:autoSpaceDN w:val="0"/>
        <w:adjustRightInd w:val="0"/>
        <w:spacing w:after="0" w:line="360" w:lineRule="auto"/>
        <w:ind w:left="360"/>
        <w:jc w:val="both"/>
        <w:rPr>
          <w:rFonts w:ascii="Times New Roman" w:hAnsi="Times New Roman" w:cs="Times New Roman"/>
          <w:sz w:val="24"/>
          <w:szCs w:val="24"/>
          <w:lang w:val="en-US"/>
        </w:rPr>
      </w:pPr>
    </w:p>
    <w:p w:rsidR="00AA3A58" w:rsidRPr="00AA3A58" w:rsidRDefault="00AA3A58" w:rsidP="00AA3A58">
      <w:pPr>
        <w:pStyle w:val="ListParagraph"/>
        <w:numPr>
          <w:ilvl w:val="0"/>
          <w:numId w:val="1"/>
        </w:numPr>
        <w:spacing w:line="360" w:lineRule="auto"/>
        <w:jc w:val="both"/>
        <w:rPr>
          <w:rFonts w:ascii="Times New Roman" w:hAnsi="Times New Roman" w:cs="Times New Roman"/>
          <w:b/>
          <w:sz w:val="24"/>
          <w:szCs w:val="24"/>
        </w:rPr>
      </w:pPr>
      <w:r w:rsidRPr="00AA3A58">
        <w:rPr>
          <w:rFonts w:ascii="Times New Roman" w:hAnsi="Times New Roman" w:cs="Times New Roman"/>
          <w:b/>
          <w:sz w:val="24"/>
          <w:szCs w:val="24"/>
        </w:rPr>
        <w:t>După articolul 14</w:t>
      </w:r>
      <w:r>
        <w:rPr>
          <w:rFonts w:ascii="Times New Roman" w:hAnsi="Times New Roman" w:cs="Times New Roman"/>
          <w:b/>
          <w:sz w:val="24"/>
          <w:szCs w:val="24"/>
          <w:vertAlign w:val="superscript"/>
        </w:rPr>
        <w:t>1</w:t>
      </w:r>
      <w:r w:rsidRPr="00AA3A58">
        <w:rPr>
          <w:rFonts w:ascii="Times New Roman" w:hAnsi="Times New Roman" w:cs="Times New Roman"/>
          <w:b/>
          <w:sz w:val="24"/>
          <w:szCs w:val="24"/>
        </w:rPr>
        <w:t>, se introduce un nou articol, articolul 14</w:t>
      </w:r>
      <w:r>
        <w:rPr>
          <w:rFonts w:ascii="Times New Roman" w:hAnsi="Times New Roman" w:cs="Times New Roman"/>
          <w:b/>
          <w:sz w:val="24"/>
          <w:szCs w:val="24"/>
          <w:vertAlign w:val="superscript"/>
        </w:rPr>
        <w:t>2</w:t>
      </w:r>
      <w:r w:rsidRPr="00AA3A58">
        <w:rPr>
          <w:rFonts w:ascii="Times New Roman" w:hAnsi="Times New Roman" w:cs="Times New Roman"/>
          <w:b/>
          <w:sz w:val="24"/>
          <w:szCs w:val="24"/>
        </w:rPr>
        <w:t>, cu următorul cuprins:</w:t>
      </w:r>
    </w:p>
    <w:p w:rsidR="00AA3A58" w:rsidRPr="00AA3A58" w:rsidRDefault="00AA3A58" w:rsidP="00AA3A5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07647">
        <w:rPr>
          <w:rFonts w:ascii="Times New Roman" w:hAnsi="Times New Roman" w:cs="Times New Roman"/>
          <w:sz w:val="24"/>
          <w:szCs w:val="24"/>
        </w:rPr>
        <w:t>“</w:t>
      </w:r>
      <w:r w:rsidRPr="00AA3A58">
        <w:rPr>
          <w:rFonts w:ascii="Times New Roman" w:hAnsi="Times New Roman" w:cs="Times New Roman"/>
          <w:b/>
          <w:sz w:val="24"/>
          <w:szCs w:val="24"/>
        </w:rPr>
        <w:t>Articolul 14</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AA3A58">
        <w:rPr>
          <w:rFonts w:ascii="Times New Roman" w:hAnsi="Times New Roman" w:cs="Times New Roman"/>
          <w:sz w:val="24"/>
          <w:szCs w:val="24"/>
        </w:rPr>
        <w:t>-  (1) Indiferent de mecanismul de compensare cantitativă /regularizare financiară /decontare financiară aplicat de către furnizorii de energie electrică prosumatorilor, facturile de energie electrică conform art. 10, conform art. 11, 12 și 12</w:t>
      </w:r>
      <w:r w:rsidRPr="006254BC">
        <w:rPr>
          <w:rFonts w:ascii="Times New Roman" w:hAnsi="Times New Roman" w:cs="Times New Roman"/>
          <w:sz w:val="24"/>
          <w:szCs w:val="24"/>
          <w:vertAlign w:val="superscript"/>
        </w:rPr>
        <w:t>1</w:t>
      </w:r>
      <w:r w:rsidRPr="00AA3A58">
        <w:rPr>
          <w:rFonts w:ascii="Times New Roman" w:hAnsi="Times New Roman" w:cs="Times New Roman"/>
          <w:sz w:val="24"/>
          <w:szCs w:val="24"/>
        </w:rPr>
        <w:t>, respectiv conform art. 14</w:t>
      </w:r>
      <w:r w:rsidRPr="006254BC">
        <w:rPr>
          <w:rFonts w:ascii="Times New Roman" w:hAnsi="Times New Roman" w:cs="Times New Roman"/>
          <w:sz w:val="24"/>
          <w:szCs w:val="24"/>
          <w:vertAlign w:val="superscript"/>
        </w:rPr>
        <w:t>1</w:t>
      </w:r>
      <w:r w:rsidRPr="00AA3A58">
        <w:rPr>
          <w:rFonts w:ascii="Times New Roman" w:hAnsi="Times New Roman" w:cs="Times New Roman"/>
          <w:sz w:val="24"/>
          <w:szCs w:val="24"/>
        </w:rPr>
        <w:t xml:space="preserve"> alin. (5), după caz, sunt emise lunar de furnizori în nume propriu și, în situațiile prevăzute de prezenta metodologie, în numele și în contul prosumatorilor, pentru aceeași perioadă de facturare, în primele 10 zile lucrătoare ale fiecărei luni pentru energia electrică produsă și livrată în rețeaua de prosumatori și pentru energia electrică furnizată prosumatorilor în luna anterioară.</w:t>
      </w:r>
    </w:p>
    <w:p w:rsidR="00AA3A58" w:rsidRPr="00AA3A58" w:rsidRDefault="00AA3A58" w:rsidP="00AA3A58">
      <w:pPr>
        <w:spacing w:line="360" w:lineRule="auto"/>
        <w:jc w:val="both"/>
        <w:rPr>
          <w:rFonts w:ascii="Times New Roman" w:hAnsi="Times New Roman" w:cs="Times New Roman"/>
          <w:sz w:val="24"/>
          <w:szCs w:val="24"/>
        </w:rPr>
      </w:pPr>
      <w:r w:rsidRPr="00AA3A58">
        <w:rPr>
          <w:rFonts w:ascii="Times New Roman" w:hAnsi="Times New Roman" w:cs="Times New Roman"/>
          <w:sz w:val="24"/>
          <w:szCs w:val="24"/>
        </w:rPr>
        <w:t>(2)</w:t>
      </w:r>
      <w:r>
        <w:rPr>
          <w:rFonts w:ascii="Times New Roman" w:hAnsi="Times New Roman" w:cs="Times New Roman"/>
          <w:sz w:val="24"/>
          <w:szCs w:val="24"/>
        </w:rPr>
        <w:t xml:space="preserve"> </w:t>
      </w:r>
      <w:r w:rsidRPr="00AA3A58">
        <w:rPr>
          <w:rFonts w:ascii="Times New Roman" w:hAnsi="Times New Roman" w:cs="Times New Roman"/>
          <w:sz w:val="24"/>
          <w:szCs w:val="24"/>
        </w:rPr>
        <w:t xml:space="preserve">Neemiterea de către furnizorii de energie electrică a facturilor pentru energia electrică produsă și livrată în rețeaua de prosumatori și pentru energia electrică furnizată prosumatorilor </w:t>
      </w:r>
      <w:r w:rsidRPr="00AA3A58">
        <w:rPr>
          <w:rFonts w:ascii="Times New Roman" w:hAnsi="Times New Roman" w:cs="Times New Roman"/>
          <w:sz w:val="24"/>
          <w:szCs w:val="24"/>
        </w:rPr>
        <w:lastRenderedPageBreak/>
        <w:t>în termenul prevăzut la alin. (1) conduce la aplicarea de penalități pentru furnizorii de energie electrică de 0,20% pentru fiecare zi de întârziere pentru emiterea facturii/facturilor respective.</w:t>
      </w:r>
      <w:r w:rsidRPr="007D4FDC">
        <w:rPr>
          <w:rFonts w:ascii="Times New Roman" w:hAnsi="Times New Roman" w:cs="Times New Roman"/>
          <w:sz w:val="24"/>
          <w:szCs w:val="24"/>
          <w:lang w:val="en-US"/>
        </w:rPr>
        <w:t>”</w:t>
      </w:r>
    </w:p>
    <w:p w:rsidR="00AA3A58" w:rsidRPr="00AA3A58" w:rsidRDefault="00AA3A58" w:rsidP="00AA3A58">
      <w:pPr>
        <w:spacing w:line="360" w:lineRule="auto"/>
        <w:jc w:val="both"/>
        <w:rPr>
          <w:rFonts w:ascii="Times New Roman" w:hAnsi="Times New Roman" w:cs="Times New Roman"/>
          <w:b/>
          <w:sz w:val="24"/>
          <w:szCs w:val="24"/>
        </w:rPr>
      </w:pPr>
    </w:p>
    <w:p w:rsidR="001D6B28" w:rsidRPr="00DD5A3A" w:rsidRDefault="001D6B28" w:rsidP="00DD5A3A">
      <w:pPr>
        <w:pStyle w:val="ListParagraph"/>
        <w:numPr>
          <w:ilvl w:val="0"/>
          <w:numId w:val="1"/>
        </w:numPr>
        <w:spacing w:line="360" w:lineRule="auto"/>
        <w:jc w:val="both"/>
        <w:rPr>
          <w:rFonts w:ascii="Times New Roman" w:hAnsi="Times New Roman" w:cs="Times New Roman"/>
          <w:b/>
          <w:sz w:val="24"/>
          <w:szCs w:val="24"/>
        </w:rPr>
      </w:pPr>
      <w:r w:rsidRPr="00DD5A3A">
        <w:rPr>
          <w:rFonts w:ascii="Times New Roman" w:hAnsi="Times New Roman" w:cs="Times New Roman"/>
          <w:b/>
          <w:sz w:val="24"/>
          <w:szCs w:val="24"/>
        </w:rPr>
        <w:t xml:space="preserve">Articolul </w:t>
      </w:r>
      <w:r w:rsidR="00DD5A3A">
        <w:rPr>
          <w:rFonts w:ascii="Times New Roman" w:hAnsi="Times New Roman" w:cs="Times New Roman"/>
          <w:b/>
          <w:sz w:val="24"/>
          <w:szCs w:val="24"/>
        </w:rPr>
        <w:t>1</w:t>
      </w:r>
      <w:r w:rsidRPr="00DD5A3A">
        <w:rPr>
          <w:rFonts w:ascii="Times New Roman" w:hAnsi="Times New Roman" w:cs="Times New Roman"/>
          <w:b/>
          <w:sz w:val="24"/>
          <w:szCs w:val="24"/>
        </w:rPr>
        <w:t>6 se modifică și va avea următorul cuprins</w:t>
      </w:r>
      <w:r w:rsidRPr="00DD5A3A">
        <w:rPr>
          <w:rFonts w:ascii="Times New Roman" w:hAnsi="Times New Roman" w:cs="Times New Roman"/>
          <w:b/>
          <w:sz w:val="24"/>
          <w:szCs w:val="24"/>
          <w:lang w:val="en-US"/>
        </w:rPr>
        <w:t>:</w:t>
      </w:r>
    </w:p>
    <w:p w:rsidR="001D6B28" w:rsidRPr="004707F9" w:rsidRDefault="001D6B28" w:rsidP="00916E33">
      <w:pPr>
        <w:pStyle w:val="ListParagraph"/>
        <w:spacing w:line="360" w:lineRule="auto"/>
        <w:ind w:left="360"/>
        <w:jc w:val="both"/>
        <w:rPr>
          <w:rFonts w:ascii="Times New Roman" w:hAnsi="Times New Roman" w:cs="Times New Roman"/>
          <w:sz w:val="24"/>
          <w:szCs w:val="24"/>
        </w:rPr>
      </w:pPr>
      <w:r w:rsidRPr="004707F9">
        <w:rPr>
          <w:rFonts w:ascii="Times New Roman" w:hAnsi="Times New Roman" w:cs="Times New Roman"/>
          <w:sz w:val="24"/>
          <w:szCs w:val="24"/>
        </w:rPr>
        <w:t>„</w:t>
      </w:r>
      <w:r w:rsidR="00DD5A3A" w:rsidRPr="004707F9">
        <w:rPr>
          <w:rFonts w:ascii="Times New Roman" w:hAnsi="Times New Roman" w:cs="Times New Roman"/>
          <w:sz w:val="24"/>
          <w:szCs w:val="24"/>
        </w:rPr>
        <w:t>Anexele nr. 1, 2 și 3 fac parte integrantă din prezenta metodologie.</w:t>
      </w:r>
      <w:r w:rsidRPr="004707F9">
        <w:rPr>
          <w:rFonts w:ascii="Times New Roman" w:hAnsi="Times New Roman" w:cs="Times New Roman"/>
          <w:sz w:val="24"/>
          <w:szCs w:val="24"/>
        </w:rPr>
        <w:t>”</w:t>
      </w:r>
    </w:p>
    <w:p w:rsidR="00DD5A3A" w:rsidRPr="004707F9" w:rsidRDefault="00DD5A3A" w:rsidP="00916E33">
      <w:pPr>
        <w:pStyle w:val="ListParagraph"/>
        <w:spacing w:line="360" w:lineRule="auto"/>
        <w:ind w:left="360"/>
        <w:jc w:val="both"/>
        <w:rPr>
          <w:rFonts w:ascii="Times New Roman" w:hAnsi="Times New Roman" w:cs="Times New Roman"/>
          <w:sz w:val="24"/>
          <w:szCs w:val="24"/>
        </w:rPr>
      </w:pPr>
    </w:p>
    <w:p w:rsidR="00FF47D2" w:rsidRPr="00FF47D2" w:rsidRDefault="00707647" w:rsidP="00FF47D2">
      <w:pPr>
        <w:pStyle w:val="ListParagraph"/>
        <w:numPr>
          <w:ilvl w:val="0"/>
          <w:numId w:val="1"/>
        </w:numPr>
        <w:spacing w:line="360" w:lineRule="auto"/>
        <w:ind w:left="357" w:hanging="357"/>
        <w:jc w:val="both"/>
        <w:rPr>
          <w:rFonts w:ascii="Times New Roman" w:hAnsi="Times New Roman" w:cs="Times New Roman"/>
          <w:b/>
          <w:sz w:val="24"/>
          <w:szCs w:val="24"/>
        </w:rPr>
      </w:pPr>
      <w:r w:rsidRPr="00947EA1">
        <w:rPr>
          <w:rFonts w:ascii="Times New Roman" w:hAnsi="Times New Roman" w:cs="Times New Roman"/>
          <w:b/>
          <w:sz w:val="24"/>
          <w:szCs w:val="24"/>
        </w:rPr>
        <w:t xml:space="preserve">La Anexa nr. </w:t>
      </w:r>
      <w:r>
        <w:rPr>
          <w:rFonts w:ascii="Times New Roman" w:hAnsi="Times New Roman" w:cs="Times New Roman"/>
          <w:b/>
          <w:sz w:val="24"/>
          <w:szCs w:val="24"/>
        </w:rPr>
        <w:t>1</w:t>
      </w:r>
      <w:r w:rsidRPr="00947EA1">
        <w:rPr>
          <w:rFonts w:ascii="Times New Roman" w:hAnsi="Times New Roman" w:cs="Times New Roman"/>
          <w:b/>
          <w:sz w:val="24"/>
          <w:szCs w:val="24"/>
        </w:rPr>
        <w:t xml:space="preserve">, articolul 7, </w:t>
      </w:r>
      <w:r>
        <w:rPr>
          <w:rFonts w:ascii="Times New Roman" w:hAnsi="Times New Roman" w:cs="Times New Roman"/>
          <w:b/>
          <w:sz w:val="24"/>
          <w:szCs w:val="24"/>
        </w:rPr>
        <w:t xml:space="preserve">după alineatul </w:t>
      </w:r>
      <w:r w:rsidRPr="00947EA1">
        <w:rPr>
          <w:rFonts w:ascii="Times New Roman" w:hAnsi="Times New Roman" w:cs="Times New Roman"/>
          <w:b/>
          <w:sz w:val="24"/>
          <w:szCs w:val="24"/>
        </w:rPr>
        <w:t>(4)</w:t>
      </w:r>
      <w:r w:rsidR="004D2A2D">
        <w:rPr>
          <w:rFonts w:ascii="Times New Roman" w:hAnsi="Times New Roman" w:cs="Times New Roman"/>
          <w:b/>
          <w:sz w:val="24"/>
          <w:szCs w:val="24"/>
        </w:rPr>
        <w:t>,</w:t>
      </w:r>
      <w:r>
        <w:rPr>
          <w:rFonts w:ascii="Times New Roman" w:hAnsi="Times New Roman" w:cs="Times New Roman"/>
          <w:b/>
          <w:sz w:val="24"/>
          <w:szCs w:val="24"/>
        </w:rPr>
        <w:t xml:space="preserve"> se introduce un nou alineat, alineatul (4</w:t>
      </w:r>
      <w:r w:rsidRPr="00707647">
        <w:rPr>
          <w:rFonts w:ascii="Times New Roman" w:hAnsi="Times New Roman" w:cs="Times New Roman"/>
          <w:b/>
          <w:sz w:val="24"/>
          <w:szCs w:val="24"/>
          <w:vertAlign w:val="superscript"/>
        </w:rPr>
        <w:t>1</w:t>
      </w:r>
      <w:r>
        <w:rPr>
          <w:rFonts w:ascii="Times New Roman" w:hAnsi="Times New Roman" w:cs="Times New Roman"/>
          <w:b/>
          <w:sz w:val="24"/>
          <w:szCs w:val="24"/>
        </w:rPr>
        <w:t>), cu</w:t>
      </w:r>
      <w:r w:rsidRPr="00947EA1">
        <w:rPr>
          <w:rFonts w:ascii="Times New Roman" w:hAnsi="Times New Roman" w:cs="Times New Roman"/>
          <w:b/>
          <w:sz w:val="24"/>
          <w:szCs w:val="24"/>
        </w:rPr>
        <w:t xml:space="preserve"> următorul cuprins: </w:t>
      </w:r>
    </w:p>
    <w:p w:rsidR="00707647" w:rsidRDefault="00707647" w:rsidP="00707647">
      <w:pPr>
        <w:pStyle w:val="ListParagraph"/>
        <w:spacing w:line="360" w:lineRule="auto"/>
        <w:ind w:left="360"/>
        <w:jc w:val="both"/>
        <w:rPr>
          <w:rFonts w:ascii="Times New Roman" w:hAnsi="Times New Roman" w:cs="Times New Roman"/>
          <w:sz w:val="24"/>
          <w:szCs w:val="24"/>
          <w:lang w:val="en-US"/>
        </w:rPr>
      </w:pPr>
      <w:r w:rsidRPr="00707647">
        <w:rPr>
          <w:rFonts w:ascii="Times New Roman" w:hAnsi="Times New Roman" w:cs="Times New Roman"/>
          <w:sz w:val="24"/>
          <w:szCs w:val="24"/>
        </w:rPr>
        <w:t>“(4</w:t>
      </w:r>
      <w:r w:rsidRPr="006254BC">
        <w:rPr>
          <w:rFonts w:ascii="Times New Roman" w:hAnsi="Times New Roman" w:cs="Times New Roman"/>
          <w:sz w:val="24"/>
          <w:szCs w:val="24"/>
          <w:vertAlign w:val="superscript"/>
        </w:rPr>
        <w:t>1</w:t>
      </w:r>
      <w:r w:rsidRPr="00707647">
        <w:rPr>
          <w:rFonts w:ascii="Times New Roman" w:hAnsi="Times New Roman" w:cs="Times New Roman"/>
          <w:sz w:val="24"/>
          <w:szCs w:val="24"/>
        </w:rPr>
        <w:t>) Prin derogare de la prevederile alin. (4) lit. a), în cazul prosumatorului client casnic, dacă în urma compensării între facturile prevăzute la alin. (1) rezultă de plată de către furnizorul de energie electrică o sumă mai mare de 100 lei, devin aplicabile prevederile art. 62 alin. (1) lit. h^5) din Lege. Sumele sub valoarea de 100 lei vor fi compensate cu sumele din facturile emise pentru perioada/perioadele următoare de facturare</w:t>
      </w:r>
      <w:r>
        <w:rPr>
          <w:rFonts w:ascii="Times New Roman" w:hAnsi="Times New Roman" w:cs="Times New Roman"/>
          <w:sz w:val="24"/>
          <w:szCs w:val="24"/>
        </w:rPr>
        <w:t>.</w:t>
      </w:r>
      <w:r w:rsidRPr="00707647">
        <w:rPr>
          <w:rFonts w:ascii="Times New Roman" w:hAnsi="Times New Roman" w:cs="Times New Roman"/>
          <w:sz w:val="24"/>
          <w:szCs w:val="24"/>
          <w:lang w:val="en-US"/>
        </w:rPr>
        <w:t>”</w:t>
      </w:r>
    </w:p>
    <w:p w:rsidR="00707647" w:rsidRPr="00707647" w:rsidRDefault="00707647" w:rsidP="00707647">
      <w:pPr>
        <w:pStyle w:val="ListParagraph"/>
        <w:spacing w:line="360" w:lineRule="auto"/>
        <w:ind w:left="360"/>
        <w:jc w:val="both"/>
        <w:rPr>
          <w:rFonts w:ascii="Times New Roman" w:hAnsi="Times New Roman" w:cs="Times New Roman"/>
          <w:sz w:val="24"/>
          <w:szCs w:val="24"/>
        </w:rPr>
      </w:pPr>
    </w:p>
    <w:p w:rsidR="00707647" w:rsidRDefault="00707647" w:rsidP="00707647">
      <w:pPr>
        <w:pStyle w:val="ListParagraph"/>
        <w:numPr>
          <w:ilvl w:val="0"/>
          <w:numId w:val="1"/>
        </w:numPr>
        <w:jc w:val="both"/>
        <w:rPr>
          <w:rFonts w:ascii="Times New Roman" w:hAnsi="Times New Roman" w:cs="Times New Roman"/>
          <w:b/>
          <w:sz w:val="24"/>
          <w:szCs w:val="24"/>
        </w:rPr>
      </w:pPr>
      <w:r w:rsidRPr="00707647">
        <w:rPr>
          <w:rFonts w:ascii="Times New Roman" w:hAnsi="Times New Roman" w:cs="Times New Roman"/>
          <w:b/>
          <w:sz w:val="24"/>
          <w:szCs w:val="24"/>
        </w:rPr>
        <w:t xml:space="preserve">La Anexa nr. </w:t>
      </w:r>
      <w:r>
        <w:rPr>
          <w:rFonts w:ascii="Times New Roman" w:hAnsi="Times New Roman" w:cs="Times New Roman"/>
          <w:b/>
          <w:sz w:val="24"/>
          <w:szCs w:val="24"/>
        </w:rPr>
        <w:t>1</w:t>
      </w:r>
      <w:r w:rsidRPr="00707647">
        <w:rPr>
          <w:rFonts w:ascii="Times New Roman" w:hAnsi="Times New Roman" w:cs="Times New Roman"/>
          <w:b/>
          <w:sz w:val="24"/>
          <w:szCs w:val="24"/>
        </w:rPr>
        <w:t>, articolul 7, alineat</w:t>
      </w:r>
      <w:r>
        <w:rPr>
          <w:rFonts w:ascii="Times New Roman" w:hAnsi="Times New Roman" w:cs="Times New Roman"/>
          <w:b/>
          <w:sz w:val="24"/>
          <w:szCs w:val="24"/>
        </w:rPr>
        <w:t>ul</w:t>
      </w:r>
      <w:r w:rsidRPr="00707647">
        <w:rPr>
          <w:rFonts w:ascii="Times New Roman" w:hAnsi="Times New Roman" w:cs="Times New Roman"/>
          <w:b/>
          <w:sz w:val="24"/>
          <w:szCs w:val="24"/>
        </w:rPr>
        <w:t xml:space="preserve"> (</w:t>
      </w:r>
      <w:r>
        <w:rPr>
          <w:rFonts w:ascii="Times New Roman" w:hAnsi="Times New Roman" w:cs="Times New Roman"/>
          <w:b/>
          <w:sz w:val="24"/>
          <w:szCs w:val="24"/>
        </w:rPr>
        <w:t>7</w:t>
      </w:r>
      <w:r w:rsidRPr="00707647">
        <w:rPr>
          <w:rFonts w:ascii="Times New Roman" w:hAnsi="Times New Roman" w:cs="Times New Roman"/>
          <w:b/>
          <w:sz w:val="24"/>
          <w:szCs w:val="24"/>
        </w:rPr>
        <w:t>) se modifică și v</w:t>
      </w:r>
      <w:r>
        <w:rPr>
          <w:rFonts w:ascii="Times New Roman" w:hAnsi="Times New Roman" w:cs="Times New Roman"/>
          <w:b/>
          <w:sz w:val="24"/>
          <w:szCs w:val="24"/>
        </w:rPr>
        <w:t>a</w:t>
      </w:r>
      <w:r w:rsidRPr="00707647">
        <w:rPr>
          <w:rFonts w:ascii="Times New Roman" w:hAnsi="Times New Roman" w:cs="Times New Roman"/>
          <w:b/>
          <w:sz w:val="24"/>
          <w:szCs w:val="24"/>
        </w:rPr>
        <w:t xml:space="preserve"> avea următorul cuprins: </w:t>
      </w:r>
    </w:p>
    <w:p w:rsidR="00EA3948" w:rsidRPr="00707647" w:rsidRDefault="00EA3948" w:rsidP="00EA3948">
      <w:pPr>
        <w:pStyle w:val="ListParagraph"/>
        <w:ind w:left="360"/>
        <w:jc w:val="both"/>
        <w:rPr>
          <w:rFonts w:ascii="Times New Roman" w:hAnsi="Times New Roman" w:cs="Times New Roman"/>
          <w:b/>
          <w:sz w:val="24"/>
          <w:szCs w:val="24"/>
        </w:rPr>
      </w:pPr>
    </w:p>
    <w:p w:rsidR="00EA3948" w:rsidRDefault="00707647" w:rsidP="00922E73">
      <w:pPr>
        <w:pStyle w:val="ListParagraph"/>
        <w:spacing w:line="360" w:lineRule="auto"/>
        <w:ind w:left="360"/>
        <w:jc w:val="both"/>
        <w:rPr>
          <w:rFonts w:ascii="Times New Roman" w:hAnsi="Times New Roman" w:cs="Times New Roman"/>
          <w:sz w:val="24"/>
          <w:szCs w:val="24"/>
        </w:rPr>
      </w:pPr>
      <w:r w:rsidRPr="00EA3948">
        <w:rPr>
          <w:rFonts w:ascii="Times New Roman" w:hAnsi="Times New Roman" w:cs="Times New Roman"/>
          <w:sz w:val="24"/>
          <w:szCs w:val="24"/>
        </w:rPr>
        <w:t xml:space="preserve">“(7) </w:t>
      </w:r>
      <w:r w:rsidR="00922E73" w:rsidRPr="00922E73">
        <w:rPr>
          <w:rFonts w:ascii="Times New Roman" w:hAnsi="Times New Roman" w:cs="Times New Roman"/>
          <w:sz w:val="24"/>
          <w:szCs w:val="24"/>
        </w:rPr>
        <w:t>În situaţia defectării contorului de măsurare a energiei electrice, stabilirea energiei electrice produsă din surse regenerabile şi livrată în reţeaua electrică de prosumator se realizează pe baza datelor lunare măsurate de sistemul interconectat invertor-contor electronic de energie electrică și stocate în cloud-ul producătorului de invertor/invertoare, dacă un astfel de sistem este montat în instalația prosumatorului, iar în lipsa sistemului interconectat invertor-contor electronic de energie electrică aceasta se determină prin calcul, ca produs dintre puterea electrică maximă care poate fi evacutată în rețeaua electrică, factorul de capacitate mediu pe tip de tehnologie, disponibil în ultimul Raport cu privire la analiza de supracompensare a sistemului de promovare prin certificate verzi a energiei electrice din surse regenerabile publicat de ANRE pe site-ul propriu și perioada în care contorul a fost defect, caz în care cantitatea de energie electrică astfel stabilită se consideră valoare măsurată.</w:t>
      </w:r>
      <w:r w:rsidRPr="00EA3948">
        <w:rPr>
          <w:rFonts w:ascii="Times New Roman" w:hAnsi="Times New Roman" w:cs="Times New Roman"/>
          <w:sz w:val="24"/>
          <w:szCs w:val="24"/>
        </w:rPr>
        <w:t>.</w:t>
      </w:r>
      <w:r w:rsidRPr="00EA3948">
        <w:rPr>
          <w:rFonts w:ascii="Times New Roman" w:hAnsi="Times New Roman" w:cs="Times New Roman"/>
          <w:sz w:val="24"/>
          <w:szCs w:val="24"/>
          <w:lang w:val="en-US"/>
        </w:rPr>
        <w:t>”</w:t>
      </w:r>
      <w:r w:rsidRPr="00EA3948">
        <w:rPr>
          <w:rFonts w:ascii="Times New Roman" w:hAnsi="Times New Roman" w:cs="Times New Roman"/>
          <w:sz w:val="24"/>
          <w:szCs w:val="24"/>
        </w:rPr>
        <w:t xml:space="preserve">    </w:t>
      </w:r>
    </w:p>
    <w:p w:rsidR="00707647" w:rsidRPr="00EA3948" w:rsidRDefault="00707647" w:rsidP="00EA3948">
      <w:pPr>
        <w:pStyle w:val="ListParagraph"/>
        <w:spacing w:line="360" w:lineRule="auto"/>
        <w:ind w:left="360"/>
        <w:jc w:val="both"/>
        <w:rPr>
          <w:rFonts w:ascii="Times New Roman" w:hAnsi="Times New Roman" w:cs="Times New Roman"/>
          <w:sz w:val="24"/>
          <w:szCs w:val="24"/>
        </w:rPr>
      </w:pPr>
      <w:r w:rsidRPr="00EA3948">
        <w:rPr>
          <w:rFonts w:ascii="Times New Roman" w:hAnsi="Times New Roman" w:cs="Times New Roman"/>
          <w:sz w:val="24"/>
          <w:szCs w:val="24"/>
        </w:rPr>
        <w:t xml:space="preserve"> </w:t>
      </w:r>
    </w:p>
    <w:p w:rsidR="00D81281" w:rsidRDefault="00D81281" w:rsidP="00D81281">
      <w:pPr>
        <w:pStyle w:val="ListParagraph"/>
        <w:numPr>
          <w:ilvl w:val="0"/>
          <w:numId w:val="1"/>
        </w:numPr>
        <w:jc w:val="both"/>
        <w:rPr>
          <w:rFonts w:ascii="Times New Roman" w:hAnsi="Times New Roman" w:cs="Times New Roman"/>
          <w:b/>
          <w:sz w:val="24"/>
          <w:szCs w:val="24"/>
        </w:rPr>
      </w:pPr>
      <w:bookmarkStart w:id="6" w:name="_Hlk145329816"/>
      <w:r w:rsidRPr="00D81281">
        <w:rPr>
          <w:rFonts w:ascii="Times New Roman" w:hAnsi="Times New Roman" w:cs="Times New Roman"/>
          <w:b/>
          <w:sz w:val="24"/>
          <w:szCs w:val="24"/>
        </w:rPr>
        <w:t xml:space="preserve">La Anexa nr. 2, articolul </w:t>
      </w:r>
      <w:r>
        <w:rPr>
          <w:rFonts w:ascii="Times New Roman" w:hAnsi="Times New Roman" w:cs="Times New Roman"/>
          <w:b/>
          <w:sz w:val="24"/>
          <w:szCs w:val="24"/>
        </w:rPr>
        <w:t>6</w:t>
      </w:r>
      <w:r w:rsidRPr="00D81281">
        <w:rPr>
          <w:rFonts w:ascii="Times New Roman" w:hAnsi="Times New Roman" w:cs="Times New Roman"/>
          <w:b/>
          <w:sz w:val="24"/>
          <w:szCs w:val="24"/>
        </w:rPr>
        <w:t>, alineat</w:t>
      </w:r>
      <w:r w:rsidR="001D2020">
        <w:rPr>
          <w:rFonts w:ascii="Times New Roman" w:hAnsi="Times New Roman" w:cs="Times New Roman"/>
          <w:b/>
          <w:sz w:val="24"/>
          <w:szCs w:val="24"/>
        </w:rPr>
        <w:t>ul</w:t>
      </w:r>
      <w:r w:rsidRPr="00D81281">
        <w:rPr>
          <w:rFonts w:ascii="Times New Roman" w:hAnsi="Times New Roman" w:cs="Times New Roman"/>
          <w:b/>
          <w:sz w:val="24"/>
          <w:szCs w:val="24"/>
        </w:rPr>
        <w:t xml:space="preserve"> (3) se modifică și v</w:t>
      </w:r>
      <w:r w:rsidR="001D2020">
        <w:rPr>
          <w:rFonts w:ascii="Times New Roman" w:hAnsi="Times New Roman" w:cs="Times New Roman"/>
          <w:b/>
          <w:sz w:val="24"/>
          <w:szCs w:val="24"/>
        </w:rPr>
        <w:t>a</w:t>
      </w:r>
      <w:r w:rsidRPr="00D81281">
        <w:rPr>
          <w:rFonts w:ascii="Times New Roman" w:hAnsi="Times New Roman" w:cs="Times New Roman"/>
          <w:b/>
          <w:sz w:val="24"/>
          <w:szCs w:val="24"/>
        </w:rPr>
        <w:t xml:space="preserve"> avea următorul cuprins: </w:t>
      </w:r>
    </w:p>
    <w:p w:rsidR="001D2020" w:rsidRPr="00D81281" w:rsidRDefault="001D2020" w:rsidP="001D2020">
      <w:pPr>
        <w:pStyle w:val="ListParagraph"/>
        <w:ind w:left="360"/>
        <w:jc w:val="both"/>
        <w:rPr>
          <w:rFonts w:ascii="Times New Roman" w:hAnsi="Times New Roman" w:cs="Times New Roman"/>
          <w:b/>
          <w:sz w:val="24"/>
          <w:szCs w:val="24"/>
        </w:rPr>
      </w:pPr>
    </w:p>
    <w:p w:rsidR="00EA3948" w:rsidRPr="001D2020" w:rsidRDefault="001D2020" w:rsidP="00922E73">
      <w:pPr>
        <w:pStyle w:val="ListParagraph"/>
        <w:spacing w:line="360" w:lineRule="auto"/>
        <w:ind w:left="360"/>
        <w:jc w:val="both"/>
        <w:rPr>
          <w:rFonts w:ascii="Times New Roman" w:hAnsi="Times New Roman" w:cs="Times New Roman"/>
          <w:sz w:val="24"/>
          <w:szCs w:val="24"/>
        </w:rPr>
      </w:pPr>
      <w:r w:rsidRPr="001D2020">
        <w:rPr>
          <w:rFonts w:ascii="Times New Roman" w:hAnsi="Times New Roman" w:cs="Times New Roman"/>
          <w:sz w:val="24"/>
          <w:szCs w:val="24"/>
        </w:rPr>
        <w:t xml:space="preserve">“(3) </w:t>
      </w:r>
      <w:r w:rsidR="00922E73" w:rsidRPr="00922E73">
        <w:rPr>
          <w:rFonts w:ascii="Times New Roman" w:hAnsi="Times New Roman" w:cs="Times New Roman"/>
          <w:sz w:val="24"/>
          <w:szCs w:val="24"/>
        </w:rPr>
        <w:t xml:space="preserve">) În situaţia defectării contorului de măsurare a energiei electrice, stabilirea energiei electrice produsă din surse regenerabile şi livrată în reţeaua electrică de prosumator se realizează pe baza datelor lunare măsurate de sistemul interconectat invertor-contor </w:t>
      </w:r>
      <w:r w:rsidR="00922E73" w:rsidRPr="00922E73">
        <w:rPr>
          <w:rFonts w:ascii="Times New Roman" w:hAnsi="Times New Roman" w:cs="Times New Roman"/>
          <w:sz w:val="24"/>
          <w:szCs w:val="24"/>
        </w:rPr>
        <w:lastRenderedPageBreak/>
        <w:t>electronic de energie electrică și stocate în cloud-ul producătorului de invertor/invertoare, dacă un astfel de sistem este montat în instalația prosumatorului, iar în lipsa sistemului interconectat invertor-contor electronic de energie electrică aceasta se determină prin calcul, ca produs dintre puterea electrică maximă care poate fi evacutată în rețeaua electrică, factorul de capacitate mediu pe tip de tehnologie, disponibil în ultimul Raport cu privire la analiza de supracompensare a sistemului de promovare prin certificate verzi a energiei electrice din surse regenerabile publicat de ANRE pe site-ul propriu și perioada în care contorul a fost defect, caz în care cantitatea de energie electrică astfel stabilită se consideră valoare măsurată.</w:t>
      </w:r>
      <w:r w:rsidRPr="001D2020">
        <w:rPr>
          <w:rFonts w:ascii="Times New Roman" w:hAnsi="Times New Roman" w:cs="Times New Roman"/>
          <w:sz w:val="24"/>
          <w:szCs w:val="24"/>
          <w:lang w:val="en-US"/>
        </w:rPr>
        <w:t>”</w:t>
      </w:r>
      <w:r w:rsidRPr="001D2020">
        <w:rPr>
          <w:rFonts w:ascii="Times New Roman" w:hAnsi="Times New Roman" w:cs="Times New Roman"/>
          <w:sz w:val="24"/>
          <w:szCs w:val="24"/>
        </w:rPr>
        <w:t xml:space="preserve">    </w:t>
      </w:r>
    </w:p>
    <w:p w:rsidR="001D2020" w:rsidRDefault="001D2020" w:rsidP="00D81281">
      <w:pPr>
        <w:pStyle w:val="ListParagraph"/>
        <w:spacing w:line="360" w:lineRule="auto"/>
        <w:ind w:left="360"/>
        <w:jc w:val="both"/>
        <w:rPr>
          <w:rFonts w:ascii="Times New Roman" w:hAnsi="Times New Roman" w:cs="Times New Roman"/>
          <w:b/>
          <w:sz w:val="24"/>
          <w:szCs w:val="24"/>
        </w:rPr>
      </w:pPr>
    </w:p>
    <w:p w:rsidR="001D2020" w:rsidRPr="001D2020" w:rsidRDefault="001D2020" w:rsidP="004D2A2D">
      <w:pPr>
        <w:pStyle w:val="ListParagraph"/>
        <w:numPr>
          <w:ilvl w:val="0"/>
          <w:numId w:val="1"/>
        </w:numPr>
        <w:spacing w:line="360" w:lineRule="auto"/>
        <w:ind w:left="357" w:hanging="357"/>
        <w:jc w:val="both"/>
        <w:rPr>
          <w:rFonts w:ascii="Times New Roman" w:hAnsi="Times New Roman" w:cs="Times New Roman"/>
          <w:b/>
          <w:sz w:val="24"/>
          <w:szCs w:val="24"/>
        </w:rPr>
      </w:pPr>
      <w:r w:rsidRPr="001D2020">
        <w:rPr>
          <w:rFonts w:ascii="Times New Roman" w:hAnsi="Times New Roman" w:cs="Times New Roman"/>
          <w:b/>
          <w:sz w:val="24"/>
          <w:szCs w:val="24"/>
        </w:rPr>
        <w:t xml:space="preserve">La Anexa nr. 2, articolul 7, </w:t>
      </w:r>
      <w:r w:rsidR="004D2A2D">
        <w:rPr>
          <w:rFonts w:ascii="Times New Roman" w:hAnsi="Times New Roman" w:cs="Times New Roman"/>
          <w:b/>
          <w:sz w:val="24"/>
          <w:szCs w:val="24"/>
        </w:rPr>
        <w:t xml:space="preserve">după </w:t>
      </w:r>
      <w:r w:rsidRPr="001D2020">
        <w:rPr>
          <w:rFonts w:ascii="Times New Roman" w:hAnsi="Times New Roman" w:cs="Times New Roman"/>
          <w:b/>
          <w:sz w:val="24"/>
          <w:szCs w:val="24"/>
        </w:rPr>
        <w:t>alineat</w:t>
      </w:r>
      <w:r w:rsidR="004D2A2D">
        <w:rPr>
          <w:rFonts w:ascii="Times New Roman" w:hAnsi="Times New Roman" w:cs="Times New Roman"/>
          <w:b/>
          <w:sz w:val="24"/>
          <w:szCs w:val="24"/>
        </w:rPr>
        <w:t>ul</w:t>
      </w:r>
      <w:r w:rsidRPr="001D2020">
        <w:rPr>
          <w:rFonts w:ascii="Times New Roman" w:hAnsi="Times New Roman" w:cs="Times New Roman"/>
          <w:b/>
          <w:sz w:val="24"/>
          <w:szCs w:val="24"/>
        </w:rPr>
        <w:t xml:space="preserve"> (</w:t>
      </w:r>
      <w:r w:rsidR="004D2A2D">
        <w:rPr>
          <w:rFonts w:ascii="Times New Roman" w:hAnsi="Times New Roman" w:cs="Times New Roman"/>
          <w:b/>
          <w:sz w:val="24"/>
          <w:szCs w:val="24"/>
        </w:rPr>
        <w:t>2</w:t>
      </w:r>
      <w:r w:rsidRPr="001D2020">
        <w:rPr>
          <w:rFonts w:ascii="Times New Roman" w:hAnsi="Times New Roman" w:cs="Times New Roman"/>
          <w:b/>
          <w:sz w:val="24"/>
          <w:szCs w:val="24"/>
        </w:rPr>
        <w:t>)</w:t>
      </w:r>
      <w:r w:rsidR="004D2A2D">
        <w:rPr>
          <w:rFonts w:ascii="Times New Roman" w:hAnsi="Times New Roman" w:cs="Times New Roman"/>
          <w:b/>
          <w:sz w:val="24"/>
          <w:szCs w:val="24"/>
        </w:rPr>
        <w:t>, se introduc două noi alineate, alineatele (2</w:t>
      </w:r>
      <w:r w:rsidR="004D2A2D" w:rsidRPr="004D2A2D">
        <w:rPr>
          <w:rFonts w:ascii="Times New Roman" w:hAnsi="Times New Roman" w:cs="Times New Roman"/>
          <w:b/>
          <w:sz w:val="24"/>
          <w:szCs w:val="24"/>
          <w:vertAlign w:val="superscript"/>
        </w:rPr>
        <w:t>1</w:t>
      </w:r>
      <w:r w:rsidR="004D2A2D">
        <w:rPr>
          <w:rFonts w:ascii="Times New Roman" w:hAnsi="Times New Roman" w:cs="Times New Roman"/>
          <w:b/>
          <w:sz w:val="24"/>
          <w:szCs w:val="24"/>
        </w:rPr>
        <w:t>) și (2</w:t>
      </w:r>
      <w:r w:rsidR="004D2A2D" w:rsidRPr="004D2A2D">
        <w:rPr>
          <w:rFonts w:ascii="Times New Roman" w:hAnsi="Times New Roman" w:cs="Times New Roman"/>
          <w:b/>
          <w:sz w:val="24"/>
          <w:szCs w:val="24"/>
          <w:vertAlign w:val="superscript"/>
        </w:rPr>
        <w:t>2</w:t>
      </w:r>
      <w:r w:rsidR="004D2A2D">
        <w:rPr>
          <w:rFonts w:ascii="Times New Roman" w:hAnsi="Times New Roman" w:cs="Times New Roman"/>
          <w:b/>
          <w:sz w:val="24"/>
          <w:szCs w:val="24"/>
        </w:rPr>
        <w:t>),</w:t>
      </w:r>
      <w:r w:rsidRPr="001D2020">
        <w:rPr>
          <w:rFonts w:ascii="Times New Roman" w:hAnsi="Times New Roman" w:cs="Times New Roman"/>
          <w:b/>
          <w:sz w:val="24"/>
          <w:szCs w:val="24"/>
        </w:rPr>
        <w:t xml:space="preserve"> </w:t>
      </w:r>
      <w:r w:rsidR="004D2A2D">
        <w:rPr>
          <w:rFonts w:ascii="Times New Roman" w:hAnsi="Times New Roman" w:cs="Times New Roman"/>
          <w:b/>
          <w:sz w:val="24"/>
          <w:szCs w:val="24"/>
        </w:rPr>
        <w:t>cu</w:t>
      </w:r>
      <w:r w:rsidRPr="001D2020">
        <w:rPr>
          <w:rFonts w:ascii="Times New Roman" w:hAnsi="Times New Roman" w:cs="Times New Roman"/>
          <w:b/>
          <w:sz w:val="24"/>
          <w:szCs w:val="24"/>
        </w:rPr>
        <w:t xml:space="preserve"> următorul cuprins: </w:t>
      </w:r>
    </w:p>
    <w:p w:rsidR="00FF47D2" w:rsidRPr="00FF47D2" w:rsidRDefault="00FF47D2" w:rsidP="00FF47D2">
      <w:pPr>
        <w:pStyle w:val="ListParagraph"/>
        <w:spacing w:line="360" w:lineRule="auto"/>
        <w:ind w:left="360"/>
        <w:jc w:val="both"/>
        <w:rPr>
          <w:rFonts w:ascii="Times New Roman" w:hAnsi="Times New Roman" w:cs="Times New Roman"/>
          <w:sz w:val="24"/>
          <w:szCs w:val="24"/>
        </w:rPr>
      </w:pPr>
      <w:r w:rsidRPr="001D2020">
        <w:rPr>
          <w:rFonts w:ascii="Times New Roman" w:hAnsi="Times New Roman" w:cs="Times New Roman"/>
          <w:sz w:val="24"/>
          <w:szCs w:val="24"/>
        </w:rPr>
        <w:t>“</w:t>
      </w:r>
      <w:r w:rsidRPr="00FF47D2">
        <w:rPr>
          <w:rFonts w:ascii="Times New Roman" w:hAnsi="Times New Roman" w:cs="Times New Roman"/>
          <w:sz w:val="24"/>
          <w:szCs w:val="24"/>
        </w:rPr>
        <w:t>(2</w:t>
      </w:r>
      <w:r w:rsidRPr="00FF47D2">
        <w:rPr>
          <w:rFonts w:ascii="Times New Roman" w:hAnsi="Times New Roman" w:cs="Times New Roman"/>
          <w:sz w:val="24"/>
          <w:szCs w:val="24"/>
          <w:vertAlign w:val="superscript"/>
        </w:rPr>
        <w:t>^1</w:t>
      </w:r>
      <w:r w:rsidRPr="00FF47D2">
        <w:rPr>
          <w:rFonts w:ascii="Times New Roman" w:hAnsi="Times New Roman" w:cs="Times New Roman"/>
          <w:sz w:val="24"/>
          <w:szCs w:val="24"/>
        </w:rPr>
        <w:t>) Facturile de energie electrică conform alin. (1) și (2) sunt emise lunar de furnizori în nume propriu, respectiv în numele și în contul prosumatorilor, pentru aceeași lună contractuală, în primele 10 zile lucrătoare ale fiecărei luni pentru energia electrică produsă și livrată în rețeaua de prosumatori și pentru energia electrică furnizată prosumatorilor în luna anterioară.</w:t>
      </w:r>
    </w:p>
    <w:p w:rsidR="001D2020" w:rsidRDefault="00FF47D2" w:rsidP="00FF47D2">
      <w:pPr>
        <w:pStyle w:val="ListParagraph"/>
        <w:spacing w:line="360" w:lineRule="auto"/>
        <w:ind w:left="360"/>
        <w:jc w:val="both"/>
        <w:rPr>
          <w:rFonts w:ascii="Times New Roman" w:hAnsi="Times New Roman" w:cs="Times New Roman"/>
          <w:sz w:val="24"/>
          <w:szCs w:val="24"/>
        </w:rPr>
      </w:pPr>
      <w:r w:rsidRPr="00FF47D2">
        <w:rPr>
          <w:rFonts w:ascii="Times New Roman" w:hAnsi="Times New Roman" w:cs="Times New Roman"/>
          <w:sz w:val="24"/>
          <w:szCs w:val="24"/>
        </w:rPr>
        <w:t>(2</w:t>
      </w:r>
      <w:r w:rsidRPr="00FF47D2">
        <w:rPr>
          <w:rFonts w:ascii="Times New Roman" w:hAnsi="Times New Roman" w:cs="Times New Roman"/>
          <w:sz w:val="24"/>
          <w:szCs w:val="24"/>
          <w:vertAlign w:val="superscript"/>
        </w:rPr>
        <w:t>2</w:t>
      </w:r>
      <w:r w:rsidRPr="00FF47D2">
        <w:rPr>
          <w:rFonts w:ascii="Times New Roman" w:hAnsi="Times New Roman" w:cs="Times New Roman"/>
          <w:sz w:val="24"/>
          <w:szCs w:val="24"/>
        </w:rPr>
        <w:t>) Neemiterea de către furnizorii de energie electrică a facturilor pentru energia electrică produsă și livrată în rețeaua de prosumatori și pentru energia electrică furnizată prosumatorilor în termenul prevăzut la alin. (2</w:t>
      </w:r>
      <w:r w:rsidRPr="00FF47D2">
        <w:rPr>
          <w:rFonts w:ascii="Times New Roman" w:hAnsi="Times New Roman" w:cs="Times New Roman"/>
          <w:sz w:val="24"/>
          <w:szCs w:val="24"/>
          <w:vertAlign w:val="superscript"/>
        </w:rPr>
        <w:t>1</w:t>
      </w:r>
      <w:r w:rsidRPr="00FF47D2">
        <w:rPr>
          <w:rFonts w:ascii="Times New Roman" w:hAnsi="Times New Roman" w:cs="Times New Roman"/>
          <w:sz w:val="24"/>
          <w:szCs w:val="24"/>
        </w:rPr>
        <w:t>) conduce la plata de penalități de către furnizorii de energie electrică de 0,20% pentru fiecare zi de întârziere pentru emiterea facturii/facturilor respective.”</w:t>
      </w:r>
    </w:p>
    <w:p w:rsidR="00FF47D2" w:rsidRPr="00FF47D2" w:rsidRDefault="00FF47D2" w:rsidP="00FF47D2">
      <w:pPr>
        <w:pStyle w:val="ListParagraph"/>
        <w:spacing w:line="360" w:lineRule="auto"/>
        <w:ind w:left="360"/>
        <w:jc w:val="both"/>
        <w:rPr>
          <w:rFonts w:ascii="Times New Roman" w:hAnsi="Times New Roman" w:cs="Times New Roman"/>
          <w:sz w:val="24"/>
          <w:szCs w:val="24"/>
        </w:rPr>
      </w:pPr>
    </w:p>
    <w:p w:rsidR="00DD5A3A" w:rsidRDefault="00947EA1" w:rsidP="00DD5A3A">
      <w:pPr>
        <w:pStyle w:val="ListParagraph"/>
        <w:numPr>
          <w:ilvl w:val="0"/>
          <w:numId w:val="1"/>
        </w:numPr>
        <w:spacing w:line="360" w:lineRule="auto"/>
        <w:jc w:val="both"/>
        <w:rPr>
          <w:rFonts w:ascii="Times New Roman" w:hAnsi="Times New Roman" w:cs="Times New Roman"/>
          <w:b/>
          <w:sz w:val="24"/>
          <w:szCs w:val="24"/>
        </w:rPr>
      </w:pPr>
      <w:r w:rsidRPr="00947EA1">
        <w:rPr>
          <w:rFonts w:ascii="Times New Roman" w:hAnsi="Times New Roman" w:cs="Times New Roman"/>
          <w:b/>
          <w:sz w:val="24"/>
          <w:szCs w:val="24"/>
        </w:rPr>
        <w:t xml:space="preserve">La </w:t>
      </w:r>
      <w:r w:rsidR="00DD5A3A" w:rsidRPr="00947EA1">
        <w:rPr>
          <w:rFonts w:ascii="Times New Roman" w:hAnsi="Times New Roman" w:cs="Times New Roman"/>
          <w:b/>
          <w:sz w:val="24"/>
          <w:szCs w:val="24"/>
        </w:rPr>
        <w:t>A</w:t>
      </w:r>
      <w:r w:rsidR="00167BC7" w:rsidRPr="00947EA1">
        <w:rPr>
          <w:rFonts w:ascii="Times New Roman" w:hAnsi="Times New Roman" w:cs="Times New Roman"/>
          <w:b/>
          <w:sz w:val="24"/>
          <w:szCs w:val="24"/>
        </w:rPr>
        <w:t xml:space="preserve">nexa nr. </w:t>
      </w:r>
      <w:r w:rsidR="00DD5A3A" w:rsidRPr="00947EA1">
        <w:rPr>
          <w:rFonts w:ascii="Times New Roman" w:hAnsi="Times New Roman" w:cs="Times New Roman"/>
          <w:b/>
          <w:sz w:val="24"/>
          <w:szCs w:val="24"/>
        </w:rPr>
        <w:t>2</w:t>
      </w:r>
      <w:r w:rsidRPr="00947EA1">
        <w:rPr>
          <w:rFonts w:ascii="Times New Roman" w:hAnsi="Times New Roman" w:cs="Times New Roman"/>
          <w:b/>
          <w:sz w:val="24"/>
          <w:szCs w:val="24"/>
        </w:rPr>
        <w:t xml:space="preserve">, articolul 7, alineatele (3) și (4) se modifică și vor avea următorul cuprins: </w:t>
      </w:r>
    </w:p>
    <w:p w:rsidR="00FF47D2" w:rsidRDefault="00F436B7" w:rsidP="00FF47D2">
      <w:pPr>
        <w:pStyle w:val="ListParagraph"/>
        <w:spacing w:line="360" w:lineRule="auto"/>
        <w:ind w:left="360"/>
        <w:jc w:val="both"/>
        <w:rPr>
          <w:rFonts w:ascii="Times New Roman" w:hAnsi="Times New Roman" w:cs="Times New Roman"/>
          <w:sz w:val="24"/>
          <w:szCs w:val="24"/>
        </w:rPr>
      </w:pPr>
      <w:bookmarkStart w:id="7" w:name="_Hlk145331114"/>
      <w:bookmarkEnd w:id="6"/>
      <w:r w:rsidRPr="007D4FDC">
        <w:rPr>
          <w:rFonts w:ascii="Times New Roman" w:hAnsi="Times New Roman" w:cs="Times New Roman"/>
          <w:sz w:val="24"/>
          <w:szCs w:val="24"/>
          <w:lang w:val="en-US"/>
        </w:rPr>
        <w:t>“</w:t>
      </w:r>
      <w:r w:rsidRPr="00F436B7">
        <w:rPr>
          <w:rFonts w:ascii="Times New Roman" w:hAnsi="Times New Roman" w:cs="Times New Roman"/>
          <w:sz w:val="24"/>
          <w:szCs w:val="24"/>
        </w:rPr>
        <w:t>(3)</w:t>
      </w:r>
      <w:r>
        <w:rPr>
          <w:rFonts w:ascii="Times New Roman" w:hAnsi="Times New Roman" w:cs="Times New Roman"/>
          <w:sz w:val="24"/>
          <w:szCs w:val="24"/>
        </w:rPr>
        <w:t xml:space="preserve"> </w:t>
      </w:r>
      <w:r w:rsidR="00FF47D2" w:rsidRPr="00FF47D2">
        <w:rPr>
          <w:rFonts w:ascii="Times New Roman" w:hAnsi="Times New Roman" w:cs="Times New Roman"/>
          <w:sz w:val="24"/>
          <w:szCs w:val="24"/>
        </w:rPr>
        <w:t xml:space="preserve">Cumpărătorul returnează, în mod automat, cantitatea de energie electrică reportată prevăzută la alin. (2), parţial sau total, pentru acoperirea consumului de energie electrică al vânzătorului în perioada/perioadele următoare de facturare în care cantitatea de energie electrică consumată de vânzător din reţeaua electrică este mai mare decât cantitatea de energie electrică produsă şi livrată în reţeaua electrică de acesta, precum și pentru acoperirea consumului de energie electrică al vânzătorului de la alte locuri de consum/locuri de producere și consum ale acestuia şi evidenţiază distinct într-o anexă la factura de energie electrică emisă de furnizorul de energie electrică în baza contractului de furnizare a energiei electrice cantitatea de energie electrică returnată în fiecare perioadă de facturare, precum și </w:t>
      </w:r>
      <w:r w:rsidR="00FF47D2" w:rsidRPr="00FF47D2">
        <w:rPr>
          <w:rFonts w:ascii="Times New Roman" w:hAnsi="Times New Roman" w:cs="Times New Roman"/>
          <w:sz w:val="24"/>
          <w:szCs w:val="24"/>
        </w:rPr>
        <w:lastRenderedPageBreak/>
        <w:t>cantitatea de energie electrică utilizată pentru acoperirea consumului la alte locuri de consum/locuri de producere și consum ale vânzătorului, inclusiv asupra preţului acesteia care este egal cu preţul în factura emisă vânzătorului în perioada în care energia electrică reportată a fost efectiv produsă şi livrată în reţeaua electrică, până la utilizarea integrală a cantităţii de energie electrică reportate prevăzute în factura emisă conform alin. (2) lit. a) sau b), după caz, în ordinea în care aceasta a fost livrată în reţeaua electrică.</w:t>
      </w:r>
    </w:p>
    <w:p w:rsidR="00FF47D2" w:rsidRPr="00FF47D2" w:rsidRDefault="00FF47D2" w:rsidP="00FF47D2">
      <w:pPr>
        <w:pStyle w:val="ListParagraph"/>
        <w:spacing w:line="360" w:lineRule="auto"/>
        <w:ind w:left="360"/>
        <w:jc w:val="both"/>
        <w:rPr>
          <w:rFonts w:ascii="Times New Roman" w:hAnsi="Times New Roman" w:cs="Times New Roman"/>
          <w:sz w:val="24"/>
          <w:szCs w:val="24"/>
        </w:rPr>
      </w:pPr>
    </w:p>
    <w:p w:rsidR="00F436B7" w:rsidRDefault="00FF47D2" w:rsidP="00FF77CE">
      <w:pPr>
        <w:pStyle w:val="ListParagraph"/>
        <w:spacing w:line="360" w:lineRule="auto"/>
        <w:ind w:left="360"/>
        <w:jc w:val="both"/>
        <w:rPr>
          <w:rFonts w:ascii="Times New Roman" w:hAnsi="Times New Roman" w:cs="Times New Roman"/>
          <w:sz w:val="24"/>
          <w:szCs w:val="24"/>
          <w:lang w:val="en-US"/>
        </w:rPr>
      </w:pPr>
      <w:r w:rsidRPr="00FF47D2">
        <w:rPr>
          <w:rFonts w:ascii="Times New Roman" w:hAnsi="Times New Roman" w:cs="Times New Roman"/>
          <w:sz w:val="24"/>
          <w:szCs w:val="24"/>
        </w:rPr>
        <w:t>(4)</w:t>
      </w:r>
      <w:r>
        <w:rPr>
          <w:rFonts w:ascii="Times New Roman" w:hAnsi="Times New Roman" w:cs="Times New Roman"/>
          <w:sz w:val="24"/>
          <w:szCs w:val="24"/>
        </w:rPr>
        <w:t xml:space="preserve"> </w:t>
      </w:r>
      <w:r w:rsidRPr="00FF47D2">
        <w:rPr>
          <w:rFonts w:ascii="Times New Roman" w:hAnsi="Times New Roman" w:cs="Times New Roman"/>
          <w:sz w:val="24"/>
          <w:szCs w:val="24"/>
        </w:rPr>
        <w:t>În fiecare lună de facturare în care cumpărătorul returnează vânzătorului, parţial sau total, din cantitatea de energie electrică reportată prevăzută la alin. (2), cumpărătorul realizează compensarea financiară între facturile emise de acesta conform prevederilor contractului de furnizare a energiei electrice şi ale prezentului contract, cu menţiunea că factura emisă conform alin. (2) lit. a) sau b), după caz, intră în compensare financiară, parţial sau total, corespunzător cantităţii de energie electrică returnate în perioada de returnare respectivă/utilizate pentru acoperirea consumului de energie electrică la alte locuri de consum/locuri de producere și consum ale vânzătorului</w:t>
      </w:r>
      <w:r w:rsidR="001D2020" w:rsidRPr="001D2020">
        <w:rPr>
          <w:rFonts w:ascii="Times New Roman" w:hAnsi="Times New Roman" w:cs="Times New Roman"/>
          <w:sz w:val="24"/>
          <w:szCs w:val="24"/>
        </w:rPr>
        <w:t>.</w:t>
      </w:r>
      <w:r w:rsidR="00F436B7" w:rsidRPr="007D4FDC">
        <w:rPr>
          <w:rFonts w:ascii="Times New Roman" w:hAnsi="Times New Roman" w:cs="Times New Roman"/>
          <w:sz w:val="24"/>
          <w:szCs w:val="24"/>
          <w:lang w:val="en-US"/>
        </w:rPr>
        <w:t>”</w:t>
      </w:r>
    </w:p>
    <w:bookmarkEnd w:id="7"/>
    <w:p w:rsidR="00FF77CE" w:rsidRPr="00FF77CE" w:rsidRDefault="00FF77CE" w:rsidP="00FF77CE">
      <w:pPr>
        <w:pStyle w:val="ListParagraph"/>
        <w:spacing w:line="360" w:lineRule="auto"/>
        <w:ind w:left="360"/>
        <w:jc w:val="both"/>
        <w:rPr>
          <w:rFonts w:ascii="Times New Roman" w:hAnsi="Times New Roman" w:cs="Times New Roman"/>
          <w:sz w:val="24"/>
          <w:szCs w:val="24"/>
          <w:lang w:val="en-US"/>
        </w:rPr>
      </w:pPr>
    </w:p>
    <w:p w:rsidR="00C24FDD" w:rsidRPr="00C24FDD" w:rsidRDefault="00C24FDD" w:rsidP="00C24FDD">
      <w:pPr>
        <w:pStyle w:val="ListParagraph"/>
        <w:numPr>
          <w:ilvl w:val="0"/>
          <w:numId w:val="1"/>
        </w:numPr>
        <w:spacing w:line="360" w:lineRule="auto"/>
        <w:ind w:left="357" w:hanging="357"/>
        <w:jc w:val="both"/>
        <w:rPr>
          <w:rFonts w:ascii="Times New Roman" w:hAnsi="Times New Roman" w:cs="Times New Roman"/>
          <w:b/>
          <w:sz w:val="24"/>
          <w:szCs w:val="24"/>
        </w:rPr>
      </w:pPr>
      <w:bookmarkStart w:id="8" w:name="_Hlk125718741"/>
      <w:r w:rsidRPr="00C24FDD">
        <w:rPr>
          <w:rFonts w:ascii="Times New Roman" w:hAnsi="Times New Roman" w:cs="Times New Roman"/>
          <w:b/>
          <w:sz w:val="24"/>
          <w:szCs w:val="24"/>
        </w:rPr>
        <w:t>La Anexa nr. 2, articolul 7, după alineatul (</w:t>
      </w:r>
      <w:r>
        <w:rPr>
          <w:rFonts w:ascii="Times New Roman" w:hAnsi="Times New Roman" w:cs="Times New Roman"/>
          <w:b/>
          <w:sz w:val="24"/>
          <w:szCs w:val="24"/>
        </w:rPr>
        <w:t>5</w:t>
      </w:r>
      <w:r w:rsidRPr="00C24FDD">
        <w:rPr>
          <w:rFonts w:ascii="Times New Roman" w:hAnsi="Times New Roman" w:cs="Times New Roman"/>
          <w:b/>
          <w:sz w:val="24"/>
          <w:szCs w:val="24"/>
        </w:rPr>
        <w:t xml:space="preserve">), se introduc </w:t>
      </w:r>
      <w:r>
        <w:rPr>
          <w:rFonts w:ascii="Times New Roman" w:hAnsi="Times New Roman" w:cs="Times New Roman"/>
          <w:b/>
          <w:sz w:val="24"/>
          <w:szCs w:val="24"/>
        </w:rPr>
        <w:t>trei</w:t>
      </w:r>
      <w:r w:rsidRPr="00C24FDD">
        <w:rPr>
          <w:rFonts w:ascii="Times New Roman" w:hAnsi="Times New Roman" w:cs="Times New Roman"/>
          <w:b/>
          <w:sz w:val="24"/>
          <w:szCs w:val="24"/>
        </w:rPr>
        <w:t xml:space="preserve"> noi alineate, alineatele (</w:t>
      </w:r>
      <w:r>
        <w:rPr>
          <w:rFonts w:ascii="Times New Roman" w:hAnsi="Times New Roman" w:cs="Times New Roman"/>
          <w:b/>
          <w:sz w:val="24"/>
          <w:szCs w:val="24"/>
        </w:rPr>
        <w:t>6) -</w:t>
      </w:r>
      <w:r w:rsidRPr="00C24FDD">
        <w:rPr>
          <w:rFonts w:ascii="Times New Roman" w:hAnsi="Times New Roman" w:cs="Times New Roman"/>
          <w:b/>
          <w:sz w:val="24"/>
          <w:szCs w:val="24"/>
        </w:rPr>
        <w:t xml:space="preserve"> (</w:t>
      </w:r>
      <w:r w:rsidR="00816C18">
        <w:rPr>
          <w:rFonts w:ascii="Times New Roman" w:hAnsi="Times New Roman" w:cs="Times New Roman"/>
          <w:b/>
          <w:sz w:val="24"/>
          <w:szCs w:val="24"/>
        </w:rPr>
        <w:t>8</w:t>
      </w:r>
      <w:r w:rsidRPr="00C24FDD">
        <w:rPr>
          <w:rFonts w:ascii="Times New Roman" w:hAnsi="Times New Roman" w:cs="Times New Roman"/>
          <w:b/>
          <w:sz w:val="24"/>
          <w:szCs w:val="24"/>
        </w:rPr>
        <w:t xml:space="preserve">), cu următorul cuprins: </w:t>
      </w:r>
    </w:p>
    <w:p w:rsidR="00816C18" w:rsidRPr="00816C18" w:rsidRDefault="00816C18" w:rsidP="00816C18">
      <w:pPr>
        <w:pStyle w:val="ListParagraph"/>
        <w:spacing w:line="360" w:lineRule="auto"/>
        <w:ind w:left="360"/>
        <w:jc w:val="both"/>
        <w:rPr>
          <w:rFonts w:ascii="Times New Roman" w:hAnsi="Times New Roman" w:cs="Times New Roman"/>
          <w:sz w:val="24"/>
          <w:szCs w:val="24"/>
        </w:rPr>
      </w:pPr>
      <w:r w:rsidRPr="00816C18">
        <w:rPr>
          <w:rFonts w:ascii="Times New Roman" w:hAnsi="Times New Roman" w:cs="Times New Roman"/>
          <w:sz w:val="24"/>
          <w:szCs w:val="24"/>
        </w:rPr>
        <w:t>“(</w:t>
      </w:r>
      <w:r>
        <w:rPr>
          <w:rFonts w:ascii="Times New Roman" w:hAnsi="Times New Roman" w:cs="Times New Roman"/>
          <w:sz w:val="24"/>
          <w:szCs w:val="24"/>
        </w:rPr>
        <w:t>6</w:t>
      </w:r>
      <w:r w:rsidRPr="00816C18">
        <w:rPr>
          <w:rFonts w:ascii="Times New Roman" w:hAnsi="Times New Roman" w:cs="Times New Roman"/>
          <w:sz w:val="24"/>
          <w:szCs w:val="24"/>
        </w:rPr>
        <w:t xml:space="preserve">) Termenul de plată a soldului rezultat din aplicarea mecanismului de compensare cantitativă este același cu cel prevăzut în contractual de furnizare a energiei electrice încheiat între prosumator și furnizorul de energie electrică. </w:t>
      </w:r>
    </w:p>
    <w:p w:rsidR="00816C18" w:rsidRPr="00816C18" w:rsidRDefault="00816C18" w:rsidP="00816C18">
      <w:pPr>
        <w:pStyle w:val="ListParagraph"/>
        <w:spacing w:line="360" w:lineRule="auto"/>
        <w:ind w:left="360"/>
        <w:jc w:val="both"/>
        <w:rPr>
          <w:rFonts w:ascii="Times New Roman" w:hAnsi="Times New Roman" w:cs="Times New Roman"/>
          <w:sz w:val="24"/>
          <w:szCs w:val="24"/>
        </w:rPr>
      </w:pPr>
      <w:r w:rsidRPr="00816C18">
        <w:rPr>
          <w:rFonts w:ascii="Times New Roman" w:hAnsi="Times New Roman" w:cs="Times New Roman"/>
          <w:sz w:val="24"/>
          <w:szCs w:val="24"/>
        </w:rPr>
        <w:t xml:space="preserve"> (7) În cazul prosumatorului client casnic, dacă în urma aplicării mecanismului de compensare cantitativă rezultă de plată de către furnizorul de energie electrică o sumă mai mare de 100 lei, devin aplicabile prevederile art. 62 alin. (1) lit. h^5) din Lege. Sumele sub valoarea de 100 lei vor fi compensate cu sumele din facturile emise pentru perioada/perioadele următoare de facturare</w:t>
      </w:r>
    </w:p>
    <w:p w:rsidR="00FF77CE" w:rsidRDefault="00816C18" w:rsidP="00816C18">
      <w:pPr>
        <w:pStyle w:val="ListParagraph"/>
        <w:spacing w:line="360" w:lineRule="auto"/>
        <w:ind w:left="360"/>
        <w:jc w:val="both"/>
        <w:rPr>
          <w:rFonts w:ascii="Times New Roman" w:hAnsi="Times New Roman" w:cs="Times New Roman"/>
          <w:sz w:val="24"/>
          <w:szCs w:val="24"/>
        </w:rPr>
      </w:pPr>
      <w:r w:rsidRPr="00816C18">
        <w:rPr>
          <w:rFonts w:ascii="Times New Roman" w:hAnsi="Times New Roman" w:cs="Times New Roman"/>
          <w:sz w:val="24"/>
          <w:szCs w:val="24"/>
        </w:rPr>
        <w:t xml:space="preserve"> (8) Neîndeplinirea de către cumpărător a obligaţiilor de plată ce îi revin la termenul prevăzut la alin. (6) conduce la plata de către acesta a unor dobânzi penalizatoare, în aceleaşi condiţii cu cele stabilite în contractul de furnizare, pentru neachitarea la termen a facturilor de energie electrică de către prosumator, în calitate de client final.”</w:t>
      </w:r>
    </w:p>
    <w:p w:rsidR="00816C18" w:rsidRPr="00816C18" w:rsidRDefault="00816C18" w:rsidP="00816C18">
      <w:pPr>
        <w:pStyle w:val="ListParagraph"/>
        <w:spacing w:line="360" w:lineRule="auto"/>
        <w:ind w:left="360"/>
        <w:jc w:val="both"/>
        <w:rPr>
          <w:rFonts w:ascii="Times New Roman" w:hAnsi="Times New Roman" w:cs="Times New Roman"/>
          <w:sz w:val="24"/>
          <w:szCs w:val="24"/>
        </w:rPr>
      </w:pPr>
    </w:p>
    <w:p w:rsidR="00D119A8" w:rsidRDefault="00D119A8" w:rsidP="00D119A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După anexa nr. </w:t>
      </w:r>
      <w:r w:rsidR="00DD5A3A">
        <w:rPr>
          <w:rFonts w:ascii="Times New Roman" w:hAnsi="Times New Roman" w:cs="Times New Roman"/>
          <w:b/>
          <w:sz w:val="24"/>
          <w:szCs w:val="24"/>
        </w:rPr>
        <w:t>2</w:t>
      </w:r>
      <w:r>
        <w:rPr>
          <w:rFonts w:ascii="Times New Roman" w:hAnsi="Times New Roman" w:cs="Times New Roman"/>
          <w:b/>
          <w:sz w:val="24"/>
          <w:szCs w:val="24"/>
        </w:rPr>
        <w:t xml:space="preserve"> se introduce o nouă anexă, </w:t>
      </w:r>
      <w:r w:rsidR="00DD2493">
        <w:rPr>
          <w:rFonts w:ascii="Times New Roman" w:hAnsi="Times New Roman" w:cs="Times New Roman"/>
          <w:b/>
          <w:sz w:val="24"/>
          <w:szCs w:val="24"/>
        </w:rPr>
        <w:t xml:space="preserve">anexa nr. 3, având cuprinsul prevăzut în </w:t>
      </w:r>
      <w:r>
        <w:rPr>
          <w:rFonts w:ascii="Times New Roman" w:hAnsi="Times New Roman" w:cs="Times New Roman"/>
          <w:b/>
          <w:sz w:val="24"/>
          <w:szCs w:val="24"/>
        </w:rPr>
        <w:t xml:space="preserve">anexa nr. </w:t>
      </w:r>
      <w:r w:rsidR="00F436B7">
        <w:rPr>
          <w:rFonts w:ascii="Times New Roman" w:hAnsi="Times New Roman" w:cs="Times New Roman"/>
          <w:b/>
          <w:sz w:val="24"/>
          <w:szCs w:val="24"/>
        </w:rPr>
        <w:t>1</w:t>
      </w:r>
      <w:r>
        <w:rPr>
          <w:rFonts w:ascii="Times New Roman" w:hAnsi="Times New Roman" w:cs="Times New Roman"/>
          <w:b/>
          <w:sz w:val="24"/>
          <w:szCs w:val="24"/>
        </w:rPr>
        <w:t xml:space="preserve"> la prezentul ordin. </w:t>
      </w:r>
    </w:p>
    <w:bookmarkEnd w:id="8"/>
    <w:p w:rsidR="008B67F2" w:rsidRPr="008B67F2" w:rsidRDefault="008B67F2" w:rsidP="008B67F2">
      <w:pPr>
        <w:pStyle w:val="ListParagraph"/>
        <w:ind w:left="360"/>
        <w:rPr>
          <w:rFonts w:ascii="Times New Roman" w:hAnsi="Times New Roman" w:cs="Times New Roman"/>
          <w:b/>
          <w:sz w:val="24"/>
          <w:szCs w:val="24"/>
          <w:lang w:val="en-US"/>
        </w:rPr>
      </w:pPr>
    </w:p>
    <w:p w:rsidR="00EC1C5B" w:rsidRDefault="007F1B42" w:rsidP="007F1B42">
      <w:pPr>
        <w:pStyle w:val="ListParagraph"/>
        <w:spacing w:line="360" w:lineRule="auto"/>
        <w:ind w:left="0"/>
        <w:jc w:val="both"/>
        <w:rPr>
          <w:rFonts w:ascii="Times New Roman" w:hAnsi="Times New Roman" w:cs="Times New Roman"/>
          <w:sz w:val="24"/>
          <w:szCs w:val="24"/>
          <w:lang w:val="en-US"/>
        </w:rPr>
      </w:pPr>
      <w:r w:rsidRPr="007F1B42">
        <w:rPr>
          <w:rFonts w:ascii="Times New Roman" w:hAnsi="Times New Roman" w:cs="Times New Roman"/>
          <w:b/>
          <w:sz w:val="24"/>
          <w:szCs w:val="24"/>
          <w:lang w:val="en-US"/>
        </w:rPr>
        <w:lastRenderedPageBreak/>
        <w:t>Art. II.</w:t>
      </w:r>
      <w:r>
        <w:rPr>
          <w:rFonts w:ascii="Times New Roman" w:hAnsi="Times New Roman" w:cs="Times New Roman"/>
          <w:sz w:val="24"/>
          <w:szCs w:val="24"/>
          <w:lang w:val="en-US"/>
        </w:rPr>
        <w:t xml:space="preserve">   </w:t>
      </w:r>
      <w:r w:rsidR="00DD5A3A" w:rsidRPr="00DD5A3A">
        <w:rPr>
          <w:rFonts w:ascii="Times New Roman" w:hAnsi="Times New Roman" w:cs="Times New Roman"/>
          <w:sz w:val="24"/>
          <w:szCs w:val="24"/>
          <w:lang w:val="en-US"/>
        </w:rPr>
        <w:t xml:space="preserve">Prosumatorii persoane fizice şi juridice </w:t>
      </w:r>
      <w:r w:rsidR="00DD5A3A">
        <w:rPr>
          <w:rFonts w:ascii="Times New Roman" w:hAnsi="Times New Roman" w:cs="Times New Roman"/>
          <w:sz w:val="24"/>
          <w:szCs w:val="24"/>
          <w:lang w:val="en-US"/>
        </w:rPr>
        <w:t>certificați conform reglementărilor Autorității Naționale de Reglementare în Domeniul Energiei</w:t>
      </w:r>
      <w:r w:rsidR="00DD5A3A" w:rsidRPr="00DD5A3A">
        <w:rPr>
          <w:rFonts w:ascii="Times New Roman" w:hAnsi="Times New Roman" w:cs="Times New Roman"/>
          <w:sz w:val="24"/>
          <w:szCs w:val="24"/>
          <w:lang w:val="en-US"/>
        </w:rPr>
        <w:t xml:space="preserve">, furnizorii de energie electrică care au încheiate/încheie contracte de furnizare a energiei electrice cu prosumatorii în calitate de consumatori finali, operatorii de distribuţie a energiei electrice la reţelele electrice la care sunt racordate </w:t>
      </w:r>
      <w:r w:rsidR="002E033E">
        <w:rPr>
          <w:rFonts w:ascii="Times New Roman" w:hAnsi="Times New Roman" w:cs="Times New Roman"/>
          <w:sz w:val="24"/>
          <w:szCs w:val="24"/>
          <w:lang w:val="en-US"/>
        </w:rPr>
        <w:t>locurile de producere și consum/locurile de consum</w:t>
      </w:r>
      <w:r w:rsidR="00DD5A3A" w:rsidRPr="00DD5A3A">
        <w:rPr>
          <w:rFonts w:ascii="Times New Roman" w:hAnsi="Times New Roman" w:cs="Times New Roman"/>
          <w:sz w:val="24"/>
          <w:szCs w:val="24"/>
          <w:lang w:val="en-US"/>
        </w:rPr>
        <w:t xml:space="preserve"> aparţinând prosumatorilor, precum şi Societatea Operatorul Pieţei de Energie Electrică şi de Gaze Naturale «OPCOM» – S.A. duc la îndeplinire prevederile prezentului ordin.</w:t>
      </w:r>
    </w:p>
    <w:p w:rsidR="00F436B7" w:rsidRPr="00D119A8" w:rsidRDefault="00F436B7" w:rsidP="007F1B42">
      <w:pPr>
        <w:pStyle w:val="ListParagraph"/>
        <w:spacing w:line="360" w:lineRule="auto"/>
        <w:ind w:left="0"/>
        <w:jc w:val="both"/>
        <w:rPr>
          <w:rFonts w:ascii="Times New Roman" w:hAnsi="Times New Roman" w:cs="Times New Roman"/>
          <w:sz w:val="24"/>
          <w:szCs w:val="24"/>
        </w:rPr>
      </w:pPr>
    </w:p>
    <w:p w:rsidR="00EC1C5B" w:rsidRDefault="007F1B42" w:rsidP="007F1B42">
      <w:pPr>
        <w:pStyle w:val="ListParagraph"/>
        <w:spacing w:line="360" w:lineRule="auto"/>
        <w:ind w:left="0"/>
        <w:jc w:val="both"/>
        <w:rPr>
          <w:rFonts w:ascii="Times New Roman" w:hAnsi="Times New Roman" w:cs="Times New Roman"/>
          <w:sz w:val="24"/>
          <w:szCs w:val="24"/>
          <w:lang w:val="en-US"/>
        </w:rPr>
      </w:pPr>
      <w:r w:rsidRPr="007F1B42">
        <w:rPr>
          <w:rFonts w:ascii="Times New Roman" w:hAnsi="Times New Roman" w:cs="Times New Roman"/>
          <w:b/>
          <w:sz w:val="24"/>
          <w:szCs w:val="24"/>
          <w:lang w:val="en-US"/>
        </w:rPr>
        <w:t xml:space="preserve">Art. </w:t>
      </w:r>
      <w:r w:rsidR="00D3390C">
        <w:rPr>
          <w:rFonts w:ascii="Times New Roman" w:hAnsi="Times New Roman" w:cs="Times New Roman"/>
          <w:b/>
          <w:sz w:val="24"/>
          <w:szCs w:val="24"/>
          <w:lang w:val="en-US"/>
        </w:rPr>
        <w:t>I</w:t>
      </w:r>
      <w:r w:rsidR="00D119A8">
        <w:rPr>
          <w:rFonts w:ascii="Times New Roman" w:hAnsi="Times New Roman" w:cs="Times New Roman"/>
          <w:b/>
          <w:sz w:val="24"/>
          <w:szCs w:val="24"/>
          <w:lang w:val="en-US"/>
        </w:rPr>
        <w:t>II</w:t>
      </w:r>
      <w:r w:rsidRPr="007F1B42">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00EC1C5B" w:rsidRPr="00EC1C5B">
        <w:rPr>
          <w:rFonts w:ascii="Times New Roman" w:hAnsi="Times New Roman" w:cs="Times New Roman"/>
          <w:sz w:val="24"/>
          <w:szCs w:val="24"/>
          <w:lang w:val="en-US"/>
        </w:rPr>
        <w:t>Entitățile organizatorice din cadrul Autorității Naționale de Reglementare în Domeniul Energiei urmăresc respectarea prevederilor prezentului ordin.</w:t>
      </w:r>
    </w:p>
    <w:p w:rsidR="002206A5" w:rsidRPr="002206A5" w:rsidRDefault="007F1B42" w:rsidP="002206A5">
      <w:pPr>
        <w:spacing w:line="360" w:lineRule="auto"/>
        <w:jc w:val="both"/>
        <w:rPr>
          <w:rFonts w:ascii="Times New Roman" w:hAnsi="Times New Roman" w:cs="Times New Roman"/>
          <w:sz w:val="24"/>
          <w:szCs w:val="24"/>
          <w:lang w:val="en-US"/>
        </w:rPr>
      </w:pPr>
      <w:r w:rsidRPr="00D3390C">
        <w:rPr>
          <w:rFonts w:ascii="Times New Roman" w:hAnsi="Times New Roman" w:cs="Times New Roman"/>
          <w:b/>
          <w:sz w:val="24"/>
          <w:szCs w:val="24"/>
          <w:lang w:val="en-US"/>
        </w:rPr>
        <w:t xml:space="preserve">Art. </w:t>
      </w:r>
      <w:r w:rsidR="00D119A8">
        <w:rPr>
          <w:rFonts w:ascii="Times New Roman" w:hAnsi="Times New Roman" w:cs="Times New Roman"/>
          <w:b/>
          <w:sz w:val="24"/>
          <w:szCs w:val="24"/>
          <w:lang w:val="en-US"/>
        </w:rPr>
        <w:t>I</w:t>
      </w:r>
      <w:r w:rsidRPr="00D3390C">
        <w:rPr>
          <w:rFonts w:ascii="Times New Roman" w:hAnsi="Times New Roman" w:cs="Times New Roman"/>
          <w:b/>
          <w:sz w:val="24"/>
          <w:szCs w:val="24"/>
          <w:lang w:val="en-US"/>
        </w:rPr>
        <w:t>V.</w:t>
      </w:r>
      <w:r w:rsidRPr="00D3390C">
        <w:rPr>
          <w:rFonts w:ascii="Times New Roman" w:hAnsi="Times New Roman" w:cs="Times New Roman"/>
          <w:sz w:val="24"/>
          <w:szCs w:val="24"/>
          <w:lang w:val="en-US"/>
        </w:rPr>
        <w:t xml:space="preserve">   </w:t>
      </w:r>
      <w:r w:rsidR="007F7E7B">
        <w:rPr>
          <w:rFonts w:ascii="Times New Roman" w:hAnsi="Times New Roman" w:cs="Times New Roman"/>
          <w:sz w:val="24"/>
          <w:szCs w:val="24"/>
          <w:lang w:val="en-US"/>
        </w:rPr>
        <w:t xml:space="preserve">- </w:t>
      </w:r>
      <w:r w:rsidR="002206A5" w:rsidRPr="002206A5">
        <w:rPr>
          <w:rFonts w:ascii="Times New Roman" w:hAnsi="Times New Roman" w:cs="Times New Roman"/>
          <w:sz w:val="24"/>
          <w:szCs w:val="24"/>
          <w:lang w:val="en-US"/>
        </w:rPr>
        <w:t>(1) Prezentul ordin se publică în Monitorul Oficial al României, Partea I și intră în vigoare la data de 1 ianuarie 2024.</w:t>
      </w:r>
    </w:p>
    <w:p w:rsidR="002206A5" w:rsidRPr="002206A5" w:rsidRDefault="002206A5" w:rsidP="002206A5">
      <w:pPr>
        <w:spacing w:line="360" w:lineRule="auto"/>
        <w:jc w:val="both"/>
        <w:rPr>
          <w:rFonts w:ascii="Times New Roman" w:hAnsi="Times New Roman" w:cs="Times New Roman"/>
          <w:sz w:val="24"/>
          <w:szCs w:val="24"/>
          <w:lang w:val="en-US"/>
        </w:rPr>
      </w:pPr>
      <w:r w:rsidRPr="002206A5">
        <w:rPr>
          <w:rFonts w:ascii="Times New Roman" w:hAnsi="Times New Roman" w:cs="Times New Roman"/>
          <w:sz w:val="24"/>
          <w:szCs w:val="24"/>
          <w:lang w:val="en-US"/>
        </w:rPr>
        <w:t xml:space="preserve">(2) În perioada cuprinsă între data publicării prezentului ordin în Monitorul Oficial al României, Partea I și data intrării în vigoare </w:t>
      </w:r>
      <w:proofErr w:type="gramStart"/>
      <w:r w:rsidRPr="002206A5">
        <w:rPr>
          <w:rFonts w:ascii="Times New Roman" w:hAnsi="Times New Roman" w:cs="Times New Roman"/>
          <w:sz w:val="24"/>
          <w:szCs w:val="24"/>
          <w:lang w:val="en-US"/>
        </w:rPr>
        <w:t>a</w:t>
      </w:r>
      <w:proofErr w:type="gramEnd"/>
      <w:r w:rsidRPr="002206A5">
        <w:rPr>
          <w:rFonts w:ascii="Times New Roman" w:hAnsi="Times New Roman" w:cs="Times New Roman"/>
          <w:sz w:val="24"/>
          <w:szCs w:val="24"/>
          <w:lang w:val="en-US"/>
        </w:rPr>
        <w:t xml:space="preserve"> acestuia, furnizorii de energie electrică realizează următoarele activități:</w:t>
      </w:r>
    </w:p>
    <w:p w:rsidR="002206A5" w:rsidRPr="002206A5" w:rsidRDefault="002206A5" w:rsidP="002206A5">
      <w:pPr>
        <w:spacing w:line="360" w:lineRule="auto"/>
        <w:jc w:val="both"/>
        <w:rPr>
          <w:rFonts w:ascii="Times New Roman" w:hAnsi="Times New Roman" w:cs="Times New Roman"/>
          <w:sz w:val="24"/>
          <w:szCs w:val="24"/>
          <w:lang w:val="en-US"/>
        </w:rPr>
      </w:pPr>
      <w:r w:rsidRPr="002206A5">
        <w:rPr>
          <w:rFonts w:ascii="Times New Roman" w:hAnsi="Times New Roman" w:cs="Times New Roman"/>
          <w:sz w:val="24"/>
          <w:szCs w:val="24"/>
          <w:lang w:val="en-US"/>
        </w:rPr>
        <w:t xml:space="preserve">a) actualizează softurile utilizate pentru facturarea energiei electrice, în vederea organizării și implementării în acestea a cererilor transmise de prosumatori privind ordinea de prioritate și realocarea codului unic de măsurare </w:t>
      </w:r>
      <w:proofErr w:type="gramStart"/>
      <w:r w:rsidRPr="002206A5">
        <w:rPr>
          <w:rFonts w:ascii="Times New Roman" w:hAnsi="Times New Roman" w:cs="Times New Roman"/>
          <w:sz w:val="24"/>
          <w:szCs w:val="24"/>
          <w:lang w:val="en-US"/>
        </w:rPr>
        <w:t>a</w:t>
      </w:r>
      <w:proofErr w:type="gramEnd"/>
      <w:r w:rsidRPr="002206A5">
        <w:rPr>
          <w:rFonts w:ascii="Times New Roman" w:hAnsi="Times New Roman" w:cs="Times New Roman"/>
          <w:sz w:val="24"/>
          <w:szCs w:val="24"/>
          <w:lang w:val="en-US"/>
        </w:rPr>
        <w:t xml:space="preserve"> energiei electrice pentru fiecare loc de consum - POD pe noile coduri de facturare.</w:t>
      </w:r>
    </w:p>
    <w:p w:rsidR="002206A5" w:rsidRPr="002206A5" w:rsidRDefault="002206A5" w:rsidP="002206A5">
      <w:pPr>
        <w:spacing w:line="360" w:lineRule="auto"/>
        <w:jc w:val="both"/>
        <w:rPr>
          <w:rFonts w:ascii="Times New Roman" w:hAnsi="Times New Roman" w:cs="Times New Roman"/>
          <w:sz w:val="24"/>
          <w:szCs w:val="24"/>
          <w:lang w:val="en-US"/>
        </w:rPr>
      </w:pPr>
      <w:r w:rsidRPr="002206A5">
        <w:rPr>
          <w:rFonts w:ascii="Times New Roman" w:hAnsi="Times New Roman" w:cs="Times New Roman"/>
          <w:sz w:val="24"/>
          <w:szCs w:val="24"/>
          <w:lang w:val="en-US"/>
        </w:rPr>
        <w:t>b) notifică prosumatorii asupra necesității de transmitere a cererilor privind locurile de producere și consum și locuril</w:t>
      </w:r>
      <w:r w:rsidR="007F7E7B">
        <w:rPr>
          <w:rFonts w:ascii="Times New Roman" w:hAnsi="Times New Roman" w:cs="Times New Roman"/>
          <w:sz w:val="24"/>
          <w:szCs w:val="24"/>
          <w:lang w:val="en-US"/>
        </w:rPr>
        <w:t>e</w:t>
      </w:r>
      <w:r w:rsidRPr="002206A5">
        <w:rPr>
          <w:rFonts w:ascii="Times New Roman" w:hAnsi="Times New Roman" w:cs="Times New Roman"/>
          <w:sz w:val="24"/>
          <w:szCs w:val="24"/>
          <w:lang w:val="en-US"/>
        </w:rPr>
        <w:t xml:space="preserve"> de consum care intră în compensare financiară și </w:t>
      </w:r>
      <w:proofErr w:type="gramStart"/>
      <w:r w:rsidRPr="002206A5">
        <w:rPr>
          <w:rFonts w:ascii="Times New Roman" w:hAnsi="Times New Roman" w:cs="Times New Roman"/>
          <w:sz w:val="24"/>
          <w:szCs w:val="24"/>
          <w:lang w:val="en-US"/>
        </w:rPr>
        <w:t>a</w:t>
      </w:r>
      <w:proofErr w:type="gramEnd"/>
      <w:r w:rsidRPr="002206A5">
        <w:rPr>
          <w:rFonts w:ascii="Times New Roman" w:hAnsi="Times New Roman" w:cs="Times New Roman"/>
          <w:sz w:val="24"/>
          <w:szCs w:val="24"/>
          <w:lang w:val="en-US"/>
        </w:rPr>
        <w:t xml:space="preserve"> ordinii de prioritate în procesul de compensare financiară;</w:t>
      </w:r>
    </w:p>
    <w:p w:rsidR="002206A5" w:rsidRPr="002206A5" w:rsidRDefault="002206A5" w:rsidP="002206A5">
      <w:pPr>
        <w:spacing w:line="360" w:lineRule="auto"/>
        <w:jc w:val="both"/>
        <w:rPr>
          <w:rFonts w:ascii="Times New Roman" w:hAnsi="Times New Roman" w:cs="Times New Roman"/>
          <w:sz w:val="24"/>
          <w:szCs w:val="24"/>
          <w:lang w:val="en-US"/>
        </w:rPr>
      </w:pPr>
      <w:r w:rsidRPr="002206A5">
        <w:rPr>
          <w:rFonts w:ascii="Times New Roman" w:hAnsi="Times New Roman" w:cs="Times New Roman"/>
          <w:sz w:val="24"/>
          <w:szCs w:val="24"/>
          <w:lang w:val="en-US"/>
        </w:rPr>
        <w:t xml:space="preserve">c) colectează de la prosumatori informațiile prevăzute la lit. b).  </w:t>
      </w:r>
    </w:p>
    <w:p w:rsidR="001F28E0" w:rsidRDefault="002206A5" w:rsidP="002206A5">
      <w:pPr>
        <w:spacing w:line="360" w:lineRule="auto"/>
        <w:jc w:val="both"/>
        <w:rPr>
          <w:rFonts w:ascii="Times New Roman" w:hAnsi="Times New Roman" w:cs="Times New Roman"/>
          <w:sz w:val="24"/>
          <w:szCs w:val="24"/>
          <w:lang w:val="en-US"/>
        </w:rPr>
      </w:pPr>
      <w:r w:rsidRPr="002206A5">
        <w:rPr>
          <w:rFonts w:ascii="Times New Roman" w:hAnsi="Times New Roman" w:cs="Times New Roman"/>
          <w:sz w:val="24"/>
          <w:szCs w:val="24"/>
          <w:lang w:val="en-US"/>
        </w:rPr>
        <w:t>(3) Prin excepție de la prevederile alin.</w:t>
      </w:r>
      <w:r w:rsidR="007F7E7B">
        <w:rPr>
          <w:rFonts w:ascii="Times New Roman" w:hAnsi="Times New Roman" w:cs="Times New Roman"/>
          <w:sz w:val="24"/>
          <w:szCs w:val="24"/>
          <w:lang w:val="en-US"/>
        </w:rPr>
        <w:t xml:space="preserve"> </w:t>
      </w:r>
      <w:r w:rsidRPr="002206A5">
        <w:rPr>
          <w:rFonts w:ascii="Times New Roman" w:hAnsi="Times New Roman" w:cs="Times New Roman"/>
          <w:sz w:val="24"/>
          <w:szCs w:val="24"/>
          <w:lang w:val="en-US"/>
        </w:rPr>
        <w:t>(1), prevederile alin. (2) intră în vigoare la data publicării prezentului ordin în Monitorul Oficial al României, Partea I.</w:t>
      </w:r>
    </w:p>
    <w:p w:rsidR="00AA3A58" w:rsidRDefault="00AA3A58" w:rsidP="002206A5">
      <w:pPr>
        <w:spacing w:line="360" w:lineRule="auto"/>
        <w:jc w:val="both"/>
        <w:rPr>
          <w:rFonts w:ascii="Times New Roman" w:hAnsi="Times New Roman" w:cs="Times New Roman"/>
          <w:sz w:val="16"/>
          <w:szCs w:val="16"/>
          <w:lang w:val="en-US"/>
        </w:rPr>
      </w:pPr>
    </w:p>
    <w:p w:rsidR="00AA3A58" w:rsidRPr="001B6EC8" w:rsidRDefault="00AA3A58" w:rsidP="002206A5">
      <w:pPr>
        <w:spacing w:line="360" w:lineRule="auto"/>
        <w:jc w:val="both"/>
        <w:rPr>
          <w:rFonts w:ascii="Times New Roman" w:hAnsi="Times New Roman" w:cs="Times New Roman"/>
          <w:sz w:val="16"/>
          <w:szCs w:val="16"/>
          <w:lang w:val="en-US"/>
        </w:rPr>
      </w:pPr>
    </w:p>
    <w:p w:rsidR="00D70EB3" w:rsidRPr="000B31D3" w:rsidRDefault="00EC1C5B" w:rsidP="001B6EC8">
      <w:pPr>
        <w:pStyle w:val="ListParagraph"/>
        <w:spacing w:line="360" w:lineRule="auto"/>
        <w:jc w:val="both"/>
        <w:rPr>
          <w:rFonts w:ascii="Times New Roman" w:hAnsi="Times New Roman" w:cs="Times New Roman"/>
          <w:b/>
          <w:sz w:val="24"/>
          <w:szCs w:val="24"/>
          <w:lang w:val="en-US"/>
        </w:rPr>
      </w:pPr>
      <w:r w:rsidRPr="000B31D3">
        <w:rPr>
          <w:rFonts w:ascii="Times New Roman" w:hAnsi="Times New Roman" w:cs="Times New Roman"/>
          <w:b/>
          <w:sz w:val="24"/>
          <w:szCs w:val="24"/>
          <w:lang w:val="en-US"/>
        </w:rPr>
        <w:t>Președintele Autorității Naționale de Re</w:t>
      </w:r>
      <w:r w:rsidR="001B6EC8" w:rsidRPr="000B31D3">
        <w:rPr>
          <w:rFonts w:ascii="Times New Roman" w:hAnsi="Times New Roman" w:cs="Times New Roman"/>
          <w:b/>
          <w:sz w:val="24"/>
          <w:szCs w:val="24"/>
          <w:lang w:val="en-US"/>
        </w:rPr>
        <w:t>glementare în Domeniul Energiei</w:t>
      </w:r>
    </w:p>
    <w:p w:rsidR="00615E88" w:rsidRPr="000B31D3" w:rsidRDefault="00615E88" w:rsidP="001B6EC8">
      <w:pPr>
        <w:pStyle w:val="ListParagraph"/>
        <w:spacing w:line="360" w:lineRule="auto"/>
        <w:jc w:val="both"/>
        <w:rPr>
          <w:rFonts w:ascii="Times New Roman" w:hAnsi="Times New Roman" w:cs="Times New Roman"/>
          <w:b/>
          <w:sz w:val="24"/>
          <w:szCs w:val="24"/>
          <w:lang w:val="en-US"/>
        </w:rPr>
      </w:pPr>
    </w:p>
    <w:p w:rsidR="000F4BC8" w:rsidRPr="00816C18" w:rsidRDefault="002206A5" w:rsidP="00816C18">
      <w:pPr>
        <w:jc w:val="center"/>
        <w:rPr>
          <w:rFonts w:ascii="Times New Roman" w:hAnsi="Times New Roman" w:cs="Times New Roman"/>
          <w:b/>
          <w:bCs/>
          <w:sz w:val="24"/>
          <w:szCs w:val="24"/>
          <w:lang w:val="en-US"/>
        </w:rPr>
      </w:pPr>
      <w:r w:rsidRPr="002206A5">
        <w:rPr>
          <w:rFonts w:ascii="Times New Roman" w:hAnsi="Times New Roman" w:cs="Times New Roman"/>
          <w:b/>
          <w:bCs/>
          <w:sz w:val="24"/>
          <w:szCs w:val="24"/>
          <w:lang w:val="en-US"/>
        </w:rPr>
        <w:t>George – Sergiu NICULESCU</w:t>
      </w:r>
      <w:r w:rsidR="00CC3301">
        <w:rPr>
          <w:rFonts w:ascii="Times New Roman" w:hAnsi="Times New Roman" w:cs="Times New Roman"/>
          <w:sz w:val="24"/>
          <w:szCs w:val="24"/>
          <w:lang w:val="en-US"/>
        </w:rPr>
        <w:br w:type="page"/>
      </w:r>
    </w:p>
    <w:p w:rsidR="00162659" w:rsidRDefault="00162659" w:rsidP="008B67F2">
      <w:pPr>
        <w:rPr>
          <w:rFonts w:ascii="Times New Roman" w:hAnsi="Times New Roman" w:cs="Times New Roman"/>
          <w:sz w:val="24"/>
          <w:szCs w:val="24"/>
          <w:lang w:val="en-US"/>
        </w:rPr>
      </w:pPr>
    </w:p>
    <w:p w:rsidR="00A85D05" w:rsidRDefault="00A85D05" w:rsidP="00A85D05">
      <w:pPr>
        <w:autoSpaceDE w:val="0"/>
        <w:autoSpaceDN w:val="0"/>
        <w:adjustRightInd w:val="0"/>
        <w:spacing w:after="0" w:line="360" w:lineRule="auto"/>
        <w:jc w:val="both"/>
        <w:rPr>
          <w:rFonts w:ascii="Times New Roman" w:hAnsi="Times New Roman" w:cs="Times New Roman"/>
          <w:i/>
          <w:color w:val="000000" w:themeColor="text1"/>
          <w:sz w:val="24"/>
          <w:szCs w:val="24"/>
          <w:lang w:val="en-US"/>
        </w:rPr>
      </w:pPr>
      <w:bookmarkStart w:id="9" w:name="_GoBack"/>
      <w:bookmarkEnd w:id="9"/>
      <w:r w:rsidRPr="00A85D05">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sidR="00887865">
        <w:rPr>
          <w:rFonts w:ascii="Times New Roman" w:hAnsi="Times New Roman" w:cs="Times New Roman"/>
          <w:i/>
          <w:color w:val="000000" w:themeColor="text1"/>
          <w:sz w:val="24"/>
          <w:szCs w:val="24"/>
          <w:lang w:val="en-US"/>
        </w:rPr>
        <w:t xml:space="preserve">          </w:t>
      </w:r>
      <w:r w:rsidRPr="00A85D05">
        <w:rPr>
          <w:rFonts w:ascii="Times New Roman" w:hAnsi="Times New Roman" w:cs="Times New Roman"/>
          <w:i/>
          <w:color w:val="000000" w:themeColor="text1"/>
          <w:sz w:val="24"/>
          <w:szCs w:val="24"/>
          <w:lang w:val="en-US"/>
        </w:rPr>
        <w:t xml:space="preserve">ANEXA NR. </w:t>
      </w:r>
      <w:r w:rsidR="00F436B7">
        <w:rPr>
          <w:rFonts w:ascii="Times New Roman" w:hAnsi="Times New Roman" w:cs="Times New Roman"/>
          <w:i/>
          <w:color w:val="000000" w:themeColor="text1"/>
          <w:sz w:val="24"/>
          <w:szCs w:val="24"/>
          <w:lang w:val="en-US"/>
        </w:rPr>
        <w:t>1</w:t>
      </w:r>
    </w:p>
    <w:p w:rsidR="00887865" w:rsidRPr="00A85D05" w:rsidRDefault="00887865" w:rsidP="00887865">
      <w:pPr>
        <w:autoSpaceDE w:val="0"/>
        <w:autoSpaceDN w:val="0"/>
        <w:adjustRightInd w:val="0"/>
        <w:spacing w:after="0" w:line="360" w:lineRule="auto"/>
        <w:ind w:left="5664" w:firstLine="708"/>
        <w:jc w:val="both"/>
        <w:rPr>
          <w:rFonts w:ascii="Times New Roman" w:hAnsi="Times New Roman" w:cs="Times New Roman"/>
          <w:i/>
          <w:color w:val="000000" w:themeColor="text1"/>
          <w:sz w:val="24"/>
          <w:szCs w:val="24"/>
          <w:lang w:val="en-US"/>
        </w:rPr>
      </w:pPr>
      <w:r w:rsidRPr="00887865">
        <w:rPr>
          <w:rFonts w:ascii="Times New Roman" w:hAnsi="Times New Roman" w:cs="Times New Roman"/>
          <w:i/>
          <w:color w:val="000000" w:themeColor="text1"/>
          <w:sz w:val="24"/>
          <w:szCs w:val="24"/>
          <w:lang w:val="en-US"/>
        </w:rPr>
        <w:t xml:space="preserve">(Anexa nr.3 la Metodologie)    </w:t>
      </w:r>
    </w:p>
    <w:p w:rsidR="00887865" w:rsidRPr="00887865" w:rsidRDefault="00887865" w:rsidP="00887865">
      <w:pPr>
        <w:spacing w:after="0" w:line="240" w:lineRule="auto"/>
        <w:ind w:left="225"/>
        <w:jc w:val="center"/>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CERERE</w:t>
      </w:r>
    </w:p>
    <w:p w:rsidR="00887865" w:rsidRPr="00887865" w:rsidRDefault="00887865" w:rsidP="00887865">
      <w:pPr>
        <w:spacing w:after="0" w:line="240" w:lineRule="auto"/>
        <w:ind w:left="225"/>
        <w:jc w:val="center"/>
        <w:rPr>
          <w:rFonts w:ascii="Times New Roman" w:eastAsia="Times New Roman" w:hAnsi="Times New Roman" w:cs="Times New Roman"/>
          <w:sz w:val="24"/>
          <w:szCs w:val="24"/>
          <w:lang w:val="en-US"/>
        </w:rPr>
      </w:pPr>
    </w:p>
    <w:p w:rsidR="00887865" w:rsidRPr="00887865" w:rsidRDefault="00887865" w:rsidP="00887865">
      <w:pPr>
        <w:spacing w:after="0" w:line="360" w:lineRule="auto"/>
        <w:ind w:left="225"/>
        <w:jc w:val="center"/>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 xml:space="preserve">de realizare </w:t>
      </w:r>
      <w:bookmarkStart w:id="10" w:name="_Hlk130552703"/>
      <w:r w:rsidRPr="00887865">
        <w:rPr>
          <w:rFonts w:ascii="Times New Roman" w:eastAsia="Times New Roman" w:hAnsi="Times New Roman" w:cs="Times New Roman"/>
          <w:sz w:val="24"/>
          <w:szCs w:val="24"/>
          <w:lang w:val="en-US"/>
        </w:rPr>
        <w:t xml:space="preserve">a compensării financiare între facturile emise pentru locurile de producere și consum/locurile de consum ale prosumatorului </w:t>
      </w:r>
      <w:bookmarkEnd w:id="10"/>
    </w:p>
    <w:p w:rsidR="00887865" w:rsidRPr="00887865" w:rsidRDefault="00887865" w:rsidP="00887865">
      <w:pPr>
        <w:spacing w:after="0" w:line="360" w:lineRule="auto"/>
        <w:rPr>
          <w:rFonts w:ascii="Times New Roman" w:eastAsia="Times New Roman" w:hAnsi="Times New Roman" w:cs="Times New Roman"/>
          <w:sz w:val="24"/>
          <w:szCs w:val="24"/>
          <w:lang w:val="en-US"/>
        </w:rPr>
      </w:pPr>
    </w:p>
    <w:p w:rsidR="00887865" w:rsidRPr="00887865" w:rsidRDefault="00887865" w:rsidP="00887865">
      <w:pPr>
        <w:spacing w:after="0" w:line="360" w:lineRule="auto"/>
        <w:jc w:val="center"/>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Domnule director general,</w:t>
      </w:r>
    </w:p>
    <w:p w:rsidR="00887865" w:rsidRPr="00887865" w:rsidRDefault="00887865" w:rsidP="00887865">
      <w:pPr>
        <w:spacing w:after="0" w:line="360" w:lineRule="auto"/>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Subsemnatul [prenumele şi numele], în calitate de reprezentant [director general/administrator unic/împuternicit legal] al operatorului economic înregistrat la oficiul registrului comerţului cu denumirea [denumirea societăţii comerciale/unităţii administrativ-teritoriale] cu nr. J/</w:t>
      </w:r>
      <w:proofErr w:type="gramStart"/>
      <w:r w:rsidRPr="00887865">
        <w:rPr>
          <w:rFonts w:ascii="Times New Roman" w:eastAsia="Times New Roman" w:hAnsi="Times New Roman" w:cs="Times New Roman"/>
          <w:sz w:val="24"/>
          <w:szCs w:val="24"/>
          <w:lang w:val="en-US"/>
        </w:rPr>
        <w:t>.....</w:t>
      </w:r>
      <w:proofErr w:type="gramEnd"/>
      <w:r w:rsidRPr="00887865">
        <w:rPr>
          <w:rFonts w:ascii="Times New Roman" w:eastAsia="Times New Roman" w:hAnsi="Times New Roman" w:cs="Times New Roman"/>
          <w:sz w:val="24"/>
          <w:szCs w:val="24"/>
          <w:lang w:val="en-US"/>
        </w:rPr>
        <w:t xml:space="preserve">/............., având codul unic de înregistrare ...................., cu sediul social în [numele comunei/oraşului/municipiului, strada nr., judeţul], nr. telefon [nr. telefon], nr. fax [nr. fax], </w:t>
      </w:r>
      <w:r w:rsidRPr="00887865">
        <w:rPr>
          <w:rFonts w:ascii="Times New Roman" w:eastAsia="Times New Roman" w:hAnsi="Times New Roman" w:cs="Times New Roman"/>
          <w:b/>
          <w:sz w:val="24"/>
          <w:szCs w:val="24"/>
          <w:lang w:val="en-US"/>
        </w:rPr>
        <w:t>în calitate de prosumator persoană juridică</w:t>
      </w:r>
      <w:r w:rsidRPr="00887865">
        <w:rPr>
          <w:rFonts w:ascii="Times New Roman" w:eastAsia="Times New Roman" w:hAnsi="Times New Roman" w:cs="Times New Roman"/>
          <w:sz w:val="24"/>
          <w:szCs w:val="24"/>
          <w:lang w:val="en-US"/>
        </w:rPr>
        <w:t xml:space="preserve">, deținător al certificatelor de racordare nr. </w:t>
      </w:r>
      <w:proofErr w:type="gramStart"/>
      <w:r w:rsidRPr="00887865">
        <w:rPr>
          <w:rFonts w:ascii="Times New Roman" w:eastAsia="Times New Roman" w:hAnsi="Times New Roman" w:cs="Times New Roman"/>
          <w:sz w:val="24"/>
          <w:szCs w:val="24"/>
          <w:lang w:val="en-US"/>
        </w:rPr>
        <w:t>…./</w:t>
      </w:r>
      <w:proofErr w:type="gramEnd"/>
      <w:r w:rsidRPr="00887865">
        <w:rPr>
          <w:rFonts w:ascii="Times New Roman" w:eastAsia="Times New Roman" w:hAnsi="Times New Roman" w:cs="Times New Roman"/>
          <w:sz w:val="24"/>
          <w:szCs w:val="24"/>
          <w:lang w:val="en-US"/>
        </w:rPr>
        <w:t>data…….emise pentru locurile de producere și consum…..,</w:t>
      </w:r>
    </w:p>
    <w:p w:rsidR="00887865" w:rsidRPr="00887865" w:rsidRDefault="00887865" w:rsidP="00887865">
      <w:pPr>
        <w:spacing w:after="0" w:line="360" w:lineRule="auto"/>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sau</w:t>
      </w:r>
    </w:p>
    <w:p w:rsidR="00887865" w:rsidRPr="00887865" w:rsidRDefault="00887865" w:rsidP="00887865">
      <w:pPr>
        <w:spacing w:after="0" w:line="360" w:lineRule="auto"/>
        <w:jc w:val="both"/>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Subsemnatul [prenumele şi numele], domiciliat în .............................. din localitatea ......................, judeţul ................,</w:t>
      </w:r>
      <w:proofErr w:type="gramStart"/>
      <w:r w:rsidRPr="00887865">
        <w:rPr>
          <w:rFonts w:ascii="Times New Roman" w:eastAsia="Times New Roman" w:hAnsi="Times New Roman" w:cs="Times New Roman"/>
          <w:sz w:val="24"/>
          <w:szCs w:val="24"/>
          <w:lang w:val="en-US"/>
        </w:rPr>
        <w:t xml:space="preserve">   (</w:t>
      </w:r>
      <w:proofErr w:type="gramEnd"/>
      <w:r w:rsidRPr="00887865">
        <w:rPr>
          <w:rFonts w:ascii="Times New Roman" w:eastAsia="Times New Roman" w:hAnsi="Times New Roman" w:cs="Times New Roman"/>
          <w:sz w:val="24"/>
          <w:szCs w:val="24"/>
          <w:lang w:val="en-US"/>
        </w:rPr>
        <w:t xml:space="preserve">adresa completă) posesor al BI/CI seria ............, nr. ..............., eliberat de ....................... la data de ................, CNP ......................, </w:t>
      </w:r>
      <w:r w:rsidRPr="00887865">
        <w:rPr>
          <w:rFonts w:ascii="Times New Roman" w:eastAsia="Times New Roman" w:hAnsi="Times New Roman" w:cs="Times New Roman"/>
          <w:b/>
          <w:sz w:val="24"/>
          <w:szCs w:val="24"/>
          <w:lang w:val="en-US"/>
        </w:rPr>
        <w:t>în calitate de prosumator persoană fizică</w:t>
      </w:r>
      <w:r w:rsidRPr="00887865">
        <w:rPr>
          <w:rFonts w:ascii="Times New Roman" w:eastAsia="Times New Roman" w:hAnsi="Times New Roman" w:cs="Times New Roman"/>
          <w:sz w:val="24"/>
          <w:szCs w:val="24"/>
          <w:lang w:val="en-US"/>
        </w:rPr>
        <w:t xml:space="preserve">, deținător al certificatelor de racordare nr. </w:t>
      </w:r>
      <w:proofErr w:type="gramStart"/>
      <w:r w:rsidRPr="00887865">
        <w:rPr>
          <w:rFonts w:ascii="Times New Roman" w:eastAsia="Times New Roman" w:hAnsi="Times New Roman" w:cs="Times New Roman"/>
          <w:sz w:val="24"/>
          <w:szCs w:val="24"/>
          <w:lang w:val="en-US"/>
        </w:rPr>
        <w:t>…./</w:t>
      </w:r>
      <w:proofErr w:type="gramEnd"/>
      <w:r w:rsidRPr="00887865">
        <w:rPr>
          <w:rFonts w:ascii="Times New Roman" w:eastAsia="Times New Roman" w:hAnsi="Times New Roman" w:cs="Times New Roman"/>
          <w:sz w:val="24"/>
          <w:szCs w:val="24"/>
          <w:lang w:val="en-US"/>
        </w:rPr>
        <w:t>data…….emise pentru locurile de producere și consum…..,</w:t>
      </w:r>
    </w:p>
    <w:p w:rsidR="00887865" w:rsidRPr="00887865" w:rsidRDefault="00887865" w:rsidP="00887865">
      <w:pPr>
        <w:spacing w:after="0" w:line="360" w:lineRule="auto"/>
        <w:jc w:val="both"/>
        <w:rPr>
          <w:rFonts w:ascii="Times New Roman" w:eastAsia="Times New Roman" w:hAnsi="Times New Roman" w:cs="Times New Roman"/>
          <w:sz w:val="24"/>
          <w:szCs w:val="24"/>
          <w:lang w:val="en-US"/>
        </w:rPr>
      </w:pPr>
    </w:p>
    <w:p w:rsidR="00EA3948" w:rsidRPr="00EA3948" w:rsidRDefault="00EA3948" w:rsidP="00EA3948">
      <w:pPr>
        <w:spacing w:after="0" w:line="360" w:lineRule="auto"/>
        <w:jc w:val="both"/>
        <w:rPr>
          <w:rFonts w:ascii="Times New Roman" w:eastAsia="Times New Roman" w:hAnsi="Times New Roman" w:cs="Times New Roman"/>
          <w:sz w:val="24"/>
          <w:szCs w:val="24"/>
          <w:lang w:val="en-US"/>
        </w:rPr>
      </w:pPr>
      <w:r w:rsidRPr="00EA3948">
        <w:rPr>
          <w:rFonts w:ascii="Times New Roman" w:eastAsia="Times New Roman" w:hAnsi="Times New Roman" w:cs="Times New Roman"/>
          <w:sz w:val="24"/>
          <w:szCs w:val="24"/>
          <w:lang w:val="en-US"/>
        </w:rPr>
        <w:t>solicit realizarea compensării financiare între facturile emise pentru locuri de producere și consum/locurile de consum, conform ordinii de acoperire a consumului de energie electrică la alte locuri de consum/locuri de producere și consum, respectiv a schemei de utilizare a energiei electrice produse și livrate în exces într-o perioadă de facturare la locurile de consum/locurile de producere și consum [dacă prosumatorul deține unul sau mai multe locuri de producere și consum pentru care se aplică mecanismul de compensare cantitativă], prevăzute în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198"/>
        <w:gridCol w:w="2370"/>
        <w:gridCol w:w="1500"/>
        <w:gridCol w:w="2128"/>
      </w:tblGrid>
      <w:tr w:rsidR="00EA3948" w:rsidRPr="00DD37CA" w:rsidTr="00171193">
        <w:trPr>
          <w:trHeight w:val="702"/>
        </w:trPr>
        <w:tc>
          <w:tcPr>
            <w:tcW w:w="1980" w:type="dxa"/>
            <w:shd w:val="clear" w:color="auto" w:fill="auto"/>
          </w:tcPr>
          <w:p w:rsidR="00EA3948" w:rsidRPr="00EA3948" w:rsidRDefault="00EA3948" w:rsidP="00171193">
            <w:pPr>
              <w:suppressAutoHyphens/>
              <w:jc w:val="center"/>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Nr. Crt.</w:t>
            </w:r>
          </w:p>
          <w:p w:rsidR="00EA3948" w:rsidRPr="00EA3948" w:rsidRDefault="00EA3948" w:rsidP="00171193">
            <w:pPr>
              <w:suppressAutoHyphens/>
              <w:jc w:val="center"/>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 se va completa in ordinea de prioritate)</w:t>
            </w:r>
          </w:p>
        </w:tc>
        <w:tc>
          <w:tcPr>
            <w:tcW w:w="1276" w:type="dxa"/>
            <w:shd w:val="clear" w:color="auto" w:fill="auto"/>
          </w:tcPr>
          <w:p w:rsidR="00EA3948" w:rsidRPr="00EA3948" w:rsidRDefault="00EA3948" w:rsidP="00171193">
            <w:pPr>
              <w:suppressAutoHyphens/>
              <w:jc w:val="center"/>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POD</w:t>
            </w:r>
          </w:p>
        </w:tc>
        <w:tc>
          <w:tcPr>
            <w:tcW w:w="2551"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Adresa loc consum/ loc consum si producere</w:t>
            </w:r>
          </w:p>
        </w:tc>
        <w:tc>
          <w:tcPr>
            <w:tcW w:w="1559"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Furnizorul de energie electrică</w:t>
            </w:r>
          </w:p>
        </w:tc>
        <w:tc>
          <w:tcPr>
            <w:tcW w:w="2268" w:type="dxa"/>
          </w:tcPr>
          <w:p w:rsidR="00EA3948" w:rsidRPr="00EA3948" w:rsidRDefault="00EA3948" w:rsidP="00171193">
            <w:pPr>
              <w:suppressAutoHyphens/>
              <w:jc w:val="both"/>
              <w:rPr>
                <w:rFonts w:ascii="Times New Roman" w:eastAsia="Calibri" w:hAnsi="Times New Roman"/>
                <w:sz w:val="20"/>
                <w:szCs w:val="20"/>
                <w:lang w:val="it-IT" w:eastAsia="ar-SA"/>
              </w:rPr>
            </w:pPr>
            <w:r w:rsidRPr="00EA3948">
              <w:rPr>
                <w:rFonts w:ascii="Times New Roman" w:eastAsia="Calibri" w:hAnsi="Times New Roman"/>
                <w:sz w:val="20"/>
                <w:szCs w:val="20"/>
                <w:lang w:val="it-IT" w:eastAsia="ar-SA"/>
              </w:rPr>
              <w:t>Operatorul de distribuție a energiei electrice</w:t>
            </w:r>
          </w:p>
        </w:tc>
      </w:tr>
      <w:tr w:rsidR="00EA3948" w:rsidRPr="00DD37CA" w:rsidTr="00171193">
        <w:trPr>
          <w:trHeight w:val="272"/>
        </w:trPr>
        <w:tc>
          <w:tcPr>
            <w:tcW w:w="1980"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p>
        </w:tc>
        <w:tc>
          <w:tcPr>
            <w:tcW w:w="1276"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p>
        </w:tc>
        <w:tc>
          <w:tcPr>
            <w:tcW w:w="2551"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p>
        </w:tc>
        <w:tc>
          <w:tcPr>
            <w:tcW w:w="1559" w:type="dxa"/>
            <w:shd w:val="clear" w:color="auto" w:fill="auto"/>
          </w:tcPr>
          <w:p w:rsidR="00EA3948" w:rsidRPr="00EA3948" w:rsidRDefault="00EA3948" w:rsidP="00171193">
            <w:pPr>
              <w:suppressAutoHyphens/>
              <w:jc w:val="both"/>
              <w:rPr>
                <w:rFonts w:ascii="Times New Roman" w:eastAsia="Calibri" w:hAnsi="Times New Roman"/>
                <w:sz w:val="20"/>
                <w:szCs w:val="20"/>
                <w:lang w:val="it-IT" w:eastAsia="ar-SA"/>
              </w:rPr>
            </w:pPr>
          </w:p>
        </w:tc>
        <w:tc>
          <w:tcPr>
            <w:tcW w:w="2268" w:type="dxa"/>
          </w:tcPr>
          <w:p w:rsidR="00EA3948" w:rsidRPr="00EA3948" w:rsidRDefault="00EA3948" w:rsidP="00171193">
            <w:pPr>
              <w:suppressAutoHyphens/>
              <w:jc w:val="both"/>
              <w:rPr>
                <w:rFonts w:ascii="Times New Roman" w:eastAsia="Calibri" w:hAnsi="Times New Roman"/>
                <w:sz w:val="20"/>
                <w:szCs w:val="20"/>
                <w:lang w:val="it-IT" w:eastAsia="ar-SA"/>
              </w:rPr>
            </w:pPr>
          </w:p>
        </w:tc>
      </w:tr>
      <w:tr w:rsidR="00EA3948" w:rsidRPr="00DD37CA" w:rsidTr="00171193">
        <w:trPr>
          <w:trHeight w:val="276"/>
        </w:trPr>
        <w:tc>
          <w:tcPr>
            <w:tcW w:w="1980" w:type="dxa"/>
            <w:shd w:val="clear" w:color="auto" w:fill="auto"/>
          </w:tcPr>
          <w:p w:rsidR="00EA3948" w:rsidRPr="00DD37CA" w:rsidRDefault="00EA3948" w:rsidP="00171193">
            <w:pPr>
              <w:suppressAutoHyphens/>
              <w:jc w:val="both"/>
              <w:rPr>
                <w:rFonts w:ascii="Times New Roman" w:eastAsia="Calibri" w:hAnsi="Times New Roman"/>
                <w:color w:val="FF0000"/>
                <w:sz w:val="20"/>
                <w:szCs w:val="20"/>
                <w:lang w:val="it-IT" w:eastAsia="ar-SA"/>
              </w:rPr>
            </w:pPr>
          </w:p>
        </w:tc>
        <w:tc>
          <w:tcPr>
            <w:tcW w:w="1276" w:type="dxa"/>
            <w:shd w:val="clear" w:color="auto" w:fill="auto"/>
          </w:tcPr>
          <w:p w:rsidR="00EA3948" w:rsidRPr="00DD37CA" w:rsidRDefault="00EA3948" w:rsidP="00171193">
            <w:pPr>
              <w:suppressAutoHyphens/>
              <w:jc w:val="both"/>
              <w:rPr>
                <w:rFonts w:ascii="Times New Roman" w:eastAsia="Calibri" w:hAnsi="Times New Roman"/>
                <w:color w:val="FF0000"/>
                <w:sz w:val="20"/>
                <w:szCs w:val="20"/>
                <w:lang w:val="it-IT" w:eastAsia="ar-SA"/>
              </w:rPr>
            </w:pPr>
          </w:p>
        </w:tc>
        <w:tc>
          <w:tcPr>
            <w:tcW w:w="2551" w:type="dxa"/>
            <w:shd w:val="clear" w:color="auto" w:fill="auto"/>
          </w:tcPr>
          <w:p w:rsidR="00EA3948" w:rsidRPr="00DD37CA" w:rsidRDefault="00EA3948" w:rsidP="00171193">
            <w:pPr>
              <w:suppressAutoHyphens/>
              <w:jc w:val="both"/>
              <w:rPr>
                <w:rFonts w:ascii="Times New Roman" w:eastAsia="Calibri" w:hAnsi="Times New Roman"/>
                <w:color w:val="FF0000"/>
                <w:sz w:val="20"/>
                <w:szCs w:val="20"/>
                <w:lang w:val="it-IT" w:eastAsia="ar-SA"/>
              </w:rPr>
            </w:pPr>
          </w:p>
        </w:tc>
        <w:tc>
          <w:tcPr>
            <w:tcW w:w="1559" w:type="dxa"/>
            <w:shd w:val="clear" w:color="auto" w:fill="auto"/>
          </w:tcPr>
          <w:p w:rsidR="00EA3948" w:rsidRPr="00DD37CA" w:rsidRDefault="00EA3948" w:rsidP="00171193">
            <w:pPr>
              <w:suppressAutoHyphens/>
              <w:jc w:val="both"/>
              <w:rPr>
                <w:rFonts w:ascii="Times New Roman" w:eastAsia="Calibri" w:hAnsi="Times New Roman"/>
                <w:color w:val="FF0000"/>
                <w:sz w:val="20"/>
                <w:szCs w:val="20"/>
                <w:lang w:val="it-IT" w:eastAsia="ar-SA"/>
              </w:rPr>
            </w:pPr>
          </w:p>
        </w:tc>
        <w:tc>
          <w:tcPr>
            <w:tcW w:w="2268" w:type="dxa"/>
          </w:tcPr>
          <w:p w:rsidR="00EA3948" w:rsidRPr="00DD37CA" w:rsidRDefault="00EA3948" w:rsidP="00171193">
            <w:pPr>
              <w:suppressAutoHyphens/>
              <w:jc w:val="both"/>
              <w:rPr>
                <w:rFonts w:ascii="Times New Roman" w:eastAsia="Calibri" w:hAnsi="Times New Roman"/>
                <w:color w:val="FF0000"/>
                <w:sz w:val="20"/>
                <w:szCs w:val="20"/>
                <w:lang w:val="it-IT" w:eastAsia="ar-SA"/>
              </w:rPr>
            </w:pPr>
          </w:p>
        </w:tc>
      </w:tr>
    </w:tbl>
    <w:p w:rsidR="00EA3948" w:rsidRDefault="00EA3948" w:rsidP="00887865">
      <w:pPr>
        <w:spacing w:after="0" w:line="360" w:lineRule="auto"/>
        <w:rPr>
          <w:rFonts w:ascii="Times New Roman" w:eastAsia="Times New Roman" w:hAnsi="Times New Roman" w:cs="Times New Roman"/>
          <w:sz w:val="24"/>
          <w:szCs w:val="24"/>
          <w:lang w:val="en-US"/>
        </w:rPr>
      </w:pPr>
    </w:p>
    <w:p w:rsidR="00EA3948" w:rsidRDefault="00EA3948" w:rsidP="00887865">
      <w:pPr>
        <w:spacing w:after="0" w:line="360" w:lineRule="auto"/>
        <w:rPr>
          <w:rFonts w:ascii="Times New Roman" w:eastAsia="Times New Roman" w:hAnsi="Times New Roman" w:cs="Times New Roman"/>
          <w:sz w:val="24"/>
          <w:szCs w:val="24"/>
          <w:lang w:val="en-US"/>
        </w:rPr>
      </w:pPr>
    </w:p>
    <w:p w:rsidR="00887865" w:rsidRPr="00887865" w:rsidRDefault="00887865" w:rsidP="00887865">
      <w:pPr>
        <w:spacing w:after="0" w:line="360" w:lineRule="auto"/>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w:t>
      </w:r>
    </w:p>
    <w:p w:rsidR="00887865" w:rsidRPr="00887865" w:rsidRDefault="00887865" w:rsidP="00887865">
      <w:pPr>
        <w:spacing w:after="0" w:line="360" w:lineRule="auto"/>
        <w:rPr>
          <w:rFonts w:ascii="Times New Roman" w:eastAsia="Times New Roman" w:hAnsi="Times New Roman" w:cs="Times New Roman"/>
          <w:sz w:val="24"/>
          <w:szCs w:val="24"/>
          <w:lang w:val="en-US"/>
        </w:rPr>
      </w:pPr>
      <w:r w:rsidRPr="00887865">
        <w:rPr>
          <w:rFonts w:ascii="Times New Roman" w:eastAsia="Times New Roman" w:hAnsi="Times New Roman" w:cs="Times New Roman"/>
          <w:sz w:val="24"/>
          <w:szCs w:val="24"/>
          <w:lang w:val="en-US"/>
        </w:rPr>
        <w:t>[nume, prenume şi semnătură prosumator]</w:t>
      </w:r>
    </w:p>
    <w:p w:rsidR="00887865" w:rsidRPr="00887865" w:rsidRDefault="00887865" w:rsidP="00887865">
      <w:pPr>
        <w:spacing w:after="0" w:line="360" w:lineRule="auto"/>
        <w:ind w:left="225"/>
        <w:jc w:val="both"/>
        <w:rPr>
          <w:rFonts w:ascii="Times New Roman" w:eastAsia="Times New Roman" w:hAnsi="Times New Roman" w:cs="Times New Roman"/>
          <w:sz w:val="24"/>
          <w:szCs w:val="24"/>
          <w:lang w:val="en-US"/>
        </w:rPr>
      </w:pPr>
    </w:p>
    <w:p w:rsidR="004E6F68" w:rsidRDefault="00887865" w:rsidP="00474B32">
      <w:pPr>
        <w:spacing w:after="0" w:line="360" w:lineRule="auto"/>
        <w:rPr>
          <w:rFonts w:ascii="Times New Roman" w:hAnsi="Times New Roman"/>
          <w:sz w:val="24"/>
          <w:szCs w:val="24"/>
        </w:rPr>
      </w:pPr>
      <w:r w:rsidRPr="00887865">
        <w:rPr>
          <w:rFonts w:ascii="Times New Roman" w:eastAsia="Times New Roman" w:hAnsi="Times New Roman" w:cs="Times New Roman"/>
          <w:sz w:val="24"/>
          <w:szCs w:val="24"/>
          <w:lang w:val="en-US"/>
        </w:rPr>
        <w:t>Dat</w:t>
      </w:r>
      <w:bookmarkStart w:id="11" w:name="_Hlk131160135"/>
      <w:r w:rsidR="00474B32">
        <w:rPr>
          <w:rFonts w:ascii="Times New Roman" w:eastAsia="Times New Roman" w:hAnsi="Times New Roman" w:cs="Times New Roman"/>
          <w:sz w:val="24"/>
          <w:szCs w:val="24"/>
          <w:lang w:val="en-US"/>
        </w:rPr>
        <w:t>a</w:t>
      </w:r>
      <w:bookmarkStart w:id="12" w:name="_Hlk126683404"/>
      <w:bookmarkEnd w:id="11"/>
      <w:bookmarkEnd w:id="12"/>
    </w:p>
    <w:sectPr w:rsidR="004E6F68" w:rsidSect="00474B32">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2FF" w:rsidRDefault="00E422FF">
      <w:pPr>
        <w:spacing w:after="0" w:line="240" w:lineRule="auto"/>
      </w:pPr>
      <w:r>
        <w:separator/>
      </w:r>
    </w:p>
  </w:endnote>
  <w:endnote w:type="continuationSeparator" w:id="0">
    <w:p w:rsidR="00E422FF" w:rsidRDefault="00E4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7A9" w:rsidRPr="005814F5" w:rsidRDefault="00F767A9" w:rsidP="00D70EB3">
    <w:pPr>
      <w:pStyle w:val="BodyText"/>
      <w:ind w:right="360"/>
      <w:jc w:val="right"/>
      <w:rPr>
        <w:rFonts w:ascii="Times New Roman" w:hAnsi="Times New Roman"/>
        <w:szCs w:val="24"/>
        <w:lang w:val="it-IT"/>
      </w:rPr>
    </w:pPr>
    <w:r w:rsidRPr="005814F5">
      <w:rPr>
        <w:rStyle w:val="PageNumber"/>
        <w:szCs w:val="24"/>
      </w:rPr>
      <w:fldChar w:fldCharType="begin"/>
    </w:r>
    <w:r w:rsidRPr="005814F5">
      <w:rPr>
        <w:rStyle w:val="PageNumber"/>
        <w:szCs w:val="24"/>
      </w:rPr>
      <w:instrText xml:space="preserve"> PAGE </w:instrText>
    </w:r>
    <w:r w:rsidRPr="005814F5">
      <w:rPr>
        <w:rStyle w:val="PageNumber"/>
        <w:szCs w:val="24"/>
      </w:rPr>
      <w:fldChar w:fldCharType="separate"/>
    </w:r>
    <w:r>
      <w:rPr>
        <w:rStyle w:val="PageNumber"/>
        <w:noProof/>
        <w:szCs w:val="24"/>
      </w:rPr>
      <w:t>12</w:t>
    </w:r>
    <w:r w:rsidRPr="005814F5">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793599"/>
      <w:docPartObj>
        <w:docPartGallery w:val="Page Numbers (Bottom of Page)"/>
        <w:docPartUnique/>
      </w:docPartObj>
    </w:sdtPr>
    <w:sdtEndPr/>
    <w:sdtContent>
      <w:p w:rsidR="00F767A9" w:rsidRDefault="00F767A9">
        <w:pPr>
          <w:pStyle w:val="Footer"/>
          <w:jc w:val="right"/>
        </w:pPr>
        <w:r>
          <w:fldChar w:fldCharType="begin"/>
        </w:r>
        <w:r>
          <w:instrText xml:space="preserve"> PAGE   \* MERGEFORMAT </w:instrText>
        </w:r>
        <w:r>
          <w:fldChar w:fldCharType="separate"/>
        </w:r>
        <w:r>
          <w:rPr>
            <w:noProof/>
          </w:rPr>
          <w:t>1</w:t>
        </w:r>
        <w:r>
          <w:fldChar w:fldCharType="end"/>
        </w:r>
      </w:p>
    </w:sdtContent>
  </w:sdt>
  <w:p w:rsidR="00F767A9" w:rsidRPr="005814F5" w:rsidRDefault="00F767A9" w:rsidP="00D70EB3">
    <w:pPr>
      <w:pStyle w:val="Footer"/>
      <w:jc w:val="right"/>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2FF" w:rsidRDefault="00E422FF">
      <w:pPr>
        <w:spacing w:after="0" w:line="240" w:lineRule="auto"/>
      </w:pPr>
      <w:r>
        <w:separator/>
      </w:r>
    </w:p>
  </w:footnote>
  <w:footnote w:type="continuationSeparator" w:id="0">
    <w:p w:rsidR="00E422FF" w:rsidRDefault="00E4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4C3"/>
    <w:multiLevelType w:val="hybridMultilevel"/>
    <w:tmpl w:val="5C3CDF02"/>
    <w:lvl w:ilvl="0" w:tplc="E6E8EE98">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 w15:restartNumberingAfterBreak="0">
    <w:nsid w:val="047E1316"/>
    <w:multiLevelType w:val="hybridMultilevel"/>
    <w:tmpl w:val="33247424"/>
    <w:lvl w:ilvl="0" w:tplc="041E3C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987315"/>
    <w:multiLevelType w:val="multilevel"/>
    <w:tmpl w:val="56DCA428"/>
    <w:lvl w:ilvl="0">
      <w:start w:val="1"/>
      <w:numFmt w:val="lowerLetter"/>
      <w:lvlText w:val="%1)"/>
      <w:lvlJc w:val="left"/>
      <w:pPr>
        <w:tabs>
          <w:tab w:val="num" w:pos="6588"/>
        </w:tabs>
        <w:ind w:left="6588" w:hanging="360"/>
      </w:pPr>
    </w:lvl>
    <w:lvl w:ilvl="1">
      <w:start w:val="1"/>
      <w:numFmt w:val="lowerLetter"/>
      <w:lvlText w:val="%2)"/>
      <w:lvlJc w:val="left"/>
      <w:pPr>
        <w:tabs>
          <w:tab w:val="num" w:pos="3528"/>
        </w:tabs>
        <w:ind w:left="3528" w:hanging="360"/>
      </w:pPr>
      <w:rPr>
        <w:rFonts w:hint="default"/>
      </w:rPr>
    </w:lvl>
    <w:lvl w:ilvl="2">
      <w:start w:val="2"/>
      <w:numFmt w:val="decimal"/>
      <w:lvlText w:val="(%3)"/>
      <w:lvlJc w:val="left"/>
      <w:pPr>
        <w:tabs>
          <w:tab w:val="num" w:pos="4428"/>
        </w:tabs>
        <w:ind w:left="4428" w:hanging="360"/>
      </w:pPr>
      <w:rPr>
        <w:rFonts w:hint="default"/>
      </w:rPr>
    </w:lvl>
    <w:lvl w:ilvl="3" w:tentative="1">
      <w:start w:val="1"/>
      <w:numFmt w:val="decimal"/>
      <w:lvlText w:val="%4."/>
      <w:lvlJc w:val="left"/>
      <w:pPr>
        <w:tabs>
          <w:tab w:val="num" w:pos="4968"/>
        </w:tabs>
        <w:ind w:left="4968" w:hanging="360"/>
      </w:pPr>
    </w:lvl>
    <w:lvl w:ilvl="4" w:tentative="1">
      <w:start w:val="1"/>
      <w:numFmt w:val="lowerLetter"/>
      <w:lvlText w:val="%5."/>
      <w:lvlJc w:val="left"/>
      <w:pPr>
        <w:tabs>
          <w:tab w:val="num" w:pos="5688"/>
        </w:tabs>
        <w:ind w:left="5688" w:hanging="360"/>
      </w:pPr>
    </w:lvl>
    <w:lvl w:ilvl="5" w:tentative="1">
      <w:start w:val="1"/>
      <w:numFmt w:val="lowerRoman"/>
      <w:lvlText w:val="%6."/>
      <w:lvlJc w:val="right"/>
      <w:pPr>
        <w:tabs>
          <w:tab w:val="num" w:pos="6408"/>
        </w:tabs>
        <w:ind w:left="6408" w:hanging="180"/>
      </w:pPr>
    </w:lvl>
    <w:lvl w:ilvl="6" w:tentative="1">
      <w:start w:val="1"/>
      <w:numFmt w:val="decimal"/>
      <w:lvlText w:val="%7."/>
      <w:lvlJc w:val="left"/>
      <w:pPr>
        <w:tabs>
          <w:tab w:val="num" w:pos="7128"/>
        </w:tabs>
        <w:ind w:left="7128" w:hanging="360"/>
      </w:pPr>
    </w:lvl>
    <w:lvl w:ilvl="7" w:tentative="1">
      <w:start w:val="1"/>
      <w:numFmt w:val="lowerLetter"/>
      <w:lvlText w:val="%8."/>
      <w:lvlJc w:val="left"/>
      <w:pPr>
        <w:tabs>
          <w:tab w:val="num" w:pos="7848"/>
        </w:tabs>
        <w:ind w:left="7848" w:hanging="360"/>
      </w:pPr>
    </w:lvl>
    <w:lvl w:ilvl="8" w:tentative="1">
      <w:start w:val="1"/>
      <w:numFmt w:val="lowerRoman"/>
      <w:lvlText w:val="%9."/>
      <w:lvlJc w:val="right"/>
      <w:pPr>
        <w:tabs>
          <w:tab w:val="num" w:pos="8568"/>
        </w:tabs>
        <w:ind w:left="8568" w:hanging="180"/>
      </w:pPr>
    </w:lvl>
  </w:abstractNum>
  <w:abstractNum w:abstractNumId="3" w15:restartNumberingAfterBreak="0">
    <w:nsid w:val="264F6FAC"/>
    <w:multiLevelType w:val="hybridMultilevel"/>
    <w:tmpl w:val="E50E0B4A"/>
    <w:lvl w:ilvl="0" w:tplc="4250656C">
      <w:start w:val="2"/>
      <w:numFmt w:val="decimal"/>
      <w:lvlText w:val="%1."/>
      <w:lvlJc w:val="left"/>
      <w:pPr>
        <w:ind w:left="720" w:hanging="360"/>
      </w:pPr>
      <w:rPr>
        <w:rFonts w:ascii="Times New Roman" w:hAnsi="Times New Roman"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1C02F8"/>
    <w:multiLevelType w:val="hybridMultilevel"/>
    <w:tmpl w:val="DA9AD33C"/>
    <w:lvl w:ilvl="0" w:tplc="ACF26DE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2BFC10BE"/>
    <w:multiLevelType w:val="hybridMultilevel"/>
    <w:tmpl w:val="E93AE3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E3588"/>
    <w:multiLevelType w:val="hybridMultilevel"/>
    <w:tmpl w:val="98440D34"/>
    <w:lvl w:ilvl="0" w:tplc="E6E8EE98">
      <w:start w:val="1"/>
      <w:numFmt w:val="lowerLetter"/>
      <w:lvlText w:val="%1)"/>
      <w:lvlJc w:val="left"/>
      <w:pPr>
        <w:tabs>
          <w:tab w:val="num" w:pos="3528"/>
        </w:tabs>
        <w:ind w:left="3528" w:hanging="360"/>
      </w:pPr>
      <w:rPr>
        <w:rFonts w:hint="default"/>
      </w:rPr>
    </w:lvl>
    <w:lvl w:ilvl="1" w:tplc="E6E8EE98">
      <w:start w:val="1"/>
      <w:numFmt w:val="lowerLetter"/>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7" w15:restartNumberingAfterBreak="0">
    <w:nsid w:val="461E2B1A"/>
    <w:multiLevelType w:val="hybridMultilevel"/>
    <w:tmpl w:val="4B5422F0"/>
    <w:lvl w:ilvl="0" w:tplc="0AFE0972">
      <w:start w:val="1"/>
      <w:numFmt w:val="decimal"/>
      <w:lvlText w:val="%1."/>
      <w:lvlJc w:val="left"/>
      <w:pPr>
        <w:tabs>
          <w:tab w:val="num" w:pos="360"/>
        </w:tabs>
        <w:ind w:left="360" w:hanging="360"/>
      </w:pPr>
      <w:rPr>
        <w:rFonts w:hint="default"/>
        <w:b w:val="0"/>
        <w:i w:val="0"/>
      </w:rPr>
    </w:lvl>
    <w:lvl w:ilvl="1" w:tplc="4DFA082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B739C"/>
    <w:multiLevelType w:val="hybridMultilevel"/>
    <w:tmpl w:val="CB1EF994"/>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55486F91"/>
    <w:multiLevelType w:val="hybridMultilevel"/>
    <w:tmpl w:val="13CA87EE"/>
    <w:lvl w:ilvl="0" w:tplc="38241EE0">
      <w:start w:val="1"/>
      <w:numFmt w:val="decimal"/>
      <w:lvlText w:val="%1."/>
      <w:lvlJc w:val="left"/>
      <w:pPr>
        <w:tabs>
          <w:tab w:val="num" w:pos="360"/>
        </w:tabs>
        <w:ind w:left="360" w:hanging="360"/>
      </w:pPr>
      <w:rPr>
        <w:rFonts w:hint="default"/>
        <w:b/>
        <w:i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521141"/>
    <w:multiLevelType w:val="hybridMultilevel"/>
    <w:tmpl w:val="0B366970"/>
    <w:lvl w:ilvl="0" w:tplc="270A1A44">
      <w:start w:val="1"/>
      <w:numFmt w:val="upperRoman"/>
      <w:lvlText w:val="Art. %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5659A5"/>
    <w:multiLevelType w:val="hybridMultilevel"/>
    <w:tmpl w:val="A9B64D46"/>
    <w:lvl w:ilvl="0" w:tplc="020E3C90">
      <w:start w:val="1"/>
      <w:numFmt w:val="decimal"/>
      <w:lvlText w:val="%1."/>
      <w:lvlJc w:val="left"/>
      <w:pPr>
        <w:ind w:left="36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7656273"/>
    <w:multiLevelType w:val="hybridMultilevel"/>
    <w:tmpl w:val="4D8C84A2"/>
    <w:lvl w:ilvl="0" w:tplc="9B8CCE76">
      <w:start w:val="1"/>
      <w:numFmt w:val="bullet"/>
      <w:lvlText w:val="-"/>
      <w:lvlJc w:val="left"/>
      <w:pPr>
        <w:tabs>
          <w:tab w:val="num" w:pos="1800"/>
        </w:tabs>
        <w:ind w:left="1800" w:hanging="360"/>
      </w:pPr>
      <w:rPr>
        <w:rFonts w:ascii="Arial Narrow" w:hAnsi="Arial Narro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A4521C4"/>
    <w:multiLevelType w:val="hybridMultilevel"/>
    <w:tmpl w:val="0928C8CE"/>
    <w:lvl w:ilvl="0" w:tplc="59488AE4">
      <w:start w:val="1"/>
      <w:numFmt w:val="upperRoman"/>
      <w:lvlText w:val="Art.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02640E7"/>
    <w:multiLevelType w:val="hybridMultilevel"/>
    <w:tmpl w:val="464C24A2"/>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5" w15:restartNumberingAfterBreak="0">
    <w:nsid w:val="73775C12"/>
    <w:multiLevelType w:val="hybridMultilevel"/>
    <w:tmpl w:val="DE8C5570"/>
    <w:lvl w:ilvl="0" w:tplc="9B8CCE76">
      <w:start w:val="1"/>
      <w:numFmt w:val="bullet"/>
      <w:lvlText w:val="-"/>
      <w:lvlJc w:val="left"/>
      <w:pPr>
        <w:tabs>
          <w:tab w:val="num" w:pos="1800"/>
        </w:tabs>
        <w:ind w:left="1800" w:hanging="360"/>
      </w:pPr>
      <w:rPr>
        <w:rFonts w:ascii="Arial Narrow" w:hAnsi="Arial Narro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10"/>
  </w:num>
  <w:num w:numId="3">
    <w:abstractNumId w:val="13"/>
  </w:num>
  <w:num w:numId="4">
    <w:abstractNumId w:val="4"/>
  </w:num>
  <w:num w:numId="5">
    <w:abstractNumId w:val="8"/>
  </w:num>
  <w:num w:numId="6">
    <w:abstractNumId w:val="14"/>
  </w:num>
  <w:num w:numId="7">
    <w:abstractNumId w:val="5"/>
  </w:num>
  <w:num w:numId="8">
    <w:abstractNumId w:val="12"/>
  </w:num>
  <w:num w:numId="9">
    <w:abstractNumId w:val="15"/>
  </w:num>
  <w:num w:numId="10">
    <w:abstractNumId w:val="7"/>
  </w:num>
  <w:num w:numId="11">
    <w:abstractNumId w:val="1"/>
  </w:num>
  <w:num w:numId="12">
    <w:abstractNumId w:val="2"/>
  </w:num>
  <w:num w:numId="13">
    <w:abstractNumId w:val="6"/>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D6"/>
    <w:rsid w:val="000046E0"/>
    <w:rsid w:val="00011FAE"/>
    <w:rsid w:val="000162F3"/>
    <w:rsid w:val="000253BF"/>
    <w:rsid w:val="00031A36"/>
    <w:rsid w:val="00050D6A"/>
    <w:rsid w:val="00057824"/>
    <w:rsid w:val="0006101F"/>
    <w:rsid w:val="000671FF"/>
    <w:rsid w:val="000705B2"/>
    <w:rsid w:val="00095C34"/>
    <w:rsid w:val="000A0342"/>
    <w:rsid w:val="000A1E06"/>
    <w:rsid w:val="000A3DEC"/>
    <w:rsid w:val="000A5903"/>
    <w:rsid w:val="000A68A5"/>
    <w:rsid w:val="000B31D3"/>
    <w:rsid w:val="000B4913"/>
    <w:rsid w:val="000C1651"/>
    <w:rsid w:val="000D264B"/>
    <w:rsid w:val="000D376E"/>
    <w:rsid w:val="000D39A4"/>
    <w:rsid w:val="000E34A9"/>
    <w:rsid w:val="000F2A37"/>
    <w:rsid w:val="000F4BC8"/>
    <w:rsid w:val="000F5DE6"/>
    <w:rsid w:val="000F5ED9"/>
    <w:rsid w:val="000F775D"/>
    <w:rsid w:val="000F7F4D"/>
    <w:rsid w:val="00104159"/>
    <w:rsid w:val="00105089"/>
    <w:rsid w:val="00105674"/>
    <w:rsid w:val="00113E4A"/>
    <w:rsid w:val="00114C9F"/>
    <w:rsid w:val="0012731D"/>
    <w:rsid w:val="001342EC"/>
    <w:rsid w:val="001409A4"/>
    <w:rsid w:val="0014224E"/>
    <w:rsid w:val="0015043F"/>
    <w:rsid w:val="00152965"/>
    <w:rsid w:val="00162659"/>
    <w:rsid w:val="001658BD"/>
    <w:rsid w:val="00166826"/>
    <w:rsid w:val="00167BC7"/>
    <w:rsid w:val="00172C32"/>
    <w:rsid w:val="0018479E"/>
    <w:rsid w:val="0019697C"/>
    <w:rsid w:val="001B1F94"/>
    <w:rsid w:val="001B6EC8"/>
    <w:rsid w:val="001C5177"/>
    <w:rsid w:val="001D2020"/>
    <w:rsid w:val="001D6B28"/>
    <w:rsid w:val="001E2F73"/>
    <w:rsid w:val="001F1BCC"/>
    <w:rsid w:val="001F28E0"/>
    <w:rsid w:val="00210707"/>
    <w:rsid w:val="00214D76"/>
    <w:rsid w:val="002206A5"/>
    <w:rsid w:val="00236407"/>
    <w:rsid w:val="00240D00"/>
    <w:rsid w:val="00240D48"/>
    <w:rsid w:val="00244BF8"/>
    <w:rsid w:val="00262B31"/>
    <w:rsid w:val="0026586E"/>
    <w:rsid w:val="0027312A"/>
    <w:rsid w:val="00283EA4"/>
    <w:rsid w:val="00292A59"/>
    <w:rsid w:val="002A0715"/>
    <w:rsid w:val="002A093B"/>
    <w:rsid w:val="002A697B"/>
    <w:rsid w:val="002D5F66"/>
    <w:rsid w:val="002D6000"/>
    <w:rsid w:val="002E033E"/>
    <w:rsid w:val="002E6381"/>
    <w:rsid w:val="002E6661"/>
    <w:rsid w:val="002F6A7F"/>
    <w:rsid w:val="0030578C"/>
    <w:rsid w:val="0030746C"/>
    <w:rsid w:val="00310B51"/>
    <w:rsid w:val="00316068"/>
    <w:rsid w:val="00326243"/>
    <w:rsid w:val="003535E6"/>
    <w:rsid w:val="003553B5"/>
    <w:rsid w:val="00355B76"/>
    <w:rsid w:val="00356B11"/>
    <w:rsid w:val="003827B8"/>
    <w:rsid w:val="003926F0"/>
    <w:rsid w:val="003A1077"/>
    <w:rsid w:val="003A4057"/>
    <w:rsid w:val="003B4210"/>
    <w:rsid w:val="003C2BDB"/>
    <w:rsid w:val="003C3877"/>
    <w:rsid w:val="003C3A5B"/>
    <w:rsid w:val="003C5A12"/>
    <w:rsid w:val="003C72BD"/>
    <w:rsid w:val="003C7C73"/>
    <w:rsid w:val="003D7DFF"/>
    <w:rsid w:val="003E60FA"/>
    <w:rsid w:val="003F2251"/>
    <w:rsid w:val="003F46CA"/>
    <w:rsid w:val="003F4EDF"/>
    <w:rsid w:val="00401A49"/>
    <w:rsid w:val="004071ED"/>
    <w:rsid w:val="0041697B"/>
    <w:rsid w:val="004204E8"/>
    <w:rsid w:val="00447CFE"/>
    <w:rsid w:val="00453B42"/>
    <w:rsid w:val="0046218B"/>
    <w:rsid w:val="00466CB2"/>
    <w:rsid w:val="004707F9"/>
    <w:rsid w:val="00474B32"/>
    <w:rsid w:val="00492098"/>
    <w:rsid w:val="0049478A"/>
    <w:rsid w:val="004A6267"/>
    <w:rsid w:val="004B3A6B"/>
    <w:rsid w:val="004D2A2D"/>
    <w:rsid w:val="004D4145"/>
    <w:rsid w:val="004E6F68"/>
    <w:rsid w:val="004F2761"/>
    <w:rsid w:val="00505617"/>
    <w:rsid w:val="00510C31"/>
    <w:rsid w:val="00517ADE"/>
    <w:rsid w:val="00517FCC"/>
    <w:rsid w:val="00537506"/>
    <w:rsid w:val="00546B5F"/>
    <w:rsid w:val="005760A9"/>
    <w:rsid w:val="0057679D"/>
    <w:rsid w:val="005819A2"/>
    <w:rsid w:val="005A0F37"/>
    <w:rsid w:val="005C4EB0"/>
    <w:rsid w:val="005C73DF"/>
    <w:rsid w:val="00602E2E"/>
    <w:rsid w:val="00607C08"/>
    <w:rsid w:val="00615E88"/>
    <w:rsid w:val="006177F0"/>
    <w:rsid w:val="006214B7"/>
    <w:rsid w:val="006229BB"/>
    <w:rsid w:val="00624EFF"/>
    <w:rsid w:val="006254BC"/>
    <w:rsid w:val="006262F1"/>
    <w:rsid w:val="00630DB0"/>
    <w:rsid w:val="00632F21"/>
    <w:rsid w:val="00645E74"/>
    <w:rsid w:val="00655B24"/>
    <w:rsid w:val="006724D9"/>
    <w:rsid w:val="00673A5F"/>
    <w:rsid w:val="00673E80"/>
    <w:rsid w:val="00676292"/>
    <w:rsid w:val="006838A1"/>
    <w:rsid w:val="00685BEB"/>
    <w:rsid w:val="006A0C84"/>
    <w:rsid w:val="006A4108"/>
    <w:rsid w:val="006B7AA8"/>
    <w:rsid w:val="006C75BA"/>
    <w:rsid w:val="006D1386"/>
    <w:rsid w:val="006D161E"/>
    <w:rsid w:val="006D2B01"/>
    <w:rsid w:val="006F098F"/>
    <w:rsid w:val="006F49A0"/>
    <w:rsid w:val="006F7E81"/>
    <w:rsid w:val="00701C74"/>
    <w:rsid w:val="0070459D"/>
    <w:rsid w:val="00707182"/>
    <w:rsid w:val="00707647"/>
    <w:rsid w:val="0071357E"/>
    <w:rsid w:val="00720C95"/>
    <w:rsid w:val="007215D6"/>
    <w:rsid w:val="00734434"/>
    <w:rsid w:val="00737966"/>
    <w:rsid w:val="0075506F"/>
    <w:rsid w:val="00765CF4"/>
    <w:rsid w:val="00775C7B"/>
    <w:rsid w:val="00783044"/>
    <w:rsid w:val="00785A20"/>
    <w:rsid w:val="007864D6"/>
    <w:rsid w:val="00792BD3"/>
    <w:rsid w:val="007B19C3"/>
    <w:rsid w:val="007C3817"/>
    <w:rsid w:val="007C785D"/>
    <w:rsid w:val="007D1DAD"/>
    <w:rsid w:val="007D4FDC"/>
    <w:rsid w:val="007D6DDA"/>
    <w:rsid w:val="007F1B42"/>
    <w:rsid w:val="007F7E7B"/>
    <w:rsid w:val="00807DF0"/>
    <w:rsid w:val="008103E1"/>
    <w:rsid w:val="00816C18"/>
    <w:rsid w:val="00841928"/>
    <w:rsid w:val="008507B5"/>
    <w:rsid w:val="00853830"/>
    <w:rsid w:val="008613F2"/>
    <w:rsid w:val="00861DED"/>
    <w:rsid w:val="00866A4C"/>
    <w:rsid w:val="00877C3B"/>
    <w:rsid w:val="008837DC"/>
    <w:rsid w:val="00887865"/>
    <w:rsid w:val="0089427F"/>
    <w:rsid w:val="008954B5"/>
    <w:rsid w:val="008A6B82"/>
    <w:rsid w:val="008B67F2"/>
    <w:rsid w:val="008C5994"/>
    <w:rsid w:val="008D6FE4"/>
    <w:rsid w:val="008D712A"/>
    <w:rsid w:val="008F1D52"/>
    <w:rsid w:val="00901A17"/>
    <w:rsid w:val="00905D74"/>
    <w:rsid w:val="00912545"/>
    <w:rsid w:val="00914A5B"/>
    <w:rsid w:val="00916E33"/>
    <w:rsid w:val="00920C7E"/>
    <w:rsid w:val="00922E73"/>
    <w:rsid w:val="009277FD"/>
    <w:rsid w:val="00932537"/>
    <w:rsid w:val="00947EA1"/>
    <w:rsid w:val="0095070A"/>
    <w:rsid w:val="009515EF"/>
    <w:rsid w:val="009527BF"/>
    <w:rsid w:val="00956F22"/>
    <w:rsid w:val="00962927"/>
    <w:rsid w:val="00966C5D"/>
    <w:rsid w:val="009725F6"/>
    <w:rsid w:val="00982241"/>
    <w:rsid w:val="00983935"/>
    <w:rsid w:val="009852DE"/>
    <w:rsid w:val="009875E6"/>
    <w:rsid w:val="00994407"/>
    <w:rsid w:val="009E4A42"/>
    <w:rsid w:val="009F4730"/>
    <w:rsid w:val="00A11990"/>
    <w:rsid w:val="00A16B2E"/>
    <w:rsid w:val="00A20618"/>
    <w:rsid w:val="00A266BC"/>
    <w:rsid w:val="00A34805"/>
    <w:rsid w:val="00A40B87"/>
    <w:rsid w:val="00A430B8"/>
    <w:rsid w:val="00A46CBF"/>
    <w:rsid w:val="00A67378"/>
    <w:rsid w:val="00A85D05"/>
    <w:rsid w:val="00A93C43"/>
    <w:rsid w:val="00A977B8"/>
    <w:rsid w:val="00AA3A58"/>
    <w:rsid w:val="00AA6C93"/>
    <w:rsid w:val="00AC60AE"/>
    <w:rsid w:val="00AE68CA"/>
    <w:rsid w:val="00AF12EB"/>
    <w:rsid w:val="00AF6702"/>
    <w:rsid w:val="00AF6E87"/>
    <w:rsid w:val="00B03453"/>
    <w:rsid w:val="00B0402D"/>
    <w:rsid w:val="00B34DB6"/>
    <w:rsid w:val="00B41937"/>
    <w:rsid w:val="00B458D2"/>
    <w:rsid w:val="00B55484"/>
    <w:rsid w:val="00B6519C"/>
    <w:rsid w:val="00B66011"/>
    <w:rsid w:val="00B8051E"/>
    <w:rsid w:val="00B828AF"/>
    <w:rsid w:val="00B942F6"/>
    <w:rsid w:val="00B967B6"/>
    <w:rsid w:val="00B96B85"/>
    <w:rsid w:val="00BA43B2"/>
    <w:rsid w:val="00BB014B"/>
    <w:rsid w:val="00BC7A7F"/>
    <w:rsid w:val="00BD2E63"/>
    <w:rsid w:val="00BD4780"/>
    <w:rsid w:val="00BE17A1"/>
    <w:rsid w:val="00BE3DD1"/>
    <w:rsid w:val="00BE6288"/>
    <w:rsid w:val="00BE6592"/>
    <w:rsid w:val="00BF245A"/>
    <w:rsid w:val="00C01A2E"/>
    <w:rsid w:val="00C04E8D"/>
    <w:rsid w:val="00C10AFB"/>
    <w:rsid w:val="00C11167"/>
    <w:rsid w:val="00C2139F"/>
    <w:rsid w:val="00C23A6D"/>
    <w:rsid w:val="00C24FAA"/>
    <w:rsid w:val="00C24FDD"/>
    <w:rsid w:val="00C25A1E"/>
    <w:rsid w:val="00C27A55"/>
    <w:rsid w:val="00C366A3"/>
    <w:rsid w:val="00C411D9"/>
    <w:rsid w:val="00C502FD"/>
    <w:rsid w:val="00C569E7"/>
    <w:rsid w:val="00C646E1"/>
    <w:rsid w:val="00C72088"/>
    <w:rsid w:val="00C77EF2"/>
    <w:rsid w:val="00CA5D41"/>
    <w:rsid w:val="00CC3301"/>
    <w:rsid w:val="00CC50F0"/>
    <w:rsid w:val="00CC69C3"/>
    <w:rsid w:val="00CE0148"/>
    <w:rsid w:val="00CE773E"/>
    <w:rsid w:val="00D0140E"/>
    <w:rsid w:val="00D1079A"/>
    <w:rsid w:val="00D10A8D"/>
    <w:rsid w:val="00D119A8"/>
    <w:rsid w:val="00D15901"/>
    <w:rsid w:val="00D174F1"/>
    <w:rsid w:val="00D3390C"/>
    <w:rsid w:val="00D41CFF"/>
    <w:rsid w:val="00D53020"/>
    <w:rsid w:val="00D70EB3"/>
    <w:rsid w:val="00D75578"/>
    <w:rsid w:val="00D81281"/>
    <w:rsid w:val="00D85254"/>
    <w:rsid w:val="00D85C98"/>
    <w:rsid w:val="00D935A8"/>
    <w:rsid w:val="00D944CA"/>
    <w:rsid w:val="00DA2490"/>
    <w:rsid w:val="00DB36F9"/>
    <w:rsid w:val="00DC2438"/>
    <w:rsid w:val="00DD2493"/>
    <w:rsid w:val="00DD5A3A"/>
    <w:rsid w:val="00DE0382"/>
    <w:rsid w:val="00DE5BFC"/>
    <w:rsid w:val="00DF464B"/>
    <w:rsid w:val="00E115D6"/>
    <w:rsid w:val="00E17B3C"/>
    <w:rsid w:val="00E31525"/>
    <w:rsid w:val="00E349CD"/>
    <w:rsid w:val="00E422FF"/>
    <w:rsid w:val="00E474D6"/>
    <w:rsid w:val="00E516AF"/>
    <w:rsid w:val="00E549BD"/>
    <w:rsid w:val="00E57894"/>
    <w:rsid w:val="00E61A82"/>
    <w:rsid w:val="00E7507D"/>
    <w:rsid w:val="00E86232"/>
    <w:rsid w:val="00E87EEB"/>
    <w:rsid w:val="00E9341A"/>
    <w:rsid w:val="00EA0A51"/>
    <w:rsid w:val="00EA3948"/>
    <w:rsid w:val="00EB0B6C"/>
    <w:rsid w:val="00EB6851"/>
    <w:rsid w:val="00EC1C5B"/>
    <w:rsid w:val="00EC4592"/>
    <w:rsid w:val="00EC644F"/>
    <w:rsid w:val="00ED0128"/>
    <w:rsid w:val="00ED20B6"/>
    <w:rsid w:val="00ED2800"/>
    <w:rsid w:val="00EE3E8E"/>
    <w:rsid w:val="00EE4CDD"/>
    <w:rsid w:val="00EE7146"/>
    <w:rsid w:val="00EF48C6"/>
    <w:rsid w:val="00EF4EB2"/>
    <w:rsid w:val="00EF53F6"/>
    <w:rsid w:val="00EF662C"/>
    <w:rsid w:val="00F03579"/>
    <w:rsid w:val="00F100C9"/>
    <w:rsid w:val="00F111CA"/>
    <w:rsid w:val="00F16522"/>
    <w:rsid w:val="00F16C11"/>
    <w:rsid w:val="00F233D6"/>
    <w:rsid w:val="00F235C7"/>
    <w:rsid w:val="00F42D64"/>
    <w:rsid w:val="00F436B7"/>
    <w:rsid w:val="00F57ABF"/>
    <w:rsid w:val="00F62CF2"/>
    <w:rsid w:val="00F767A9"/>
    <w:rsid w:val="00F97AB4"/>
    <w:rsid w:val="00FA339C"/>
    <w:rsid w:val="00FB47F5"/>
    <w:rsid w:val="00FC48D4"/>
    <w:rsid w:val="00FF47D2"/>
    <w:rsid w:val="00FF77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0F11"/>
  <w15:chartTrackingRefBased/>
  <w15:docId w15:val="{CDB21A13-AB53-474B-AD31-39C46E52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685BEB"/>
    <w:pPr>
      <w:keepNext/>
      <w:spacing w:after="0" w:line="240" w:lineRule="auto"/>
      <w:jc w:val="center"/>
      <w:outlineLvl w:val="4"/>
    </w:pPr>
    <w:rPr>
      <w:rFonts w:ascii="TimesRomanR" w:eastAsia="Times New Roman" w:hAnsi="TimesRomanR"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6"/>
    <w:pPr>
      <w:ind w:left="720"/>
      <w:contextualSpacing/>
    </w:pPr>
  </w:style>
  <w:style w:type="character" w:customStyle="1" w:styleId="Heading5Char">
    <w:name w:val="Heading 5 Char"/>
    <w:basedOn w:val="DefaultParagraphFont"/>
    <w:link w:val="Heading5"/>
    <w:rsid w:val="00685BEB"/>
    <w:rPr>
      <w:rFonts w:ascii="TimesRomanR" w:eastAsia="Times New Roman" w:hAnsi="TimesRomanR" w:cs="Times New Roman"/>
      <w:b/>
      <w:sz w:val="24"/>
      <w:szCs w:val="20"/>
      <w:lang w:val="en-US"/>
    </w:rPr>
  </w:style>
  <w:style w:type="paragraph" w:styleId="BodyText">
    <w:name w:val="Body Text"/>
    <w:basedOn w:val="Normal"/>
    <w:link w:val="BodyTextChar"/>
    <w:uiPriority w:val="99"/>
    <w:semiHidden/>
    <w:unhideWhenUsed/>
    <w:rsid w:val="00D70EB3"/>
    <w:pPr>
      <w:spacing w:after="120"/>
    </w:pPr>
  </w:style>
  <w:style w:type="character" w:customStyle="1" w:styleId="BodyTextChar">
    <w:name w:val="Body Text Char"/>
    <w:basedOn w:val="DefaultParagraphFont"/>
    <w:link w:val="BodyText"/>
    <w:uiPriority w:val="99"/>
    <w:semiHidden/>
    <w:rsid w:val="00D70EB3"/>
  </w:style>
  <w:style w:type="paragraph" w:styleId="Footer">
    <w:name w:val="footer"/>
    <w:basedOn w:val="Normal"/>
    <w:link w:val="FooterChar"/>
    <w:uiPriority w:val="99"/>
    <w:semiHidden/>
    <w:unhideWhenUsed/>
    <w:rsid w:val="00D70EB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0EB3"/>
  </w:style>
  <w:style w:type="character" w:styleId="PageNumber">
    <w:name w:val="page number"/>
    <w:basedOn w:val="DefaultParagraphFont"/>
    <w:rsid w:val="00D70EB3"/>
  </w:style>
  <w:style w:type="character" w:styleId="CommentReference">
    <w:name w:val="annotation reference"/>
    <w:basedOn w:val="DefaultParagraphFont"/>
    <w:uiPriority w:val="99"/>
    <w:unhideWhenUsed/>
    <w:rsid w:val="00B03453"/>
    <w:rPr>
      <w:sz w:val="16"/>
      <w:szCs w:val="16"/>
    </w:rPr>
  </w:style>
  <w:style w:type="paragraph" w:styleId="CommentText">
    <w:name w:val="annotation text"/>
    <w:basedOn w:val="Normal"/>
    <w:link w:val="CommentTextChar"/>
    <w:uiPriority w:val="99"/>
    <w:unhideWhenUsed/>
    <w:rsid w:val="00B03453"/>
    <w:pPr>
      <w:spacing w:line="240" w:lineRule="auto"/>
    </w:pPr>
    <w:rPr>
      <w:sz w:val="20"/>
      <w:szCs w:val="20"/>
    </w:rPr>
  </w:style>
  <w:style w:type="character" w:customStyle="1" w:styleId="CommentTextChar">
    <w:name w:val="Comment Text Char"/>
    <w:basedOn w:val="DefaultParagraphFont"/>
    <w:link w:val="CommentText"/>
    <w:uiPriority w:val="99"/>
    <w:rsid w:val="00B03453"/>
    <w:rPr>
      <w:sz w:val="20"/>
      <w:szCs w:val="20"/>
    </w:rPr>
  </w:style>
  <w:style w:type="paragraph" w:styleId="CommentSubject">
    <w:name w:val="annotation subject"/>
    <w:basedOn w:val="CommentText"/>
    <w:next w:val="CommentText"/>
    <w:link w:val="CommentSubjectChar"/>
    <w:uiPriority w:val="99"/>
    <w:semiHidden/>
    <w:unhideWhenUsed/>
    <w:rsid w:val="00B03453"/>
    <w:rPr>
      <w:b/>
      <w:bCs/>
    </w:rPr>
  </w:style>
  <w:style w:type="character" w:customStyle="1" w:styleId="CommentSubjectChar">
    <w:name w:val="Comment Subject Char"/>
    <w:basedOn w:val="CommentTextChar"/>
    <w:link w:val="CommentSubject"/>
    <w:uiPriority w:val="99"/>
    <w:semiHidden/>
    <w:rsid w:val="00B03453"/>
    <w:rPr>
      <w:b/>
      <w:bCs/>
      <w:sz w:val="20"/>
      <w:szCs w:val="20"/>
    </w:rPr>
  </w:style>
  <w:style w:type="paragraph" w:styleId="BalloonText">
    <w:name w:val="Balloon Text"/>
    <w:basedOn w:val="Normal"/>
    <w:link w:val="BalloonTextChar"/>
    <w:uiPriority w:val="99"/>
    <w:semiHidden/>
    <w:unhideWhenUsed/>
    <w:rsid w:val="00B0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53"/>
    <w:rPr>
      <w:rFonts w:ascii="Segoe UI" w:hAnsi="Segoe UI" w:cs="Segoe UI"/>
      <w:sz w:val="18"/>
      <w:szCs w:val="18"/>
    </w:rPr>
  </w:style>
  <w:style w:type="character" w:customStyle="1" w:styleId="slitbdy">
    <w:name w:val="s_lit_bdy"/>
    <w:basedOn w:val="DefaultParagraphFont"/>
    <w:rsid w:val="00DC2438"/>
    <w:rPr>
      <w:rFonts w:ascii="Verdana" w:hAnsi="Verdana" w:hint="default"/>
      <w:b w:val="0"/>
      <w:bCs w:val="0"/>
      <w:color w:val="000000"/>
      <w:sz w:val="20"/>
      <w:szCs w:val="20"/>
      <w:shd w:val="clear" w:color="auto" w:fill="FFFFFF"/>
    </w:rPr>
  </w:style>
  <w:style w:type="paragraph" w:customStyle="1" w:styleId="spar">
    <w:name w:val="s_par"/>
    <w:basedOn w:val="Normal"/>
    <w:rsid w:val="004E6F68"/>
    <w:pPr>
      <w:spacing w:after="0" w:line="240" w:lineRule="auto"/>
      <w:ind w:left="225"/>
    </w:pPr>
    <w:rPr>
      <w:rFonts w:ascii="Times New Roman" w:eastAsiaTheme="minorEastAsia" w:hAnsi="Times New Roman" w:cs="Times New Roman"/>
      <w:sz w:val="24"/>
      <w:szCs w:val="24"/>
      <w:lang w:val="en-US"/>
    </w:rPr>
  </w:style>
  <w:style w:type="paragraph" w:customStyle="1" w:styleId="sanxttl">
    <w:name w:val="s_anx_ttl"/>
    <w:basedOn w:val="Normal"/>
    <w:rsid w:val="004E6F68"/>
    <w:pPr>
      <w:spacing w:after="0" w:line="240" w:lineRule="auto"/>
      <w:jc w:val="center"/>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4E6F68"/>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DefaultParagraphFont"/>
    <w:rsid w:val="004E6F68"/>
    <w:rPr>
      <w:rFonts w:ascii="Verdana" w:hAnsi="Verdana" w:hint="default"/>
      <w:b/>
      <w:bCs/>
      <w:color w:val="8B0000"/>
      <w:sz w:val="20"/>
      <w:szCs w:val="20"/>
      <w:shd w:val="clear" w:color="auto" w:fill="FFFFFF"/>
    </w:rPr>
  </w:style>
  <w:style w:type="character" w:customStyle="1" w:styleId="spctbdy">
    <w:name w:val="s_pct_bdy"/>
    <w:basedOn w:val="DefaultParagraphFont"/>
    <w:rsid w:val="004E6F68"/>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4E6F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F68"/>
    <w:pPr>
      <w:autoSpaceDE w:val="0"/>
      <w:autoSpaceDN w:val="0"/>
      <w:spacing w:after="0" w:line="240" w:lineRule="auto"/>
    </w:pPr>
    <w:rPr>
      <w:rFonts w:ascii="Verdana" w:eastAsia="Verdana" w:hAnsi="Verdana" w:cs="Times New Roman"/>
      <w:sz w:val="20"/>
      <w:szCs w:val="20"/>
      <w:lang w:val="en-US"/>
    </w:rPr>
  </w:style>
  <w:style w:type="character" w:customStyle="1" w:styleId="FootnoteTextChar">
    <w:name w:val="Footnote Text Char"/>
    <w:basedOn w:val="DefaultParagraphFont"/>
    <w:link w:val="FootnoteText"/>
    <w:uiPriority w:val="99"/>
    <w:semiHidden/>
    <w:rsid w:val="004E6F68"/>
    <w:rPr>
      <w:rFonts w:ascii="Verdana" w:eastAsia="Verdana" w:hAnsi="Verdana" w:cs="Times New Roman"/>
      <w:sz w:val="20"/>
      <w:szCs w:val="20"/>
      <w:lang w:val="en-US"/>
    </w:rPr>
  </w:style>
  <w:style w:type="character" w:styleId="FootnoteReference">
    <w:name w:val="footnote reference"/>
    <w:basedOn w:val="DefaultParagraphFont"/>
    <w:uiPriority w:val="99"/>
    <w:semiHidden/>
    <w:unhideWhenUsed/>
    <w:rsid w:val="004E6F68"/>
    <w:rPr>
      <w:vertAlign w:val="superscript"/>
    </w:rPr>
  </w:style>
  <w:style w:type="paragraph" w:customStyle="1" w:styleId="sartttl">
    <w:name w:val="s_art_ttl"/>
    <w:basedOn w:val="Normal"/>
    <w:rsid w:val="00A85D05"/>
    <w:pPr>
      <w:spacing w:after="0"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A85D05"/>
    <w:pPr>
      <w:spacing w:after="0" w:line="240" w:lineRule="auto"/>
    </w:pPr>
    <w:rPr>
      <w:rFonts w:ascii="Verdana" w:eastAsiaTheme="minorEastAsia" w:hAnsi="Verdana" w:cs="Times New Roman"/>
      <w:b/>
      <w:bCs/>
      <w:color w:val="24689B"/>
      <w:sz w:val="20"/>
      <w:szCs w:val="20"/>
      <w:lang w:val="en-US"/>
    </w:rPr>
  </w:style>
  <w:style w:type="paragraph" w:customStyle="1" w:styleId="scapttl">
    <w:name w:val="s_cap_ttl"/>
    <w:basedOn w:val="Normal"/>
    <w:rsid w:val="00A85D05"/>
    <w:pPr>
      <w:spacing w:after="0" w:line="240" w:lineRule="auto"/>
      <w:jc w:val="center"/>
    </w:pPr>
    <w:rPr>
      <w:rFonts w:ascii="Verdana" w:eastAsiaTheme="minorEastAsia" w:hAnsi="Verdana" w:cs="Times New Roman"/>
      <w:b/>
      <w:bCs/>
      <w:color w:val="A52A2A"/>
      <w:sz w:val="24"/>
      <w:szCs w:val="24"/>
      <w:lang w:val="en-US"/>
    </w:rPr>
  </w:style>
  <w:style w:type="paragraph" w:customStyle="1" w:styleId="scapden">
    <w:name w:val="s_cap_den"/>
    <w:basedOn w:val="Normal"/>
    <w:rsid w:val="00A85D05"/>
    <w:pPr>
      <w:spacing w:after="0" w:line="240" w:lineRule="auto"/>
      <w:jc w:val="center"/>
    </w:pPr>
    <w:rPr>
      <w:rFonts w:ascii="Verdana" w:eastAsiaTheme="minorEastAsia" w:hAnsi="Verdana" w:cs="Times New Roman"/>
      <w:b/>
      <w:bCs/>
      <w:color w:val="A52A2A"/>
      <w:sz w:val="24"/>
      <w:szCs w:val="24"/>
      <w:lang w:val="en-US"/>
    </w:rPr>
  </w:style>
  <w:style w:type="paragraph" w:customStyle="1" w:styleId="spar1">
    <w:name w:val="s_par1"/>
    <w:basedOn w:val="Normal"/>
    <w:rsid w:val="00A85D05"/>
    <w:pPr>
      <w:spacing w:after="0" w:line="240" w:lineRule="auto"/>
    </w:pPr>
    <w:rPr>
      <w:rFonts w:ascii="Verdana" w:eastAsiaTheme="minorEastAsia" w:hAnsi="Verdana" w:cs="Times New Roman"/>
      <w:sz w:val="15"/>
      <w:szCs w:val="15"/>
      <w:lang w:val="en-US"/>
    </w:rPr>
  </w:style>
  <w:style w:type="character" w:customStyle="1" w:styleId="slitttl1">
    <w:name w:val="s_lit_ttl1"/>
    <w:basedOn w:val="DefaultParagraphFont"/>
    <w:rsid w:val="00A85D05"/>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A85D05"/>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sid w:val="00A85D05"/>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85D05"/>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A85D05"/>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A85D05"/>
    <w:rPr>
      <w:rFonts w:ascii="Verdana" w:hAnsi="Verdana" w:hint="default"/>
      <w:b/>
      <w:bCs/>
      <w:color w:val="24689B"/>
      <w:sz w:val="21"/>
      <w:szCs w:val="21"/>
      <w:shd w:val="clear" w:color="auto" w:fill="FFFFFF"/>
    </w:rPr>
  </w:style>
  <w:style w:type="character" w:customStyle="1" w:styleId="slinbdy">
    <w:name w:val="s_lin_bdy"/>
    <w:basedOn w:val="DefaultParagraphFont"/>
    <w:rsid w:val="00A85D05"/>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A85D05"/>
    <w:rPr>
      <w:rFonts w:ascii="Verdana" w:hAnsi="Verdana" w:hint="default"/>
      <w:b w:val="0"/>
      <w:bCs w:val="0"/>
      <w:vanish w:val="0"/>
      <w:webHidden w:val="0"/>
      <w:color w:val="000000"/>
      <w:sz w:val="15"/>
      <w:szCs w:val="15"/>
      <w:shd w:val="clear" w:color="auto" w:fill="FFFFFF"/>
      <w:specVanish w:val="0"/>
    </w:rPr>
  </w:style>
  <w:style w:type="character" w:customStyle="1" w:styleId="sden1">
    <w:name w:val="s_den1"/>
    <w:basedOn w:val="DefaultParagraphFont"/>
    <w:rsid w:val="002206A5"/>
    <w:rPr>
      <w:rFonts w:ascii="Verdana" w:hAnsi="Verdana" w:hint="default"/>
      <w:b/>
      <w:bCs/>
      <w:vanish w:val="0"/>
      <w:webHidden w:val="0"/>
      <w:color w:val="8B0000"/>
      <w:sz w:val="30"/>
      <w:szCs w:val="3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2477-7951-4430-A4AC-9CAC699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2018-08-08T12:09:00Z</cp:lastPrinted>
  <dcterms:created xsi:type="dcterms:W3CDTF">2023-09-08T10:21:00Z</dcterms:created>
  <dcterms:modified xsi:type="dcterms:W3CDTF">2023-09-19T08:26:00Z</dcterms:modified>
</cp:coreProperties>
</file>