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809" w14:textId="438FEF2A" w:rsidR="00052EB0" w:rsidRPr="00A54013" w:rsidRDefault="00A54013" w:rsidP="00552A6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013">
        <w:rPr>
          <w:rFonts w:ascii="Times New Roman" w:hAnsi="Times New Roman" w:cs="Times New Roman"/>
          <w:sz w:val="24"/>
          <w:szCs w:val="24"/>
        </w:rPr>
        <w:t>Proiect de Ordin</w:t>
      </w:r>
    </w:p>
    <w:p w14:paraId="4FED2621" w14:textId="2B62B1BD" w:rsidR="000E29BD" w:rsidRPr="00D00096" w:rsidRDefault="000E29BD" w:rsidP="00552A6D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096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9A7E27" w:rsidRPr="00D00096">
        <w:rPr>
          <w:rFonts w:ascii="Times New Roman" w:hAnsi="Times New Roman" w:cs="Times New Roman"/>
          <w:bCs/>
          <w:sz w:val="24"/>
          <w:szCs w:val="24"/>
        </w:rPr>
        <w:t xml:space="preserve">Procedurii privind </w:t>
      </w:r>
      <w:r w:rsidR="00A4492A" w:rsidRPr="001A3DE0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aprobarea </w:t>
      </w:r>
      <w:r w:rsidR="00DB0A62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investiţiilor </w:t>
      </w:r>
      <w:r w:rsidR="00997B6F" w:rsidRPr="00D00096">
        <w:rPr>
          <w:rFonts w:ascii="Times New Roman" w:hAnsi="Times New Roman" w:cs="Times New Roman"/>
          <w:bCs/>
          <w:sz w:val="24"/>
          <w:szCs w:val="24"/>
        </w:rPr>
        <w:t>operatorul</w:t>
      </w:r>
      <w:r w:rsidR="00167B84">
        <w:rPr>
          <w:rFonts w:ascii="Times New Roman" w:hAnsi="Times New Roman" w:cs="Times New Roman"/>
          <w:bCs/>
          <w:sz w:val="24"/>
          <w:szCs w:val="24"/>
        </w:rPr>
        <w:t>ui</w:t>
      </w:r>
      <w:r w:rsidR="00997B6F" w:rsidRPr="00D00096">
        <w:rPr>
          <w:rFonts w:ascii="Times New Roman" w:hAnsi="Times New Roman" w:cs="Times New Roman"/>
          <w:bCs/>
          <w:sz w:val="24"/>
          <w:szCs w:val="24"/>
        </w:rPr>
        <w:t xml:space="preserve"> de transport și de sistem și operatori</w:t>
      </w:r>
      <w:r w:rsidR="00167B84">
        <w:rPr>
          <w:rFonts w:ascii="Times New Roman" w:hAnsi="Times New Roman" w:cs="Times New Roman"/>
          <w:bCs/>
          <w:sz w:val="24"/>
          <w:szCs w:val="24"/>
        </w:rPr>
        <w:t>lor</w:t>
      </w:r>
      <w:r w:rsidR="00997B6F" w:rsidRPr="00D00096">
        <w:rPr>
          <w:rFonts w:ascii="Times New Roman" w:hAnsi="Times New Roman" w:cs="Times New Roman"/>
          <w:bCs/>
          <w:sz w:val="24"/>
          <w:szCs w:val="24"/>
        </w:rPr>
        <w:t xml:space="preserve"> de distribuție</w:t>
      </w:r>
      <w:r w:rsidR="00DB0A62" w:rsidRPr="00D00096">
        <w:rPr>
          <w:rFonts w:ascii="Times New Roman" w:hAnsi="Times New Roman" w:cs="Times New Roman"/>
          <w:bCs/>
          <w:sz w:val="24"/>
          <w:szCs w:val="24"/>
        </w:rPr>
        <w:t>,</w:t>
      </w:r>
      <w:r w:rsidR="00997B6F" w:rsidRPr="00D0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CD8" w:rsidRPr="00D00096">
        <w:rPr>
          <w:rFonts w:ascii="Times New Roman" w:hAnsi="Times New Roman" w:cs="Times New Roman"/>
          <w:bCs/>
          <w:sz w:val="24"/>
          <w:szCs w:val="24"/>
        </w:rPr>
        <w:t>ce constau</w:t>
      </w:r>
      <w:r w:rsidR="00DB0A62" w:rsidRPr="00D0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62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în </w:t>
      </w:r>
      <w:r w:rsidR="009A7E27" w:rsidRPr="00D00096">
        <w:rPr>
          <w:rFonts w:ascii="Times New Roman" w:hAnsi="Times New Roman" w:cs="Times New Roman"/>
          <w:bCs/>
          <w:sz w:val="24"/>
          <w:szCs w:val="24"/>
        </w:rPr>
        <w:t>instalaţii de producere a energiei electrice din surse regenerabile</w:t>
      </w:r>
      <w:r w:rsidR="00910744" w:rsidRPr="00D00096">
        <w:rPr>
          <w:rFonts w:ascii="Times New Roman" w:hAnsi="Times New Roman" w:cs="Times New Roman"/>
          <w:bCs/>
          <w:sz w:val="24"/>
          <w:szCs w:val="24"/>
        </w:rPr>
        <w:t xml:space="preserve"> de energie</w:t>
      </w:r>
      <w:r w:rsidR="009A7E27" w:rsidRPr="00D00096">
        <w:rPr>
          <w:rFonts w:ascii="Times New Roman" w:hAnsi="Times New Roman" w:cs="Times New Roman"/>
          <w:bCs/>
          <w:sz w:val="24"/>
          <w:szCs w:val="24"/>
        </w:rPr>
        <w:t xml:space="preserve"> amplasate în stațiile electrice de transformare proprii</w:t>
      </w:r>
    </w:p>
    <w:p w14:paraId="57DC970E" w14:textId="77777777" w:rsidR="000E29BD" w:rsidRPr="00D00096" w:rsidRDefault="000E29BD" w:rsidP="00552A6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9BD079" w14:textId="619A8D7E" w:rsidR="000E29BD" w:rsidRDefault="000E29BD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>Având în vedere</w:t>
      </w:r>
      <w:r w:rsidR="00E54D1B" w:rsidRPr="00D00096">
        <w:rPr>
          <w:rFonts w:ascii="Times New Roman" w:hAnsi="Times New Roman" w:cs="Times New Roman"/>
          <w:sz w:val="24"/>
          <w:szCs w:val="24"/>
        </w:rPr>
        <w:t xml:space="preserve"> </w:t>
      </w:r>
      <w:r w:rsidRPr="00D00096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A1409F" w:rsidRPr="00A1409F">
        <w:rPr>
          <w:rFonts w:ascii="Times New Roman" w:eastAsia="Calibri" w:hAnsi="Times New Roman" w:cs="Times New Roman"/>
          <w:sz w:val="24"/>
          <w:szCs w:val="24"/>
        </w:rPr>
        <w:t xml:space="preserve">art. 38 alin. (1) și (2) şi art. 48 alin. (1) și (2) </w:t>
      </w:r>
      <w:r w:rsidRPr="00D00096">
        <w:rPr>
          <w:rFonts w:ascii="Times New Roman" w:hAnsi="Times New Roman" w:cs="Times New Roman"/>
          <w:sz w:val="24"/>
          <w:szCs w:val="24"/>
        </w:rPr>
        <w:t xml:space="preserve">din Legea energiei electrice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i a gazelor naturale nr. 123/2012</w:t>
      </w:r>
      <w:r w:rsidR="00112128" w:rsidRPr="00D00096">
        <w:rPr>
          <w:rFonts w:ascii="Times New Roman" w:hAnsi="Times New Roman" w:cs="Times New Roman"/>
          <w:sz w:val="24"/>
          <w:szCs w:val="24"/>
        </w:rPr>
        <w:t>,</w:t>
      </w:r>
      <w:r w:rsidRPr="00D00096">
        <w:rPr>
          <w:rFonts w:ascii="Times New Roman" w:hAnsi="Times New Roman" w:cs="Times New Roman"/>
          <w:sz w:val="24"/>
          <w:szCs w:val="24"/>
        </w:rPr>
        <w:t xml:space="preserve"> cu modificările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 xml:space="preserve">i completările ulterioare, </w:t>
      </w:r>
    </w:p>
    <w:p w14:paraId="1F7C678E" w14:textId="09F88585" w:rsidR="00A1409F" w:rsidRPr="00D00096" w:rsidRDefault="005F4165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precum și</w:t>
      </w:r>
      <w:r w:rsidR="00A1409F">
        <w:rPr>
          <w:rFonts w:ascii="Times New Roman" w:hAnsi="Times New Roman" w:cs="Times New Roman"/>
          <w:sz w:val="24"/>
          <w:szCs w:val="24"/>
        </w:rPr>
        <w:t xml:space="preserve"> </w:t>
      </w:r>
      <w:r w:rsidR="00A1409F" w:rsidRPr="00A1409F">
        <w:rPr>
          <w:rFonts w:ascii="Times New Roman" w:hAnsi="Times New Roman" w:cs="Times New Roman"/>
          <w:sz w:val="24"/>
          <w:szCs w:val="24"/>
        </w:rPr>
        <w:t>prevederile art. 42^1 alin. (1) din Procedura privind fundamentarea şi aprobarea planurilor de dezvoltare şi de investiţii ale operatorului de transport şi de sistem şi ale operatorilor de distribuţie a energiei electrice, aprobată prin Ordinul ANRE nr. 98/2022, cu completările ulterioare</w:t>
      </w:r>
      <w:r w:rsidR="00A1409F">
        <w:rPr>
          <w:rFonts w:ascii="Times New Roman" w:hAnsi="Times New Roman" w:cs="Times New Roman"/>
          <w:sz w:val="24"/>
          <w:szCs w:val="24"/>
        </w:rPr>
        <w:t>,</w:t>
      </w:r>
    </w:p>
    <w:p w14:paraId="28998A60" w14:textId="77777777" w:rsidR="000E29BD" w:rsidRPr="00D00096" w:rsidRDefault="000E29BD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 xml:space="preserve">în temeiul prevederilor art. 5 alin. (1) lit. c)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i ale art. 9 alin. (1) lit. h) din Ordonan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>a de urgen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 xml:space="preserve">ă a Guvernului nr. 33/2007 privind organizarea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i func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>ionarea Autorită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>ii Na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 xml:space="preserve">ionale de Reglementare în Domeniul Energiei, aprobată cu modificări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i completări prin Legea nr. 160/2012,</w:t>
      </w:r>
      <w:r w:rsidR="00625110" w:rsidRPr="00D00096">
        <w:rPr>
          <w:rFonts w:ascii="Times New Roman" w:hAnsi="Times New Roman" w:cs="Times New Roman"/>
          <w:sz w:val="24"/>
          <w:szCs w:val="24"/>
        </w:rPr>
        <w:t xml:space="preserve"> cu modificările </w:t>
      </w:r>
      <w:r w:rsidR="000D0F31" w:rsidRPr="00D00096">
        <w:rPr>
          <w:rFonts w:ascii="Times New Roman" w:hAnsi="Times New Roman" w:cs="Times New Roman"/>
          <w:sz w:val="24"/>
          <w:szCs w:val="24"/>
        </w:rPr>
        <w:t xml:space="preserve">și </w:t>
      </w:r>
      <w:r w:rsidR="00625110" w:rsidRPr="00D00096">
        <w:rPr>
          <w:rFonts w:ascii="Times New Roman" w:hAnsi="Times New Roman" w:cs="Times New Roman"/>
          <w:sz w:val="24"/>
          <w:szCs w:val="24"/>
        </w:rPr>
        <w:t>completările ulterioare,</w:t>
      </w:r>
    </w:p>
    <w:p w14:paraId="255E453E" w14:textId="77777777" w:rsidR="00625110" w:rsidRPr="00D00096" w:rsidRDefault="00625110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31020" w14:textId="77777777" w:rsidR="000E29BD" w:rsidRPr="00D00096" w:rsidRDefault="000E29BD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>pre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edintele Autorită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>ii Na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Pr="00D00096">
        <w:rPr>
          <w:rFonts w:ascii="Times New Roman" w:hAnsi="Times New Roman" w:cs="Times New Roman"/>
          <w:sz w:val="24"/>
          <w:szCs w:val="24"/>
        </w:rPr>
        <w:t>ionale de Reglementare în Domeniul Energiei emite următorul ordin:</w:t>
      </w:r>
    </w:p>
    <w:p w14:paraId="20DE62BC" w14:textId="77777777" w:rsidR="000E29BD" w:rsidRPr="00D00096" w:rsidRDefault="000E29BD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7E883D" w14:textId="41DDE6FB" w:rsidR="00372D3A" w:rsidRPr="00D00096" w:rsidRDefault="00625110" w:rsidP="00552A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</w:pPr>
      <w:r w:rsidRPr="00D00096">
        <w:rPr>
          <w:rFonts w:ascii="Times New Roman" w:hAnsi="Times New Roman" w:cs="Times New Roman"/>
          <w:sz w:val="24"/>
          <w:szCs w:val="24"/>
        </w:rPr>
        <w:t xml:space="preserve">Art. </w:t>
      </w:r>
      <w:r w:rsidR="000E29BD" w:rsidRPr="00D00096">
        <w:rPr>
          <w:rFonts w:ascii="Times New Roman" w:hAnsi="Times New Roman" w:cs="Times New Roman"/>
          <w:sz w:val="24"/>
          <w:szCs w:val="24"/>
        </w:rPr>
        <w:t>1</w:t>
      </w:r>
      <w:r w:rsidRPr="00D00096">
        <w:rPr>
          <w:rFonts w:ascii="Times New Roman" w:hAnsi="Times New Roman" w:cs="Times New Roman"/>
          <w:sz w:val="24"/>
          <w:szCs w:val="24"/>
        </w:rPr>
        <w:t xml:space="preserve">- </w:t>
      </w:r>
      <w:r w:rsidR="000E29BD" w:rsidRPr="00D00096">
        <w:rPr>
          <w:rFonts w:ascii="Times New Roman" w:hAnsi="Times New Roman" w:cs="Times New Roman"/>
          <w:sz w:val="24"/>
          <w:szCs w:val="24"/>
        </w:rPr>
        <w:t xml:space="preserve">Se </w:t>
      </w:r>
      <w:r w:rsidR="000E29BD" w:rsidRPr="00167B84">
        <w:rPr>
          <w:rFonts w:ascii="Times New Roman" w:hAnsi="Times New Roman" w:cs="Times New Roman"/>
          <w:sz w:val="24"/>
          <w:szCs w:val="24"/>
        </w:rPr>
        <w:t xml:space="preserve">aprobă </w:t>
      </w:r>
      <w:r w:rsidR="00167B84">
        <w:rPr>
          <w:rFonts w:ascii="Times New Roman" w:hAnsi="Times New Roman" w:cs="Times New Roman"/>
          <w:sz w:val="24"/>
          <w:szCs w:val="24"/>
        </w:rPr>
        <w:t>P</w:t>
      </w:r>
      <w:r w:rsidR="00997B6F" w:rsidRPr="00167B84">
        <w:rPr>
          <w:rFonts w:ascii="Times New Roman" w:hAnsi="Times New Roman" w:cs="Times New Roman"/>
          <w:sz w:val="24"/>
          <w:szCs w:val="24"/>
        </w:rPr>
        <w:t xml:space="preserve">rocedura </w:t>
      </w:r>
      <w:r w:rsidR="00B5124A" w:rsidRPr="00167B84">
        <w:rPr>
          <w:rFonts w:ascii="Times New Roman" w:hAnsi="Times New Roman" w:cs="Times New Roman"/>
          <w:sz w:val="24"/>
          <w:szCs w:val="24"/>
        </w:rPr>
        <w:t xml:space="preserve">privind </w:t>
      </w:r>
      <w:r w:rsidR="0055583B" w:rsidRPr="00167B84">
        <w:rPr>
          <w:rFonts w:ascii="Times New Roman" w:hAnsi="Times New Roman" w:cs="Times New Roman"/>
          <w:sz w:val="24"/>
          <w:szCs w:val="24"/>
        </w:rPr>
        <w:t>aprobarea</w:t>
      </w:r>
      <w:r w:rsidR="007F5CD8" w:rsidRPr="00167B84">
        <w:rPr>
          <w:rFonts w:ascii="Times New Roman" w:hAnsi="Times New Roman" w:cs="Times New Roman"/>
          <w:sz w:val="24"/>
          <w:szCs w:val="24"/>
        </w:rPr>
        <w:t xml:space="preserve"> investiţiilor </w:t>
      </w:r>
      <w:r w:rsidR="00B5124A" w:rsidRPr="00167B84">
        <w:rPr>
          <w:rFonts w:ascii="Times New Roman" w:hAnsi="Times New Roman" w:cs="Times New Roman"/>
          <w:sz w:val="24"/>
          <w:szCs w:val="24"/>
        </w:rPr>
        <w:t>operatorul</w:t>
      </w:r>
      <w:r w:rsidR="00167B84" w:rsidRPr="00167B84">
        <w:rPr>
          <w:rFonts w:ascii="Times New Roman" w:hAnsi="Times New Roman" w:cs="Times New Roman"/>
          <w:sz w:val="24"/>
          <w:szCs w:val="24"/>
        </w:rPr>
        <w:t>ui</w:t>
      </w:r>
      <w:r w:rsidR="00B5124A" w:rsidRPr="00167B84">
        <w:rPr>
          <w:rFonts w:ascii="Times New Roman" w:hAnsi="Times New Roman" w:cs="Times New Roman"/>
          <w:sz w:val="24"/>
          <w:szCs w:val="24"/>
        </w:rPr>
        <w:t xml:space="preserve"> de transport și de sistem și operatori</w:t>
      </w:r>
      <w:r w:rsidR="00167B84" w:rsidRPr="00167B84">
        <w:rPr>
          <w:rFonts w:ascii="Times New Roman" w:hAnsi="Times New Roman" w:cs="Times New Roman"/>
          <w:sz w:val="24"/>
          <w:szCs w:val="24"/>
        </w:rPr>
        <w:t>lor</w:t>
      </w:r>
      <w:r w:rsidR="00B5124A" w:rsidRPr="00167B84">
        <w:rPr>
          <w:rFonts w:ascii="Times New Roman" w:hAnsi="Times New Roman" w:cs="Times New Roman"/>
          <w:sz w:val="24"/>
          <w:szCs w:val="24"/>
        </w:rPr>
        <w:t xml:space="preserve"> de distribuție</w:t>
      </w:r>
      <w:r w:rsidR="007F5CD8" w:rsidRPr="00167B84">
        <w:rPr>
          <w:rFonts w:ascii="Times New Roman" w:hAnsi="Times New Roman" w:cs="Times New Roman"/>
          <w:sz w:val="24"/>
          <w:szCs w:val="24"/>
        </w:rPr>
        <w:t>, ce constau în</w:t>
      </w:r>
      <w:r w:rsidR="00B5124A" w:rsidRPr="00167B84">
        <w:rPr>
          <w:rFonts w:ascii="Times New Roman" w:hAnsi="Times New Roman" w:cs="Times New Roman"/>
          <w:sz w:val="24"/>
          <w:szCs w:val="24"/>
        </w:rPr>
        <w:t xml:space="preserve"> instalaţii de producere a energiei electrice din surse regenerabile </w:t>
      </w:r>
      <w:r w:rsidR="008A175D" w:rsidRPr="00167B84">
        <w:rPr>
          <w:rFonts w:ascii="Times New Roman" w:hAnsi="Times New Roman" w:cs="Times New Roman"/>
          <w:sz w:val="24"/>
          <w:szCs w:val="24"/>
        </w:rPr>
        <w:t xml:space="preserve">de energie </w:t>
      </w:r>
      <w:r w:rsidR="00B5124A" w:rsidRPr="00167B84">
        <w:rPr>
          <w:rFonts w:ascii="Times New Roman" w:hAnsi="Times New Roman" w:cs="Times New Roman"/>
          <w:sz w:val="24"/>
          <w:szCs w:val="24"/>
        </w:rPr>
        <w:t>amplasate în stațiile electrice de transformare proprii</w:t>
      </w:r>
      <w:r w:rsidR="000E29BD" w:rsidRPr="00167B84">
        <w:rPr>
          <w:rFonts w:ascii="Times New Roman" w:hAnsi="Times New Roman" w:cs="Times New Roman"/>
          <w:sz w:val="24"/>
          <w:szCs w:val="24"/>
        </w:rPr>
        <w:t>, prevăzută</w:t>
      </w:r>
      <w:r w:rsidR="000E29BD" w:rsidRPr="00D00096">
        <w:rPr>
          <w:rFonts w:ascii="Times New Roman" w:hAnsi="Times New Roman" w:cs="Times New Roman"/>
          <w:sz w:val="24"/>
          <w:szCs w:val="24"/>
        </w:rPr>
        <w:t xml:space="preserve"> în anexa care face parte integrantă din prezentul ordin.</w:t>
      </w:r>
    </w:p>
    <w:p w14:paraId="273D39A5" w14:textId="77777777" w:rsidR="000E29BD" w:rsidRPr="00D00096" w:rsidRDefault="00625110" w:rsidP="00552A6D">
      <w:pPr>
        <w:pStyle w:val="Heading1"/>
        <w:spacing w:after="0"/>
        <w:jc w:val="both"/>
        <w:rPr>
          <w:rFonts w:cs="Times New Roman"/>
          <w:b w:val="0"/>
          <w:sz w:val="24"/>
          <w:szCs w:val="24"/>
        </w:rPr>
      </w:pPr>
      <w:r w:rsidRPr="00D00096">
        <w:rPr>
          <w:rFonts w:cs="Times New Roman"/>
          <w:b w:val="0"/>
          <w:sz w:val="24"/>
          <w:szCs w:val="24"/>
        </w:rPr>
        <w:t xml:space="preserve">Art. </w:t>
      </w:r>
      <w:r w:rsidR="00B120C7" w:rsidRPr="00D00096">
        <w:rPr>
          <w:rFonts w:cs="Times New Roman"/>
          <w:b w:val="0"/>
          <w:sz w:val="24"/>
          <w:szCs w:val="24"/>
        </w:rPr>
        <w:t>2</w:t>
      </w:r>
      <w:r w:rsidRPr="00D00096">
        <w:rPr>
          <w:rFonts w:cs="Times New Roman"/>
          <w:b w:val="0"/>
          <w:sz w:val="24"/>
          <w:szCs w:val="24"/>
        </w:rPr>
        <w:t xml:space="preserve">- </w:t>
      </w:r>
      <w:r w:rsidR="007B7DAD" w:rsidRPr="00D00096">
        <w:rPr>
          <w:rFonts w:cs="Times New Roman"/>
          <w:b w:val="0"/>
          <w:sz w:val="24"/>
          <w:szCs w:val="24"/>
        </w:rPr>
        <w:t xml:space="preserve">Operatorul de transport și de sistem și operatorii concesionari de distribuție a energiei electrice </w:t>
      </w:r>
      <w:r w:rsidR="000E29BD" w:rsidRPr="00D00096">
        <w:rPr>
          <w:rFonts w:cs="Times New Roman"/>
          <w:b w:val="0"/>
          <w:sz w:val="24"/>
          <w:szCs w:val="24"/>
        </w:rPr>
        <w:t>duc la îndeplinire prevederile prezentului ordin, iar entită</w:t>
      </w:r>
      <w:r w:rsidR="00043683" w:rsidRPr="00D00096">
        <w:rPr>
          <w:rFonts w:cs="Times New Roman"/>
          <w:b w:val="0"/>
          <w:sz w:val="24"/>
          <w:szCs w:val="24"/>
        </w:rPr>
        <w:t>ț</w:t>
      </w:r>
      <w:r w:rsidR="000E29BD" w:rsidRPr="00D00096">
        <w:rPr>
          <w:rFonts w:cs="Times New Roman"/>
          <w:b w:val="0"/>
          <w:sz w:val="24"/>
          <w:szCs w:val="24"/>
        </w:rPr>
        <w:t>ile organizatorice din cadrul Autorită</w:t>
      </w:r>
      <w:r w:rsidR="00043683" w:rsidRPr="00D00096">
        <w:rPr>
          <w:rFonts w:cs="Times New Roman"/>
          <w:b w:val="0"/>
          <w:sz w:val="24"/>
          <w:szCs w:val="24"/>
        </w:rPr>
        <w:t>ț</w:t>
      </w:r>
      <w:r w:rsidR="000E29BD" w:rsidRPr="00D00096">
        <w:rPr>
          <w:rFonts w:cs="Times New Roman"/>
          <w:b w:val="0"/>
          <w:sz w:val="24"/>
          <w:szCs w:val="24"/>
        </w:rPr>
        <w:t>ii Na</w:t>
      </w:r>
      <w:r w:rsidR="00043683" w:rsidRPr="00D00096">
        <w:rPr>
          <w:rFonts w:cs="Times New Roman"/>
          <w:b w:val="0"/>
          <w:sz w:val="24"/>
          <w:szCs w:val="24"/>
        </w:rPr>
        <w:t>ț</w:t>
      </w:r>
      <w:r w:rsidR="000E29BD" w:rsidRPr="00D00096">
        <w:rPr>
          <w:rFonts w:cs="Times New Roman"/>
          <w:b w:val="0"/>
          <w:sz w:val="24"/>
          <w:szCs w:val="24"/>
        </w:rPr>
        <w:t>ionale de Reglementare în Domeniul Energiei urmăresc respectarea prevederilor prezentului ordin.</w:t>
      </w:r>
    </w:p>
    <w:p w14:paraId="72D92C3B" w14:textId="77777777" w:rsidR="000E29BD" w:rsidRPr="00D00096" w:rsidRDefault="00625110" w:rsidP="00552A6D">
      <w:pPr>
        <w:pStyle w:val="Heading1"/>
        <w:spacing w:after="0"/>
        <w:jc w:val="both"/>
        <w:rPr>
          <w:rFonts w:cs="Times New Roman"/>
          <w:b w:val="0"/>
          <w:sz w:val="24"/>
          <w:szCs w:val="24"/>
        </w:rPr>
      </w:pPr>
      <w:r w:rsidRPr="00D00096">
        <w:rPr>
          <w:rFonts w:cs="Times New Roman"/>
          <w:b w:val="0"/>
          <w:sz w:val="24"/>
          <w:szCs w:val="24"/>
        </w:rPr>
        <w:t xml:space="preserve">Art. </w:t>
      </w:r>
      <w:r w:rsidR="007179AE" w:rsidRPr="00D00096">
        <w:rPr>
          <w:rFonts w:cs="Times New Roman"/>
          <w:b w:val="0"/>
          <w:sz w:val="24"/>
          <w:szCs w:val="24"/>
        </w:rPr>
        <w:t>3-</w:t>
      </w:r>
      <w:r w:rsidR="00641E13" w:rsidRPr="00D00096">
        <w:rPr>
          <w:rFonts w:cs="Times New Roman"/>
          <w:b w:val="0"/>
          <w:sz w:val="24"/>
          <w:szCs w:val="24"/>
        </w:rPr>
        <w:t xml:space="preserve"> </w:t>
      </w:r>
      <w:r w:rsidR="000E29BD" w:rsidRPr="00D00096">
        <w:rPr>
          <w:rFonts w:cs="Times New Roman"/>
          <w:b w:val="0"/>
          <w:sz w:val="24"/>
          <w:szCs w:val="24"/>
        </w:rPr>
        <w:t>Prezentul ordin se publică în Monitorul Oficial al României, Partea I.</w:t>
      </w:r>
    </w:p>
    <w:p w14:paraId="1082C39B" w14:textId="77777777" w:rsidR="000E29BD" w:rsidRPr="00D00096" w:rsidRDefault="000E29BD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96C1A4" w14:textId="77777777" w:rsidR="000E29BD" w:rsidRPr="00D00096" w:rsidRDefault="000E29BD" w:rsidP="00552A6D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096">
        <w:rPr>
          <w:rFonts w:ascii="Times New Roman" w:hAnsi="Times New Roman" w:cs="Times New Roman"/>
          <w:bCs/>
          <w:sz w:val="24"/>
          <w:szCs w:val="24"/>
        </w:rPr>
        <w:t>Pre</w:t>
      </w:r>
      <w:r w:rsidR="00667944" w:rsidRPr="00D00096">
        <w:rPr>
          <w:rFonts w:ascii="Times New Roman" w:hAnsi="Times New Roman" w:cs="Times New Roman"/>
          <w:bCs/>
          <w:sz w:val="24"/>
          <w:szCs w:val="24"/>
        </w:rPr>
        <w:t>ș</w:t>
      </w:r>
      <w:r w:rsidRPr="00D00096">
        <w:rPr>
          <w:rFonts w:ascii="Times New Roman" w:hAnsi="Times New Roman" w:cs="Times New Roman"/>
          <w:bCs/>
          <w:sz w:val="24"/>
          <w:szCs w:val="24"/>
        </w:rPr>
        <w:t>edinte</w:t>
      </w:r>
      <w:r w:rsidR="008B0F53" w:rsidRPr="00D00096">
        <w:rPr>
          <w:rFonts w:ascii="Times New Roman" w:hAnsi="Times New Roman" w:cs="Times New Roman"/>
          <w:bCs/>
          <w:sz w:val="24"/>
          <w:szCs w:val="24"/>
        </w:rPr>
        <w:t>le Autorită</w:t>
      </w:r>
      <w:r w:rsidR="00043683" w:rsidRPr="00D00096">
        <w:rPr>
          <w:rFonts w:ascii="Times New Roman" w:hAnsi="Times New Roman" w:cs="Times New Roman"/>
          <w:bCs/>
          <w:sz w:val="24"/>
          <w:szCs w:val="24"/>
        </w:rPr>
        <w:t>ț</w:t>
      </w:r>
      <w:r w:rsidR="008B0F53" w:rsidRPr="00D00096">
        <w:rPr>
          <w:rFonts w:ascii="Times New Roman" w:hAnsi="Times New Roman" w:cs="Times New Roman"/>
          <w:bCs/>
          <w:sz w:val="24"/>
          <w:szCs w:val="24"/>
        </w:rPr>
        <w:t>ii Na</w:t>
      </w:r>
      <w:r w:rsidR="00043683" w:rsidRPr="00D00096">
        <w:rPr>
          <w:rFonts w:ascii="Times New Roman" w:hAnsi="Times New Roman" w:cs="Times New Roman"/>
          <w:bCs/>
          <w:sz w:val="24"/>
          <w:szCs w:val="24"/>
        </w:rPr>
        <w:t>ț</w:t>
      </w:r>
      <w:r w:rsidR="008B0F53" w:rsidRPr="00D00096">
        <w:rPr>
          <w:rFonts w:ascii="Times New Roman" w:hAnsi="Times New Roman" w:cs="Times New Roman"/>
          <w:bCs/>
          <w:sz w:val="24"/>
          <w:szCs w:val="24"/>
        </w:rPr>
        <w:t>ionale de Reglementare în Domeniul Energiei</w:t>
      </w:r>
      <w:r w:rsidR="00510CFF" w:rsidRPr="00D00096">
        <w:rPr>
          <w:rFonts w:ascii="Times New Roman" w:hAnsi="Times New Roman" w:cs="Times New Roman"/>
          <w:bCs/>
          <w:sz w:val="24"/>
          <w:szCs w:val="24"/>
        </w:rPr>
        <w:t>,</w:t>
      </w:r>
    </w:p>
    <w:p w14:paraId="498F6A1F" w14:textId="77777777" w:rsidR="0026091D" w:rsidRPr="00D00096" w:rsidRDefault="007B7DAD" w:rsidP="00552A6D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26091D" w:rsidRPr="00D00096" w:rsidSect="000D0F31">
          <w:footerReference w:type="default" r:id="rId7"/>
          <w:pgSz w:w="12240" w:h="15840"/>
          <w:pgMar w:top="540" w:right="1440" w:bottom="1440" w:left="1440" w:header="708" w:footer="708" w:gutter="0"/>
          <w:cols w:space="708"/>
          <w:docGrid w:linePitch="360"/>
        </w:sectPr>
      </w:pPr>
      <w:r w:rsidRPr="00D00096">
        <w:rPr>
          <w:rFonts w:ascii="Times New Roman" w:hAnsi="Times New Roman" w:cs="Times New Roman"/>
          <w:bCs/>
          <w:sz w:val="24"/>
          <w:szCs w:val="24"/>
        </w:rPr>
        <w:t>George-Sergiu NICULESCU</w:t>
      </w:r>
    </w:p>
    <w:p w14:paraId="1DE71449" w14:textId="77777777" w:rsidR="00510CFF" w:rsidRPr="00D00096" w:rsidRDefault="00BF6311" w:rsidP="00552A6D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0096">
        <w:rPr>
          <w:rFonts w:ascii="Times New Roman" w:hAnsi="Times New Roman" w:cs="Times New Roman"/>
          <w:bCs/>
          <w:sz w:val="24"/>
          <w:szCs w:val="24"/>
        </w:rPr>
        <w:lastRenderedPageBreak/>
        <w:t>ANEXA</w:t>
      </w:r>
    </w:p>
    <w:p w14:paraId="4501F302" w14:textId="77777777" w:rsidR="00BF6311" w:rsidRPr="00167B84" w:rsidRDefault="00C67610" w:rsidP="00552A6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B84">
        <w:rPr>
          <w:rFonts w:ascii="Times New Roman" w:hAnsi="Times New Roman" w:cs="Times New Roman"/>
          <w:b/>
          <w:bCs/>
          <w:sz w:val="24"/>
          <w:szCs w:val="24"/>
        </w:rPr>
        <w:t>PROCEDURĂ</w:t>
      </w:r>
    </w:p>
    <w:p w14:paraId="76D4804B" w14:textId="39837802" w:rsidR="002A65D9" w:rsidRPr="00D00096" w:rsidRDefault="002A65D9" w:rsidP="00552A6D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49134002"/>
      <w:r w:rsidRPr="00167B84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7F5CD8" w:rsidRPr="00167B8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aprobarea investiţiilor </w:t>
      </w:r>
      <w:r w:rsidR="007F5CD8" w:rsidRPr="00167B84">
        <w:rPr>
          <w:rFonts w:ascii="Times New Roman" w:hAnsi="Times New Roman" w:cs="Times New Roman"/>
          <w:b/>
          <w:bCs/>
          <w:sz w:val="24"/>
          <w:szCs w:val="24"/>
        </w:rPr>
        <w:t>operatorul</w:t>
      </w:r>
      <w:r w:rsidR="00167B84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="007F5CD8" w:rsidRPr="00167B84">
        <w:rPr>
          <w:rFonts w:ascii="Times New Roman" w:hAnsi="Times New Roman" w:cs="Times New Roman"/>
          <w:b/>
          <w:bCs/>
          <w:sz w:val="24"/>
          <w:szCs w:val="24"/>
        </w:rPr>
        <w:t xml:space="preserve"> de transport și de sistem și operatori</w:t>
      </w:r>
      <w:r w:rsidR="00167B84">
        <w:rPr>
          <w:rFonts w:ascii="Times New Roman" w:hAnsi="Times New Roman" w:cs="Times New Roman"/>
          <w:b/>
          <w:bCs/>
          <w:sz w:val="24"/>
          <w:szCs w:val="24"/>
        </w:rPr>
        <w:t>lor</w:t>
      </w:r>
      <w:r w:rsidR="007F5CD8" w:rsidRPr="00167B84">
        <w:rPr>
          <w:rFonts w:ascii="Times New Roman" w:hAnsi="Times New Roman" w:cs="Times New Roman"/>
          <w:b/>
          <w:bCs/>
          <w:sz w:val="24"/>
          <w:szCs w:val="24"/>
        </w:rPr>
        <w:t xml:space="preserve"> de distribuție, ce constau </w:t>
      </w:r>
      <w:r w:rsidR="007F5CD8" w:rsidRPr="00167B8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în</w:t>
      </w:r>
      <w:r w:rsidR="007F5CD8" w:rsidRPr="005A629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7F5CD8" w:rsidRPr="00167B84">
        <w:rPr>
          <w:rFonts w:ascii="Times New Roman" w:hAnsi="Times New Roman" w:cs="Times New Roman"/>
          <w:b/>
          <w:bCs/>
          <w:sz w:val="24"/>
          <w:szCs w:val="24"/>
        </w:rPr>
        <w:t>instalaţii de producere a energiei electrice din surse regenerabile de energie amplasate în stațiile electrice de transformare proprii</w:t>
      </w:r>
    </w:p>
    <w:bookmarkEnd w:id="0"/>
    <w:p w14:paraId="514AC504" w14:textId="77777777" w:rsidR="00BF6311" w:rsidRPr="00D00096" w:rsidRDefault="00BF6311" w:rsidP="00552A6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750963" w14:textId="77777777" w:rsidR="00BF6311" w:rsidRPr="00167B84" w:rsidRDefault="00BF6311" w:rsidP="00552A6D">
      <w:pPr>
        <w:pStyle w:val="Title"/>
        <w:spacing w:before="120" w:after="0"/>
        <w:contextualSpacing w:val="0"/>
        <w:rPr>
          <w:rFonts w:cs="Times New Roman"/>
          <w:sz w:val="24"/>
          <w:szCs w:val="24"/>
        </w:rPr>
      </w:pPr>
      <w:r w:rsidRPr="00167B84">
        <w:rPr>
          <w:rFonts w:cs="Times New Roman"/>
          <w:sz w:val="24"/>
          <w:szCs w:val="24"/>
        </w:rPr>
        <w:t>Capitolul I</w:t>
      </w:r>
    </w:p>
    <w:p w14:paraId="70F5FA1F" w14:textId="77777777" w:rsidR="00BF6311" w:rsidRPr="00D00096" w:rsidRDefault="00BF6311" w:rsidP="00167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B84">
        <w:rPr>
          <w:rFonts w:ascii="Times New Roman" w:hAnsi="Times New Roman" w:cs="Times New Roman"/>
          <w:b/>
          <w:sz w:val="24"/>
          <w:szCs w:val="24"/>
        </w:rPr>
        <w:t>Scop</w:t>
      </w:r>
      <w:r w:rsidR="00ED2A7A" w:rsidRPr="00D000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96B54" w14:textId="7D4B4E79" w:rsidR="0029670E" w:rsidRPr="00D00096" w:rsidRDefault="009E31D2" w:rsidP="00552A6D">
      <w:pPr>
        <w:numPr>
          <w:ilvl w:val="0"/>
          <w:numId w:val="36"/>
        </w:numPr>
        <w:tabs>
          <w:tab w:val="left" w:pos="709"/>
        </w:tabs>
        <w:spacing w:before="120" w:after="0" w:line="240" w:lineRule="auto"/>
        <w:ind w:left="0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D00096">
        <w:rPr>
          <w:rFonts w:ascii="Times New Roman" w:hAnsi="Times New Roman" w:cs="Times New Roman"/>
          <w:sz w:val="24"/>
          <w:szCs w:val="24"/>
        </w:rPr>
        <w:t xml:space="preserve">(1) </w:t>
      </w:r>
      <w:r w:rsidR="00BF6311" w:rsidRPr="00D00096">
        <w:rPr>
          <w:rFonts w:ascii="Times New Roman" w:hAnsi="Times New Roman" w:cs="Times New Roman"/>
          <w:sz w:val="24"/>
          <w:szCs w:val="24"/>
        </w:rPr>
        <w:t xml:space="preserve">Prezenta </w:t>
      </w:r>
      <w:r w:rsidR="00653E82" w:rsidRPr="00D00096">
        <w:rPr>
          <w:rFonts w:ascii="Times New Roman" w:hAnsi="Times New Roman" w:cs="Times New Roman"/>
          <w:bCs/>
          <w:sz w:val="24"/>
          <w:szCs w:val="24"/>
        </w:rPr>
        <w:t>procedură</w:t>
      </w:r>
      <w:r w:rsidR="00BF6311" w:rsidRPr="00D00096">
        <w:rPr>
          <w:rFonts w:ascii="Times New Roman" w:hAnsi="Times New Roman" w:cs="Times New Roman"/>
          <w:sz w:val="24"/>
          <w:szCs w:val="24"/>
        </w:rPr>
        <w:t xml:space="preserve"> stabile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="00BF6311" w:rsidRPr="00D00096">
        <w:rPr>
          <w:rFonts w:ascii="Times New Roman" w:hAnsi="Times New Roman" w:cs="Times New Roman"/>
          <w:sz w:val="24"/>
          <w:szCs w:val="24"/>
        </w:rPr>
        <w:t>te</w:t>
      </w:r>
      <w:r w:rsidR="003D3DB7" w:rsidRPr="00D00096">
        <w:rPr>
          <w:rFonts w:ascii="Times New Roman" w:hAnsi="Times New Roman" w:cs="Times New Roman"/>
          <w:sz w:val="24"/>
          <w:szCs w:val="24"/>
        </w:rPr>
        <w:t xml:space="preserve"> </w:t>
      </w:r>
      <w:r w:rsidR="00BF6311" w:rsidRPr="00D00096">
        <w:rPr>
          <w:rFonts w:ascii="Times New Roman" w:hAnsi="Times New Roman" w:cs="Times New Roman"/>
          <w:sz w:val="24"/>
          <w:szCs w:val="24"/>
        </w:rPr>
        <w:t>condi</w:t>
      </w:r>
      <w:r w:rsidR="00043683" w:rsidRPr="00D00096">
        <w:rPr>
          <w:rFonts w:ascii="Times New Roman" w:hAnsi="Times New Roman" w:cs="Times New Roman"/>
          <w:sz w:val="24"/>
          <w:szCs w:val="24"/>
        </w:rPr>
        <w:t>ț</w:t>
      </w:r>
      <w:r w:rsidR="00BF6311" w:rsidRPr="00D00096">
        <w:rPr>
          <w:rFonts w:ascii="Times New Roman" w:hAnsi="Times New Roman" w:cs="Times New Roman"/>
          <w:sz w:val="24"/>
          <w:szCs w:val="24"/>
        </w:rPr>
        <w:t>iile</w:t>
      </w:r>
      <w:r w:rsidR="00E85EBA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D15FBC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r w:rsidR="00E85EBA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care ANRE </w:t>
      </w:r>
      <w:r w:rsidR="00DB0A62" w:rsidRPr="005A629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aprobă realizarea, de către </w:t>
      </w:r>
      <w:r w:rsidR="00DB0A62" w:rsidRPr="005A6295">
        <w:rPr>
          <w:rFonts w:ascii="Times New Roman" w:hAnsi="Times New Roman" w:cs="Times New Roman"/>
          <w:bCs/>
          <w:sz w:val="24"/>
          <w:szCs w:val="24"/>
        </w:rPr>
        <w:t>operatorul de transport și de sistem și operatorii de distribuție,</w:t>
      </w:r>
      <w:r w:rsidR="00DB0A62" w:rsidRPr="00D0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6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de </w:t>
      </w:r>
      <w:r w:rsidR="00E85EBA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instalaţii de </w:t>
      </w:r>
      <w:bookmarkStart w:id="1" w:name="_Hlk149130151"/>
      <w:r w:rsidR="00E85EBA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producere a energiei electrice</w:t>
      </w:r>
      <w:r w:rsidR="00E2021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din surse regenerabile</w:t>
      </w:r>
      <w:r w:rsidR="0091074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B227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amplasate</w:t>
      </w:r>
      <w:r w:rsidR="009B2276" w:rsidRPr="00D0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276" w:rsidRPr="00D00096">
        <w:rPr>
          <w:rFonts w:ascii="Times New Roman" w:hAnsi="Times New Roman" w:cs="Times New Roman"/>
          <w:sz w:val="24"/>
          <w:szCs w:val="24"/>
        </w:rPr>
        <w:t>în stațiil</w:t>
      </w:r>
      <w:r w:rsidR="00EB6698" w:rsidRPr="00D00096">
        <w:rPr>
          <w:rFonts w:ascii="Times New Roman" w:hAnsi="Times New Roman" w:cs="Times New Roman"/>
          <w:sz w:val="24"/>
          <w:szCs w:val="24"/>
        </w:rPr>
        <w:t>e</w:t>
      </w:r>
      <w:r w:rsidR="009B2276" w:rsidRPr="00D00096">
        <w:rPr>
          <w:rFonts w:ascii="Times New Roman" w:hAnsi="Times New Roman" w:cs="Times New Roman"/>
          <w:sz w:val="24"/>
          <w:szCs w:val="24"/>
        </w:rPr>
        <w:t xml:space="preserve"> electrice</w:t>
      </w:r>
      <w:r w:rsidR="00AF2377" w:rsidRPr="00D00096">
        <w:rPr>
          <w:rFonts w:ascii="Times New Roman" w:hAnsi="Times New Roman" w:cs="Times New Roman"/>
          <w:sz w:val="24"/>
          <w:szCs w:val="24"/>
        </w:rPr>
        <w:t xml:space="preserve"> de</w:t>
      </w:r>
      <w:r w:rsidR="009B2276" w:rsidRPr="00D00096">
        <w:rPr>
          <w:rFonts w:ascii="Times New Roman" w:hAnsi="Times New Roman" w:cs="Times New Roman"/>
          <w:sz w:val="24"/>
          <w:szCs w:val="24"/>
        </w:rPr>
        <w:t xml:space="preserve"> transformare proprii</w:t>
      </w:r>
      <w:r w:rsidR="00E85EBA" w:rsidRPr="00D00096">
        <w:rPr>
          <w:rFonts w:ascii="Times New Roman" w:eastAsia="Times New Roman" w:hAnsi="Times New Roman" w:cs="Times New Roman"/>
          <w:spacing w:val="5"/>
          <w:kern w:val="28"/>
          <w:sz w:val="24"/>
          <w:szCs w:val="24"/>
          <w:lang w:bidi="en-US"/>
        </w:rPr>
        <w:t>.</w:t>
      </w:r>
    </w:p>
    <w:bookmarkEnd w:id="1"/>
    <w:p w14:paraId="5DE736ED" w14:textId="43536F3A" w:rsidR="0029670E" w:rsidRPr="00D00096" w:rsidRDefault="002D5D4F" w:rsidP="00552A6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D00096">
        <w:rPr>
          <w:rFonts w:ascii="Times New Roman" w:hAnsi="Times New Roman" w:cs="Times New Roman"/>
          <w:sz w:val="24"/>
          <w:szCs w:val="24"/>
        </w:rPr>
        <w:t>(</w:t>
      </w:r>
      <w:r w:rsidR="0029670E" w:rsidRPr="00D00096">
        <w:rPr>
          <w:rFonts w:ascii="Times New Roman" w:hAnsi="Times New Roman" w:cs="Times New Roman"/>
          <w:sz w:val="24"/>
          <w:szCs w:val="24"/>
        </w:rPr>
        <w:t>2)</w:t>
      </w:r>
      <w:r w:rsidR="0029670E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C2461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</w:t>
      </w:r>
      <w:r w:rsidR="00AF2377" w:rsidRPr="00D00096">
        <w:rPr>
          <w:rFonts w:ascii="Times New Roman" w:hAnsi="Times New Roman" w:cs="Times New Roman"/>
          <w:sz w:val="24"/>
          <w:szCs w:val="24"/>
        </w:rPr>
        <w:t>nergia electrică</w:t>
      </w:r>
      <w:r w:rsidR="00AF2377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3105B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generată de </w:t>
      </w:r>
      <w:r w:rsidR="00AF2377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instalaţii</w:t>
      </w:r>
      <w:r w:rsidR="00C3105B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le</w:t>
      </w:r>
      <w:r w:rsidR="00AF2377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de producere </w:t>
      </w:r>
      <w:r w:rsidR="00785D8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prevăzute la alin. (1)</w:t>
      </w:r>
      <w:r w:rsidR="001D77E5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246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este utilizată de </w:t>
      </w:r>
      <w:r w:rsidR="006A578D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OTS/OD</w:t>
      </w:r>
      <w:r w:rsidR="006A578D" w:rsidRPr="00D00096">
        <w:rPr>
          <w:rFonts w:ascii="Times New Roman" w:hAnsi="Times New Roman" w:cs="Times New Roman"/>
          <w:sz w:val="24"/>
          <w:szCs w:val="24"/>
        </w:rPr>
        <w:t xml:space="preserve"> </w:t>
      </w:r>
      <w:r w:rsidR="00D86B5E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exclusiv </w:t>
      </w:r>
      <w:r w:rsidR="00BF28F7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pentru </w:t>
      </w:r>
      <w:r w:rsidR="00785D82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acoperirea</w:t>
      </w:r>
      <w:r w:rsidR="00AF2377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consumului</w:t>
      </w:r>
      <w:r w:rsidR="006052F0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propriu </w:t>
      </w:r>
      <w:r w:rsidR="00D41D6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di</w:t>
      </w:r>
      <w:r w:rsidR="00AF2377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n sta</w:t>
      </w:r>
      <w:r w:rsidR="007C5350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ț</w:t>
      </w:r>
      <w:r w:rsidR="00AF2377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i</w:t>
      </w:r>
      <w:r w:rsidR="00D41D6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a electrică</w:t>
      </w:r>
      <w:r w:rsidR="00AF2377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de transformare</w:t>
      </w:r>
      <w:r w:rsidR="001D77E5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D41D6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în care sunt instalate</w:t>
      </w:r>
      <w:r w:rsidR="00AF2377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14:paraId="0A3311E5" w14:textId="72DEE34D" w:rsidR="00B67AD9" w:rsidRPr="00D00096" w:rsidRDefault="00785D82" w:rsidP="00552A6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(</w:t>
      </w:r>
      <w:r w:rsidR="0029670E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OTS/OD asigură managementul energiei</w:t>
      </w:r>
      <w:r w:rsidR="001D77E5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electrice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produs</w:t>
      </w:r>
      <w:r w:rsidR="008E5D21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 de instalaţiile prevăzute la alin. (1)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pentru a </w:t>
      </w:r>
      <w:r w:rsidR="00C86B7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evita 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evacuarea în reţeaua 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electrică de interes public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a energiei electrice 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generat</w:t>
      </w:r>
      <w:r w:rsidR="008E5D21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de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53571C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aceste instalații</w:t>
      </w:r>
      <w:r w:rsidR="00B67AD9" w:rsidRPr="00D0009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14:paraId="644231F7" w14:textId="77777777" w:rsidR="00BF6311" w:rsidRPr="00167B84" w:rsidRDefault="00BF6311" w:rsidP="00167B8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167B84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14:paraId="5A83BE46" w14:textId="77777777" w:rsidR="00BF6311" w:rsidRPr="00167B84" w:rsidRDefault="00BF6311" w:rsidP="00167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hAnsi="Times New Roman" w:cs="Times New Roman"/>
          <w:b/>
          <w:sz w:val="24"/>
          <w:szCs w:val="24"/>
        </w:rPr>
        <w:t>Domeniu de aplicare</w:t>
      </w:r>
    </w:p>
    <w:p w14:paraId="0B2772B4" w14:textId="2FA65D6C" w:rsidR="000C22A4" w:rsidRPr="00D00096" w:rsidRDefault="00BF6311" w:rsidP="00552A6D">
      <w:pPr>
        <w:numPr>
          <w:ilvl w:val="0"/>
          <w:numId w:val="36"/>
        </w:numPr>
        <w:tabs>
          <w:tab w:val="left" w:pos="709"/>
        </w:tabs>
        <w:spacing w:before="120"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00096">
        <w:rPr>
          <w:rFonts w:ascii="Times New Roman" w:hAnsi="Times New Roman" w:cs="Times New Roman"/>
          <w:sz w:val="24"/>
          <w:szCs w:val="24"/>
        </w:rPr>
        <w:t xml:space="preserve">Prezenta </w:t>
      </w:r>
      <w:r w:rsidR="002B42FB" w:rsidRPr="00D00096">
        <w:rPr>
          <w:rFonts w:ascii="Times New Roman" w:hAnsi="Times New Roman" w:cs="Times New Roman"/>
          <w:sz w:val="24"/>
          <w:szCs w:val="24"/>
        </w:rPr>
        <w:t>procedură</w:t>
      </w:r>
      <w:r w:rsidRPr="00D00096">
        <w:rPr>
          <w:rFonts w:ascii="Times New Roman" w:hAnsi="Times New Roman" w:cs="Times New Roman"/>
          <w:sz w:val="24"/>
          <w:szCs w:val="24"/>
        </w:rPr>
        <w:t xml:space="preserve"> se aplică </w:t>
      </w:r>
      <w:r w:rsidR="000C22A4" w:rsidRPr="00D00096">
        <w:rPr>
          <w:rFonts w:ascii="Times New Roman" w:hAnsi="Times New Roman" w:cs="Times New Roman"/>
          <w:sz w:val="24"/>
          <w:szCs w:val="24"/>
        </w:rPr>
        <w:t xml:space="preserve">de către </w:t>
      </w:r>
      <w:r w:rsidR="0020074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OTS/OD</w:t>
      </w:r>
      <w:r w:rsidR="000C22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care solicită ANRE </w:t>
      </w:r>
      <w:r w:rsidR="00374440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aprobarea </w:t>
      </w:r>
      <w:r w:rsidR="00C86B7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realizării unei</w:t>
      </w:r>
      <w:r w:rsidR="000C22A4" w:rsidRPr="00D00096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 </w:t>
      </w:r>
      <w:r w:rsidR="000C22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instalaţii de producere</w:t>
      </w:r>
      <w:r w:rsidR="0020074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C22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 energiei electrice din surse regenerabile amplasate în incinta </w:t>
      </w:r>
      <w:r w:rsidR="00C86B7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unei </w:t>
      </w:r>
      <w:r w:rsidR="000C22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stații electrice de transformare</w:t>
      </w:r>
      <w:r w:rsidR="00C86B7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proprii</w:t>
      </w:r>
      <w:r w:rsidR="000C22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3680CC1" w14:textId="77777777" w:rsidR="00BF6311" w:rsidRPr="00167B84" w:rsidRDefault="00BF6311" w:rsidP="00167B8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167B84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14:paraId="49BE05C7" w14:textId="77777777" w:rsidR="00BF6311" w:rsidRPr="00167B84" w:rsidRDefault="00BF6311" w:rsidP="00167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hAnsi="Times New Roman" w:cs="Times New Roman"/>
          <w:b/>
          <w:sz w:val="24"/>
          <w:szCs w:val="24"/>
        </w:rPr>
        <w:t>Defini</w:t>
      </w:r>
      <w:r w:rsidR="00043683" w:rsidRPr="00167B84">
        <w:rPr>
          <w:rFonts w:ascii="Times New Roman" w:hAnsi="Times New Roman" w:cs="Times New Roman"/>
          <w:b/>
          <w:sz w:val="24"/>
          <w:szCs w:val="24"/>
        </w:rPr>
        <w:t>ț</w:t>
      </w:r>
      <w:r w:rsidRPr="00167B84">
        <w:rPr>
          <w:rFonts w:ascii="Times New Roman" w:hAnsi="Times New Roman" w:cs="Times New Roman"/>
          <w:b/>
          <w:sz w:val="24"/>
          <w:szCs w:val="24"/>
        </w:rPr>
        <w:t>ii</w:t>
      </w:r>
      <w:r w:rsidR="001119A3" w:rsidRPr="00167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944" w:rsidRPr="00167B84">
        <w:rPr>
          <w:rFonts w:ascii="Times New Roman" w:hAnsi="Times New Roman" w:cs="Times New Roman"/>
          <w:b/>
          <w:sz w:val="24"/>
          <w:szCs w:val="24"/>
        </w:rPr>
        <w:t>ș</w:t>
      </w:r>
      <w:r w:rsidR="001119A3" w:rsidRPr="00167B84">
        <w:rPr>
          <w:rFonts w:ascii="Times New Roman" w:hAnsi="Times New Roman" w:cs="Times New Roman"/>
          <w:b/>
          <w:sz w:val="24"/>
          <w:szCs w:val="24"/>
        </w:rPr>
        <w:t>i abrevieri</w:t>
      </w:r>
    </w:p>
    <w:p w14:paraId="19F08FF1" w14:textId="77777777" w:rsidR="00C356A5" w:rsidRPr="005A6295" w:rsidRDefault="00634BFA" w:rsidP="00552A6D">
      <w:pPr>
        <w:pStyle w:val="Heading1"/>
        <w:spacing w:after="0"/>
        <w:jc w:val="both"/>
        <w:rPr>
          <w:rFonts w:cs="Times New Roman"/>
          <w:b w:val="0"/>
          <w:sz w:val="24"/>
          <w:szCs w:val="24"/>
          <w:lang w:val="pt-BR"/>
        </w:rPr>
      </w:pPr>
      <w:r w:rsidRPr="00D00096">
        <w:rPr>
          <w:rFonts w:cs="Times New Roman"/>
          <w:b w:val="0"/>
          <w:sz w:val="24"/>
          <w:szCs w:val="24"/>
        </w:rPr>
        <w:t xml:space="preserve">Art. </w:t>
      </w:r>
      <w:r w:rsidR="00BF6311" w:rsidRPr="00D00096">
        <w:rPr>
          <w:rFonts w:cs="Times New Roman"/>
          <w:b w:val="0"/>
          <w:sz w:val="24"/>
          <w:szCs w:val="24"/>
        </w:rPr>
        <w:t>3</w:t>
      </w:r>
      <w:r w:rsidR="00B940FC" w:rsidRPr="00D00096">
        <w:rPr>
          <w:rFonts w:cs="Times New Roman"/>
          <w:b w:val="0"/>
          <w:sz w:val="24"/>
          <w:szCs w:val="24"/>
        </w:rPr>
        <w:t xml:space="preserve"> </w:t>
      </w:r>
      <w:r w:rsidRPr="00D00096">
        <w:rPr>
          <w:rFonts w:cs="Times New Roman"/>
          <w:b w:val="0"/>
          <w:sz w:val="24"/>
          <w:szCs w:val="24"/>
        </w:rPr>
        <w:t>-</w:t>
      </w:r>
      <w:r w:rsidR="00B940FC" w:rsidRPr="00D00096">
        <w:rPr>
          <w:rFonts w:cs="Times New Roman"/>
          <w:b w:val="0"/>
          <w:sz w:val="24"/>
          <w:szCs w:val="24"/>
        </w:rPr>
        <w:t xml:space="preserve"> </w:t>
      </w:r>
      <w:r w:rsidRPr="00D00096">
        <w:rPr>
          <w:rFonts w:cs="Times New Roman"/>
          <w:b w:val="0"/>
          <w:bCs/>
          <w:sz w:val="24"/>
          <w:szCs w:val="24"/>
        </w:rPr>
        <w:t>(1)</w:t>
      </w:r>
      <w:r w:rsidR="00B940FC" w:rsidRPr="00D00096">
        <w:rPr>
          <w:rFonts w:cs="Times New Roman"/>
          <w:b w:val="0"/>
          <w:bCs/>
          <w:sz w:val="24"/>
          <w:szCs w:val="24"/>
        </w:rPr>
        <w:t xml:space="preserve"> </w:t>
      </w:r>
      <w:r w:rsidR="007D70A8" w:rsidRPr="00D00096">
        <w:rPr>
          <w:rFonts w:cs="Times New Roman"/>
          <w:b w:val="0"/>
          <w:sz w:val="24"/>
          <w:szCs w:val="24"/>
        </w:rPr>
        <w:t>Termenii utiliza</w:t>
      </w:r>
      <w:r w:rsidR="00200742" w:rsidRPr="00D00096">
        <w:rPr>
          <w:rFonts w:cs="Times New Roman"/>
          <w:b w:val="0"/>
          <w:sz w:val="24"/>
          <w:szCs w:val="24"/>
        </w:rPr>
        <w:t>ţi</w:t>
      </w:r>
      <w:r w:rsidR="007D70A8" w:rsidRPr="00D00096">
        <w:rPr>
          <w:rFonts w:cs="Times New Roman"/>
          <w:b w:val="0"/>
          <w:sz w:val="24"/>
          <w:szCs w:val="24"/>
        </w:rPr>
        <w:t xml:space="preserve"> în prezenta </w:t>
      </w:r>
      <w:r w:rsidR="002B1D91" w:rsidRPr="00D00096">
        <w:rPr>
          <w:rFonts w:cs="Times New Roman"/>
          <w:b w:val="0"/>
          <w:sz w:val="24"/>
          <w:szCs w:val="24"/>
        </w:rPr>
        <w:t>Procedură</w:t>
      </w:r>
      <w:r w:rsidR="007D70A8" w:rsidRPr="00D00096">
        <w:rPr>
          <w:rFonts w:cs="Times New Roman"/>
          <w:b w:val="0"/>
          <w:sz w:val="24"/>
          <w:szCs w:val="24"/>
        </w:rPr>
        <w:t xml:space="preserve"> sunt defini</w:t>
      </w:r>
      <w:r w:rsidR="00043683" w:rsidRPr="00D00096">
        <w:rPr>
          <w:rFonts w:cs="Times New Roman"/>
          <w:b w:val="0"/>
          <w:sz w:val="24"/>
          <w:szCs w:val="24"/>
        </w:rPr>
        <w:t>ț</w:t>
      </w:r>
      <w:r w:rsidR="007D70A8" w:rsidRPr="00D00096">
        <w:rPr>
          <w:rFonts w:cs="Times New Roman"/>
          <w:b w:val="0"/>
          <w:sz w:val="24"/>
          <w:szCs w:val="24"/>
        </w:rPr>
        <w:t>i în</w:t>
      </w:r>
      <w:r w:rsidR="00C356A5" w:rsidRPr="005A6295">
        <w:rPr>
          <w:rFonts w:cs="Times New Roman"/>
          <w:b w:val="0"/>
          <w:sz w:val="24"/>
          <w:szCs w:val="24"/>
          <w:lang w:val="pt-BR"/>
        </w:rPr>
        <w:t>:</w:t>
      </w:r>
    </w:p>
    <w:p w14:paraId="3CCED290" w14:textId="77777777" w:rsidR="00032C77" w:rsidRPr="00D00096" w:rsidRDefault="007D70A8" w:rsidP="005A6295">
      <w:pPr>
        <w:pStyle w:val="ListParagraph"/>
        <w:numPr>
          <w:ilvl w:val="0"/>
          <w:numId w:val="42"/>
        </w:numPr>
        <w:tabs>
          <w:tab w:val="left" w:pos="270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 xml:space="preserve">Legea energiei electrice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 xml:space="preserve">i a gazelor naturale nr. 123/2012, cu modificările </w:t>
      </w:r>
      <w:r w:rsidR="00667944" w:rsidRPr="00D00096">
        <w:rPr>
          <w:rFonts w:ascii="Times New Roman" w:hAnsi="Times New Roman" w:cs="Times New Roman"/>
          <w:sz w:val="24"/>
          <w:szCs w:val="24"/>
        </w:rPr>
        <w:t>ș</w:t>
      </w:r>
      <w:r w:rsidRPr="00D00096">
        <w:rPr>
          <w:rFonts w:ascii="Times New Roman" w:hAnsi="Times New Roman" w:cs="Times New Roman"/>
          <w:sz w:val="24"/>
          <w:szCs w:val="24"/>
        </w:rPr>
        <w:t>i completările ulterioare.</w:t>
      </w:r>
      <w:r w:rsidR="00032C77" w:rsidRPr="00D00096">
        <w:rPr>
          <w:rFonts w:ascii="Times New Roman" w:hAnsi="Times New Roman" w:cs="Times New Roman"/>
          <w:sz w:val="24"/>
          <w:szCs w:val="24"/>
        </w:rPr>
        <w:t>;</w:t>
      </w:r>
    </w:p>
    <w:p w14:paraId="6570B920" w14:textId="77777777" w:rsidR="00513C89" w:rsidRPr="00D00096" w:rsidRDefault="00513C89" w:rsidP="004E4C8F">
      <w:pPr>
        <w:pStyle w:val="ListParagraph"/>
        <w:numPr>
          <w:ilvl w:val="0"/>
          <w:numId w:val="42"/>
        </w:numPr>
        <w:tabs>
          <w:tab w:val="left" w:pos="270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eastAsia="Calibri" w:hAnsi="Times New Roman" w:cs="Times New Roman"/>
          <w:iCs/>
          <w:sz w:val="24"/>
          <w:szCs w:val="24"/>
        </w:rPr>
        <w:t>Procedura privind fundamentarea şi aprobarea planurilor de dezvoltare şi de investiţii ale operatorului de transport şi de sistem şi ale operatorilor de distribuţie a energiei electrice,</w:t>
      </w:r>
      <w:r w:rsidRPr="00D00096">
        <w:rPr>
          <w:rFonts w:ascii="Times New Roman" w:eastAsia="Calibri" w:hAnsi="Times New Roman" w:cs="Times New Roman"/>
          <w:sz w:val="24"/>
          <w:szCs w:val="24"/>
        </w:rPr>
        <w:t xml:space="preserve"> aprobată prin Ordinul ANRE nr. 98/2022, cu completările ulterioare</w:t>
      </w:r>
      <w:r w:rsidR="00547BDD" w:rsidRPr="00D0009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7AE029" w14:textId="77777777" w:rsidR="00710F41" w:rsidRPr="00D00096" w:rsidRDefault="00710F41" w:rsidP="00552A6D">
      <w:pPr>
        <w:pStyle w:val="ListParagraph"/>
        <w:numPr>
          <w:ilvl w:val="3"/>
          <w:numId w:val="37"/>
        </w:numPr>
        <w:tabs>
          <w:tab w:val="left" w:pos="360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2" w:name="_Hlk149137884"/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Abrevierile utilizate în cadrul </w:t>
      </w:r>
      <w:r w:rsidR="00200742" w:rsidRPr="00D00096">
        <w:rPr>
          <w:rFonts w:ascii="Times New Roman" w:hAnsi="Times New Roman" w:cs="Times New Roman"/>
          <w:sz w:val="24"/>
          <w:szCs w:val="24"/>
        </w:rPr>
        <w:t>prezentei proceduri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au următoarele semnificații:</w:t>
      </w:r>
    </w:p>
    <w:p w14:paraId="74F64F12" w14:textId="77777777" w:rsidR="00710F41" w:rsidRPr="00D00096" w:rsidRDefault="00710F41" w:rsidP="00552A6D">
      <w:pPr>
        <w:numPr>
          <w:ilvl w:val="0"/>
          <w:numId w:val="38"/>
        </w:numPr>
        <w:tabs>
          <w:tab w:val="clear" w:pos="108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3" w:name="_Hlk149137861"/>
      <w:bookmarkEnd w:id="2"/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ANRE </w:t>
      </w:r>
      <w:bookmarkStart w:id="4" w:name="_Hlk77764012"/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bookmarkEnd w:id="4"/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Autoritatea Naţională de Reglementare în Domeniul Energiei;</w:t>
      </w:r>
    </w:p>
    <w:p w14:paraId="28445F00" w14:textId="77777777" w:rsidR="00710F41" w:rsidRPr="00D00096" w:rsidRDefault="00710F41" w:rsidP="00552A6D">
      <w:pPr>
        <w:numPr>
          <w:ilvl w:val="0"/>
          <w:numId w:val="38"/>
        </w:numPr>
        <w:tabs>
          <w:tab w:val="clear" w:pos="1080"/>
          <w:tab w:val="num" w:pos="27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OD – operator de distribuție</w:t>
      </w:r>
      <w:r w:rsidR="00941D90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concesionar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61FD4768" w14:textId="77777777" w:rsidR="00710F41" w:rsidRPr="00D00096" w:rsidRDefault="00710F41" w:rsidP="00552A6D">
      <w:pPr>
        <w:numPr>
          <w:ilvl w:val="0"/>
          <w:numId w:val="38"/>
        </w:numPr>
        <w:tabs>
          <w:tab w:val="clear" w:pos="1080"/>
          <w:tab w:val="num" w:pos="27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OTS – operator de transport și de sistem</w:t>
      </w:r>
      <w:r w:rsidR="00C24617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bookmarkEnd w:id="3"/>
    <w:p w14:paraId="4CA95AC4" w14:textId="77777777" w:rsidR="00BF6311" w:rsidRPr="00D00096" w:rsidRDefault="00634BFA" w:rsidP="00552A6D">
      <w:pPr>
        <w:pStyle w:val="Heading1"/>
        <w:numPr>
          <w:ilvl w:val="3"/>
          <w:numId w:val="37"/>
        </w:numPr>
        <w:tabs>
          <w:tab w:val="left" w:pos="360"/>
        </w:tabs>
        <w:spacing w:after="0"/>
        <w:ind w:left="0" w:firstLine="0"/>
        <w:jc w:val="both"/>
        <w:rPr>
          <w:rFonts w:cs="Times New Roman"/>
          <w:b w:val="0"/>
          <w:sz w:val="24"/>
          <w:szCs w:val="24"/>
        </w:rPr>
      </w:pPr>
      <w:r w:rsidRPr="00D00096">
        <w:rPr>
          <w:rFonts w:cs="Times New Roman"/>
          <w:b w:val="0"/>
          <w:sz w:val="24"/>
          <w:szCs w:val="24"/>
        </w:rPr>
        <w:lastRenderedPageBreak/>
        <w:t xml:space="preserve">Termenii </w:t>
      </w:r>
      <w:r w:rsidR="00B940FC" w:rsidRPr="00D00096">
        <w:rPr>
          <w:rFonts w:cs="Times New Roman"/>
          <w:b w:val="0"/>
          <w:sz w:val="24"/>
          <w:szCs w:val="24"/>
        </w:rPr>
        <w:t xml:space="preserve">utilizați </w:t>
      </w:r>
      <w:r w:rsidRPr="00D00096">
        <w:rPr>
          <w:rFonts w:cs="Times New Roman"/>
          <w:b w:val="0"/>
          <w:sz w:val="24"/>
          <w:szCs w:val="24"/>
        </w:rPr>
        <w:t xml:space="preserve">în prezenta </w:t>
      </w:r>
      <w:r w:rsidR="00200742" w:rsidRPr="00D00096">
        <w:rPr>
          <w:rFonts w:cs="Times New Roman"/>
          <w:b w:val="0"/>
          <w:sz w:val="24"/>
          <w:szCs w:val="24"/>
        </w:rPr>
        <w:t>p</w:t>
      </w:r>
      <w:r w:rsidR="001B39CA" w:rsidRPr="00D00096">
        <w:rPr>
          <w:rFonts w:cs="Times New Roman"/>
          <w:b w:val="0"/>
          <w:sz w:val="24"/>
          <w:szCs w:val="24"/>
        </w:rPr>
        <w:t>rocedură</w:t>
      </w:r>
      <w:r w:rsidRPr="00D00096">
        <w:rPr>
          <w:rFonts w:cs="Times New Roman"/>
          <w:b w:val="0"/>
          <w:sz w:val="24"/>
          <w:szCs w:val="24"/>
        </w:rPr>
        <w:t xml:space="preserve"> au următoarele</w:t>
      </w:r>
      <w:r w:rsidR="007D70A8" w:rsidRPr="00D00096">
        <w:rPr>
          <w:rFonts w:cs="Times New Roman"/>
          <w:b w:val="0"/>
          <w:sz w:val="24"/>
          <w:szCs w:val="24"/>
        </w:rPr>
        <w:t xml:space="preserve"> semnifica</w:t>
      </w:r>
      <w:r w:rsidR="00043683" w:rsidRPr="00D00096">
        <w:rPr>
          <w:rFonts w:cs="Times New Roman"/>
          <w:b w:val="0"/>
          <w:sz w:val="24"/>
          <w:szCs w:val="24"/>
        </w:rPr>
        <w:t>ț</w:t>
      </w:r>
      <w:r w:rsidR="007D70A8" w:rsidRPr="00D00096">
        <w:rPr>
          <w:rFonts w:cs="Times New Roman"/>
          <w:b w:val="0"/>
          <w:sz w:val="24"/>
          <w:szCs w:val="24"/>
        </w:rPr>
        <w:t>ii:</w:t>
      </w:r>
    </w:p>
    <w:p w14:paraId="180BDFF5" w14:textId="123CA539" w:rsidR="00E347A4" w:rsidRPr="00D00096" w:rsidRDefault="00E347A4" w:rsidP="00552A6D">
      <w:pPr>
        <w:pStyle w:val="ListParagraph"/>
        <w:numPr>
          <w:ilvl w:val="0"/>
          <w:numId w:val="7"/>
        </w:numPr>
        <w:tabs>
          <w:tab w:val="left" w:pos="180"/>
          <w:tab w:val="left" w:pos="270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>consum propriu al stației de transformare</w:t>
      </w:r>
      <w:r w:rsidR="00D41D69" w:rsidRPr="00D00096">
        <w:rPr>
          <w:rFonts w:ascii="Times New Roman" w:hAnsi="Times New Roman" w:cs="Times New Roman"/>
          <w:sz w:val="24"/>
          <w:szCs w:val="24"/>
        </w:rPr>
        <w:t xml:space="preserve"> </w:t>
      </w:r>
      <w:r w:rsidRPr="00D00096">
        <w:rPr>
          <w:rFonts w:ascii="Times New Roman" w:hAnsi="Times New Roman" w:cs="Times New Roman"/>
          <w:sz w:val="24"/>
          <w:szCs w:val="24"/>
        </w:rPr>
        <w:t>- consumul de energie electrică dintr-o stație de transformare necesar pentru alimentarea consumurilor administrative și/sau a serviciilor proprii</w:t>
      </w:r>
      <w:r w:rsidR="00C86B79" w:rsidRPr="00D00096">
        <w:rPr>
          <w:rFonts w:ascii="Times New Roman" w:hAnsi="Times New Roman" w:cs="Times New Roman"/>
          <w:sz w:val="24"/>
          <w:szCs w:val="24"/>
        </w:rPr>
        <w:t xml:space="preserve"> ale staţiei</w:t>
      </w:r>
      <w:r w:rsidR="00C24617">
        <w:rPr>
          <w:rFonts w:ascii="Times New Roman" w:hAnsi="Times New Roman" w:cs="Times New Roman"/>
          <w:sz w:val="24"/>
          <w:szCs w:val="24"/>
        </w:rPr>
        <w:t>.</w:t>
      </w:r>
    </w:p>
    <w:p w14:paraId="1A9B69D0" w14:textId="77777777" w:rsidR="00B940FC" w:rsidRPr="00D00096" w:rsidRDefault="00B940FC" w:rsidP="00552A6D">
      <w:pPr>
        <w:spacing w:before="120"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highlight w:val="yellow"/>
        </w:rPr>
      </w:pPr>
    </w:p>
    <w:p w14:paraId="5736FFB1" w14:textId="77777777" w:rsidR="00BF6311" w:rsidRPr="00167B84" w:rsidRDefault="00BF6311" w:rsidP="00167B8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167B84">
        <w:rPr>
          <w:rFonts w:ascii="Times New Roman" w:hAnsi="Times New Roman" w:cs="Times New Roman"/>
          <w:b/>
          <w:sz w:val="24"/>
          <w:szCs w:val="24"/>
        </w:rPr>
        <w:t xml:space="preserve"> IV</w:t>
      </w:r>
    </w:p>
    <w:p w14:paraId="73FC0CCD" w14:textId="385BC465" w:rsidR="005912C5" w:rsidRPr="00D00096" w:rsidRDefault="005912C5" w:rsidP="00552A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167B8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Reguli</w:t>
      </w:r>
      <w:r w:rsidR="00E210DD" w:rsidRPr="00167B8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167B8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privind </w:t>
      </w:r>
      <w:r w:rsidR="00E210DD" w:rsidRPr="00167B8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aprobarea </w:t>
      </w:r>
      <w:r w:rsidR="00E210DD" w:rsidRPr="005A629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unei</w:t>
      </w:r>
      <w:r w:rsidRPr="00167B8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776062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instalaţii de producere a energiei electrice din surse regenerabile </w:t>
      </w:r>
      <w:r w:rsidR="00E210DD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realizate de OTS/OD şi </w:t>
      </w:r>
      <w:r w:rsidR="00776062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amplasate în incinta </w:t>
      </w:r>
      <w:r w:rsidR="00E210DD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unei </w:t>
      </w:r>
      <w:r w:rsidR="00776062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stații electrice de transformare</w:t>
      </w:r>
      <w:r w:rsidR="00E210DD"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proprii</w:t>
      </w:r>
    </w:p>
    <w:p w14:paraId="27841D12" w14:textId="77777777" w:rsidR="005912C5" w:rsidRPr="00D00096" w:rsidRDefault="005912C5" w:rsidP="00552A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125BF41D" w14:textId="64738D4A" w:rsidR="005767A7" w:rsidRPr="00D00096" w:rsidRDefault="005767A7" w:rsidP="00552A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096">
        <w:rPr>
          <w:rFonts w:ascii="Times New Roman" w:hAnsi="Times New Roman" w:cs="Times New Roman"/>
          <w:sz w:val="24"/>
          <w:szCs w:val="24"/>
        </w:rPr>
        <w:t>Art. 4</w:t>
      </w:r>
      <w:r w:rsidR="00447BFA" w:rsidRPr="00D00096">
        <w:rPr>
          <w:rFonts w:ascii="Times New Roman" w:hAnsi="Times New Roman" w:cs="Times New Roman"/>
          <w:sz w:val="24"/>
          <w:szCs w:val="24"/>
        </w:rPr>
        <w:t xml:space="preserve"> </w:t>
      </w:r>
      <w:r w:rsidR="00CA372D" w:rsidRPr="00D00096">
        <w:rPr>
          <w:rFonts w:ascii="Times New Roman" w:hAnsi="Times New Roman" w:cs="Times New Roman"/>
          <w:sz w:val="24"/>
          <w:szCs w:val="24"/>
        </w:rPr>
        <w:t xml:space="preserve">- </w:t>
      </w:r>
      <w:r w:rsidRPr="00D00096">
        <w:rPr>
          <w:rFonts w:ascii="Times New Roman" w:hAnsi="Times New Roman" w:cs="Times New Roman"/>
          <w:sz w:val="24"/>
          <w:szCs w:val="24"/>
        </w:rPr>
        <w:t>(</w:t>
      </w:r>
      <w:r w:rsidRPr="00D00096">
        <w:rPr>
          <w:rFonts w:ascii="Times New Roman" w:hAnsi="Times New Roman" w:cs="Times New Roman"/>
          <w:bCs/>
          <w:sz w:val="24"/>
          <w:szCs w:val="24"/>
        </w:rPr>
        <w:t>1)</w:t>
      </w:r>
      <w:r w:rsidRPr="00D00096">
        <w:rPr>
          <w:rFonts w:ascii="Times New Roman" w:hAnsi="Times New Roman" w:cs="Times New Roman"/>
          <w:sz w:val="24"/>
          <w:szCs w:val="24"/>
        </w:rPr>
        <w:t xml:space="preserve">  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ANRE poate să </w:t>
      </w:r>
      <w:r w:rsidR="00C86B79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aprobe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B75AE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instalaţii de producere a energiei electrice din surse regenerabile</w:t>
      </w:r>
      <w:r w:rsidR="00C86B7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amplasate</w:t>
      </w:r>
      <w:r w:rsidR="00B75AE2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75AE2" w:rsidRPr="00D00096">
        <w:rPr>
          <w:rFonts w:ascii="Times New Roman" w:hAnsi="Times New Roman" w:cs="Times New Roman"/>
          <w:sz w:val="24"/>
          <w:szCs w:val="24"/>
        </w:rPr>
        <w:t>în</w:t>
      </w:r>
      <w:r w:rsidR="0044105C" w:rsidRPr="00D00096">
        <w:rPr>
          <w:rFonts w:ascii="Times New Roman" w:hAnsi="Times New Roman" w:cs="Times New Roman"/>
          <w:sz w:val="24"/>
          <w:szCs w:val="24"/>
        </w:rPr>
        <w:t xml:space="preserve"> incinta</w:t>
      </w:r>
      <w:r w:rsidR="00B75AE2" w:rsidRPr="00D00096">
        <w:rPr>
          <w:rFonts w:ascii="Times New Roman" w:hAnsi="Times New Roman" w:cs="Times New Roman"/>
          <w:sz w:val="24"/>
          <w:szCs w:val="24"/>
        </w:rPr>
        <w:t xml:space="preserve"> stațiil</w:t>
      </w:r>
      <w:r w:rsidR="0044105C" w:rsidRPr="00D00096">
        <w:rPr>
          <w:rFonts w:ascii="Times New Roman" w:hAnsi="Times New Roman" w:cs="Times New Roman"/>
          <w:sz w:val="24"/>
          <w:szCs w:val="24"/>
        </w:rPr>
        <w:t>or</w:t>
      </w:r>
      <w:r w:rsidR="00B75AE2" w:rsidRPr="00D00096">
        <w:rPr>
          <w:rFonts w:ascii="Times New Roman" w:hAnsi="Times New Roman" w:cs="Times New Roman"/>
          <w:sz w:val="24"/>
          <w:szCs w:val="24"/>
        </w:rPr>
        <w:t xml:space="preserve"> electrice de transformare proprii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în condițiile prezentei </w:t>
      </w:r>
      <w:r w:rsidR="002B1D91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P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roceduri.</w:t>
      </w:r>
      <w:r w:rsidRPr="00D00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0B554" w14:textId="40003915" w:rsidR="00BF4DA1" w:rsidRPr="00D00096" w:rsidRDefault="00C86B79" w:rsidP="00552A6D">
      <w:pPr>
        <w:pStyle w:val="ListParagraph"/>
        <w:numPr>
          <w:ilvl w:val="3"/>
          <w:numId w:val="38"/>
        </w:numPr>
        <w:tabs>
          <w:tab w:val="left" w:pos="450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Aprobarea</w:t>
      </w:r>
      <w:r w:rsidR="008F737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prevăzut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ă</w:t>
      </w:r>
      <w:r w:rsidR="008F737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la alin. (1)</w:t>
      </w:r>
      <w:bookmarkStart w:id="5" w:name="_Hlk149646944"/>
      <w:r w:rsidR="00BF4DA1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bookmarkEnd w:id="5"/>
      <w:r w:rsidR="008F737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priveşte fiecare instalaţie</w:t>
      </w:r>
      <w:r w:rsidR="00BC0767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de producere şi </w:t>
      </w:r>
      <w:r w:rsidR="00BF4DA1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se fac</w:t>
      </w:r>
      <w:r w:rsidR="00D8781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e</w:t>
      </w:r>
      <w:r w:rsidR="00BF4DA1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prin decizie</w:t>
      </w:r>
      <w:r w:rsidR="008F737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 preşedintelui ANRE</w:t>
      </w:r>
      <w:r w:rsidR="00BF4DA1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14:paraId="52294B94" w14:textId="639AB55D" w:rsidR="007C7B64" w:rsidRPr="00D00096" w:rsidRDefault="004D789A" w:rsidP="00552A6D">
      <w:pPr>
        <w:pStyle w:val="ListParagraph"/>
        <w:tabs>
          <w:tab w:val="left" w:pos="360"/>
        </w:tabs>
        <w:spacing w:before="120"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Art. 5</w:t>
      </w:r>
      <w:r w:rsidR="00447BF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-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A7697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Pentru </w:t>
      </w:r>
      <w:r w:rsidR="0000002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aprobarea </w:t>
      </w:r>
      <w:r w:rsidR="0050108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unei </w:t>
      </w:r>
      <w:r w:rsidR="0050108B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instalaţii de producere a energiei electrice din surse regenerabile </w:t>
      </w:r>
      <w:r w:rsidR="0050108B" w:rsidRPr="00D00096">
        <w:rPr>
          <w:rFonts w:ascii="Times New Roman" w:hAnsi="Times New Roman" w:cs="Times New Roman"/>
          <w:sz w:val="24"/>
          <w:szCs w:val="24"/>
        </w:rPr>
        <w:t xml:space="preserve">în incinta </w:t>
      </w:r>
      <w:r w:rsidR="00C86B79" w:rsidRPr="00D00096">
        <w:rPr>
          <w:rFonts w:ascii="Times New Roman" w:hAnsi="Times New Roman" w:cs="Times New Roman"/>
          <w:sz w:val="24"/>
          <w:szCs w:val="24"/>
        </w:rPr>
        <w:t xml:space="preserve">unei </w:t>
      </w:r>
      <w:r w:rsidR="0050108B" w:rsidRPr="00D00096">
        <w:rPr>
          <w:rFonts w:ascii="Times New Roman" w:hAnsi="Times New Roman" w:cs="Times New Roman"/>
          <w:sz w:val="24"/>
          <w:szCs w:val="24"/>
        </w:rPr>
        <w:t xml:space="preserve">stații electrice de transformare proprii de către </w:t>
      </w:r>
      <w:r w:rsidR="0000002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ANRE</w:t>
      </w:r>
      <w:r w:rsidR="00A7697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, trebuie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A7697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să </w:t>
      </w:r>
      <w:r w:rsidR="0050108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fie îndeplinite</w:t>
      </w:r>
      <w:r w:rsidR="007C7B64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00002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următoarele</w:t>
      </w:r>
      <w:r w:rsidR="007C7B64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condiții:</w:t>
      </w:r>
    </w:p>
    <w:p w14:paraId="1545548B" w14:textId="3FE129D1" w:rsidR="00FF37DD" w:rsidRPr="00D00096" w:rsidRDefault="00C86B79" w:rsidP="00365085">
      <w:pPr>
        <w:pStyle w:val="ListParagraph"/>
        <w:numPr>
          <w:ilvl w:val="0"/>
          <w:numId w:val="41"/>
        </w:numPr>
        <w:tabs>
          <w:tab w:val="left" w:pos="360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e</w:t>
      </w:r>
      <w:r w:rsidR="0050108B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nergia electrică produsă este consumată exclusiv 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pentru alimentarea consumu</w:t>
      </w:r>
      <w:r w:rsidR="00E347A4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lui propriu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66535B">
        <w:rPr>
          <w:rFonts w:ascii="Times New Roman" w:eastAsia="Calibri" w:hAnsi="Times New Roman" w:cs="Times New Roman"/>
          <w:sz w:val="24"/>
          <w:szCs w:val="24"/>
          <w:lang w:eastAsia="ro-RO"/>
        </w:rPr>
        <w:t>al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stați</w:t>
      </w:r>
      <w:r w:rsidR="0066535B">
        <w:rPr>
          <w:rFonts w:ascii="Times New Roman" w:eastAsia="Calibri" w:hAnsi="Times New Roman" w:cs="Times New Roman"/>
          <w:sz w:val="24"/>
          <w:szCs w:val="24"/>
          <w:lang w:eastAsia="ro-RO"/>
        </w:rPr>
        <w:t>ei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electric</w:t>
      </w:r>
      <w:r w:rsidR="0066535B">
        <w:rPr>
          <w:rFonts w:ascii="Times New Roman" w:eastAsia="Calibri" w:hAnsi="Times New Roman" w:cs="Times New Roman"/>
          <w:sz w:val="24"/>
          <w:szCs w:val="24"/>
          <w:lang w:eastAsia="ro-RO"/>
        </w:rPr>
        <w:t>e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în care este amplasată instalaţia;</w:t>
      </w:r>
      <w:r w:rsidR="007945DA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</w:p>
    <w:p w14:paraId="02275B3E" w14:textId="0D59EC48" w:rsidR="005767A7" w:rsidRPr="00D00096" w:rsidRDefault="00FF37DD" w:rsidP="00365085">
      <w:pPr>
        <w:pStyle w:val="ListParagraph"/>
        <w:numPr>
          <w:ilvl w:val="0"/>
          <w:numId w:val="41"/>
        </w:numPr>
        <w:tabs>
          <w:tab w:val="left" w:pos="360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OTS/OD include măsuri tehnice pentru gestionarea energiei produse</w:t>
      </w:r>
      <w:r w:rsidR="0066535B">
        <w:rPr>
          <w:rFonts w:ascii="Times New Roman" w:eastAsia="Calibri" w:hAnsi="Times New Roman" w:cs="Times New Roman"/>
          <w:sz w:val="24"/>
          <w:szCs w:val="24"/>
          <w:lang w:eastAsia="ro-RO"/>
        </w:rPr>
        <w:t>,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astfel încât să nu poată fi realizată evacuarea acesteia în rețeaua publică.</w:t>
      </w:r>
    </w:p>
    <w:p w14:paraId="3AE3FA58" w14:textId="77777777" w:rsidR="008C2940" w:rsidRDefault="008C2940" w:rsidP="00552A6D">
      <w:pPr>
        <w:pStyle w:val="Title"/>
        <w:spacing w:before="120" w:after="0"/>
        <w:contextualSpacing w:val="0"/>
        <w:rPr>
          <w:rFonts w:cs="Times New Roman"/>
          <w:sz w:val="24"/>
          <w:szCs w:val="24"/>
        </w:rPr>
      </w:pPr>
    </w:p>
    <w:p w14:paraId="5707CAE0" w14:textId="77777777" w:rsidR="00BF6311" w:rsidRPr="00167B84" w:rsidRDefault="00BF6311" w:rsidP="00167B8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167B84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60FEDA1A" w14:textId="20002557" w:rsidR="0001162A" w:rsidRPr="008C2940" w:rsidRDefault="00BF6311" w:rsidP="005A6295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 w:rsidRPr="008C2940">
        <w:rPr>
          <w:rFonts w:ascii="Times New Roman" w:hAnsi="Times New Roman" w:cs="Times New Roman"/>
          <w:b/>
          <w:bCs/>
          <w:sz w:val="24"/>
          <w:szCs w:val="24"/>
        </w:rPr>
        <w:t xml:space="preserve">Etapele </w:t>
      </w:r>
      <w:r w:rsidR="00667944" w:rsidRPr="008C294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8C2940">
        <w:rPr>
          <w:rFonts w:ascii="Times New Roman" w:hAnsi="Times New Roman" w:cs="Times New Roman"/>
          <w:b/>
          <w:bCs/>
          <w:sz w:val="24"/>
          <w:szCs w:val="24"/>
        </w:rPr>
        <w:t>i documenta</w:t>
      </w:r>
      <w:r w:rsidR="00043683" w:rsidRPr="008C2940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8C2940"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01162A" w:rsidRPr="008C2940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="0001162A" w:rsidRPr="008C2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0DD" w:rsidRPr="008C2940"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>aprobarea unei</w:t>
      </w:r>
      <w:r w:rsidR="0001162A" w:rsidRPr="008C2940"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="00776062" w:rsidRPr="008C294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instalaţii de producere a energiei electrice din surse regenerabile </w:t>
      </w:r>
      <w:r w:rsidR="00E210DD" w:rsidRPr="008C294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realizate de OTS/OD şi </w:t>
      </w:r>
      <w:r w:rsidR="00776062" w:rsidRPr="008C294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amplasate în incinta </w:t>
      </w:r>
      <w:r w:rsidR="00E210DD" w:rsidRPr="008C294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unei </w:t>
      </w:r>
      <w:r w:rsidR="00776062" w:rsidRPr="008C2940">
        <w:rPr>
          <w:rFonts w:ascii="Times New Roman" w:hAnsi="Times New Roman" w:cs="Times New Roman"/>
          <w:b/>
          <w:sz w:val="24"/>
          <w:szCs w:val="24"/>
          <w:lang w:bidi="en-US"/>
        </w:rPr>
        <w:t>stații electrice de transformare</w:t>
      </w:r>
      <w:r w:rsidR="00E210DD" w:rsidRPr="008C294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proprii</w:t>
      </w:r>
    </w:p>
    <w:p w14:paraId="2C01F269" w14:textId="77777777" w:rsidR="0001162A" w:rsidRPr="00D00096" w:rsidRDefault="0001162A" w:rsidP="00552A6D">
      <w:pPr>
        <w:spacing w:before="120" w:after="0" w:line="240" w:lineRule="auto"/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</w:pPr>
    </w:p>
    <w:p w14:paraId="61BD6D40" w14:textId="70D08945" w:rsidR="00267C30" w:rsidRPr="00D00096" w:rsidRDefault="00267C30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hAnsi="Times New Roman" w:cs="Times New Roman"/>
          <w:bCs/>
          <w:sz w:val="24"/>
          <w:szCs w:val="24"/>
        </w:rPr>
        <w:t>Art. 6</w:t>
      </w:r>
      <w:r w:rsidR="00447BFA" w:rsidRPr="00D0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786" w:rsidRPr="00D00096">
        <w:rPr>
          <w:rFonts w:ascii="Times New Roman" w:hAnsi="Times New Roman" w:cs="Times New Roman"/>
          <w:sz w:val="24"/>
          <w:szCs w:val="24"/>
        </w:rPr>
        <w:t xml:space="preserve">- </w:t>
      </w:r>
      <w:r w:rsidR="00D92BC2" w:rsidRPr="00D00096">
        <w:rPr>
          <w:rFonts w:ascii="Times New Roman" w:hAnsi="Times New Roman" w:cs="Times New Roman"/>
          <w:sz w:val="24"/>
          <w:szCs w:val="24"/>
        </w:rPr>
        <w:t xml:space="preserve">(1) </w:t>
      </w:r>
      <w:r w:rsidR="002919C5" w:rsidRPr="00D00096">
        <w:rPr>
          <w:rFonts w:ascii="Times New Roman" w:hAnsi="Times New Roman" w:cs="Times New Roman"/>
          <w:sz w:val="24"/>
          <w:szCs w:val="24"/>
        </w:rPr>
        <w:t xml:space="preserve">Solicitarea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OTS/OD </w:t>
      </w:r>
      <w:r w:rsidR="002919C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pentru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752629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aprobarea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2919C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realizării unei</w:t>
      </w:r>
      <w:r w:rsidR="00AB55B9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AB55B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</w:t>
      </w:r>
      <w:r w:rsidR="002919C5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="00AB55B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de producere a energiei electrice din surse regenerabile amplasat</w:t>
      </w:r>
      <w:r w:rsidR="00552A6D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ă</w:t>
      </w:r>
      <w:r w:rsidR="00AB55B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în incinta </w:t>
      </w:r>
      <w:r w:rsidR="00552A6D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unei </w:t>
      </w:r>
      <w:r w:rsidR="00AB55B9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stații electrice de transformare</w:t>
      </w:r>
      <w:r w:rsidR="002919C5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, se face</w:t>
      </w:r>
      <w:r w:rsidR="00AB55B9" w:rsidRPr="00D00096" w:rsidDel="00EC3BBB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prin transmiterea unei </w:t>
      </w:r>
      <w:r w:rsidR="00914CC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cereri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scrise către ANRE, însoțit</w:t>
      </w:r>
      <w:r w:rsidR="00552A6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următoarele informaţii/documente:</w:t>
      </w:r>
    </w:p>
    <w:p w14:paraId="3B15188D" w14:textId="25C9BD21" w:rsidR="00267C30" w:rsidRPr="00D00096" w:rsidRDefault="0069477F" w:rsidP="00552A6D">
      <w:pPr>
        <w:numPr>
          <w:ilvl w:val="5"/>
          <w:numId w:val="43"/>
        </w:numPr>
        <w:tabs>
          <w:tab w:val="left" w:pos="180"/>
        </w:tabs>
        <w:spacing w:before="120" w:after="0" w:line="240" w:lineRule="auto"/>
        <w:ind w:left="270" w:hanging="270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Document </w:t>
      </w:r>
      <w:r w:rsidR="002919C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ce conţine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descrierea </w:t>
      </w:r>
      <w:r w:rsidR="00267C3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investiției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,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solu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ț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ei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tehnic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</w:t>
      </w:r>
      <w:r w:rsidR="00A83AD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propus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ș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i 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caracteristici</w:t>
      </w:r>
      <w:r w:rsidR="002919C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l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or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tehnice,</w:t>
      </w:r>
      <w:r w:rsidR="002919C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precum şi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A83AD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 </w:t>
      </w:r>
      <w:r w:rsidR="00A83AD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modul</w:t>
      </w:r>
      <w:r w:rsidR="00EB0EE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ui</w:t>
      </w:r>
      <w:r w:rsidR="00A83AD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prin care 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soluția </w:t>
      </w:r>
      <w:r w:rsidR="007A1118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tehnică </w:t>
      </w:r>
      <w:r w:rsidR="00BF28F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propusă confirmă </w:t>
      </w:r>
      <w:r w:rsidR="00EC3BB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îndeplinir</w:t>
      </w:r>
      <w:r w:rsidR="00A83AD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ea</w:t>
      </w:r>
      <w:r w:rsidR="00EC3BB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condiţiilor prevăzute la</w:t>
      </w:r>
      <w:r w:rsidR="00267C3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art. </w:t>
      </w:r>
      <w:r w:rsidR="005B02D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</w:t>
      </w:r>
      <w:r w:rsidR="00267C3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;</w:t>
      </w:r>
    </w:p>
    <w:p w14:paraId="335BAD12" w14:textId="025A80B5" w:rsidR="00267C30" w:rsidRPr="00D00096" w:rsidRDefault="00267C30" w:rsidP="00552A6D">
      <w:pPr>
        <w:numPr>
          <w:ilvl w:val="5"/>
          <w:numId w:val="43"/>
        </w:numPr>
        <w:spacing w:before="120" w:after="0" w:line="240" w:lineRule="auto"/>
        <w:ind w:left="270" w:hanging="270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6" w:name="_Hlk149658704"/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Documente</w:t>
      </w:r>
      <w:r w:rsidR="0057072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le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justificative </w:t>
      </w:r>
      <w:bookmarkEnd w:id="6"/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privind necesitatea</w:t>
      </w:r>
      <w:r w:rsidR="00C8771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,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oportunitatea </w:t>
      </w:r>
      <w:r w:rsidR="00C8771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și eficiența investiției</w:t>
      </w:r>
      <w:r w:rsidR="00DB74A6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, prevăzute de </w:t>
      </w:r>
      <w:r w:rsidR="00DB74A6" w:rsidRPr="00D00096">
        <w:rPr>
          <w:rFonts w:ascii="Times New Roman" w:hAnsi="Times New Roman" w:cs="Times New Roman"/>
          <w:sz w:val="24"/>
          <w:szCs w:val="24"/>
        </w:rPr>
        <w:t>Procedura privind fundamentarea şi aprobarea planurilor de dezvoltare şi de investiţii ale operatorului de transport şi de sistem şi ale operatorilor de distribuţie  a energiei electrice cu completările și actualizările ulterioare, aprobată prin Ordinul președintelui ANRE nr. 98/2022, cu modificările şi completările ulterioare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;</w:t>
      </w:r>
    </w:p>
    <w:p w14:paraId="49332AB1" w14:textId="0DB841A8" w:rsidR="00EB0EED" w:rsidRPr="00D00096" w:rsidRDefault="00D37460" w:rsidP="004E4C8F">
      <w:pPr>
        <w:numPr>
          <w:ilvl w:val="5"/>
          <w:numId w:val="43"/>
        </w:numPr>
        <w:spacing w:before="120"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lastRenderedPageBreak/>
        <w:t xml:space="preserve">Pentru </w:t>
      </w:r>
      <w:r w:rsidR="00EC3BB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instalaţiile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5115E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finanțate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69477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partial sau integral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din fonduri proprii ale OTS/OD, a</w:t>
      </w:r>
      <w:r w:rsidR="00267C30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naliza cost-beneficiu elaborată de OTS/OD prin care se demonstrează eficiența investiției</w:t>
      </w:r>
      <w:r w:rsidR="003A45E4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pentru utilizatorii reţelei electrice</w:t>
      </w:r>
      <w:r w:rsidR="00267C30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;</w:t>
      </w:r>
    </w:p>
    <w:p w14:paraId="65AB924D" w14:textId="70BB7D0E" w:rsidR="00EB0EED" w:rsidRPr="00D00096" w:rsidRDefault="003A45E4">
      <w:pPr>
        <w:numPr>
          <w:ilvl w:val="5"/>
          <w:numId w:val="43"/>
        </w:numPr>
        <w:spacing w:before="120"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documente</w:t>
      </w:r>
      <w:r w:rsidR="00696F8D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le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care dovedesc finanțarea integrală din fonduri nerambursabile, î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n 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cazul în care instalaţia de producere este finanţată integral din fonduri nerambursabile.</w:t>
      </w:r>
    </w:p>
    <w:p w14:paraId="02187875" w14:textId="63B976AC" w:rsidR="00F06E4B" w:rsidRPr="00D00096" w:rsidRDefault="00F06E4B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(2) În situaţia în care instalaţia de producere pentru care se solicită aprobarea este prevăzută cu instalaţii pentru stocarea </w:t>
      </w:r>
      <w:r w:rsidR="003364E3">
        <w:rPr>
          <w:rFonts w:ascii="Times New Roman" w:hAnsi="Times New Roman" w:cs="Times New Roman"/>
          <w:bCs/>
          <w:sz w:val="24"/>
          <w:szCs w:val="24"/>
          <w:lang w:eastAsia="ro-RO"/>
        </w:rPr>
        <w:t>energiei produse</w:t>
      </w:r>
      <w:r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analiza cost beneficiu prevăzută la alin. (1) lit. </w:t>
      </w:r>
      <w:r w:rsidR="00AF5AE8"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c</w:t>
      </w:r>
      <w:r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) trebuie să ia aibă în vedere costurile totale, aferente instalaţiei de producere şi stocare.</w:t>
      </w:r>
    </w:p>
    <w:p w14:paraId="7FD1C3DE" w14:textId="5D0A9699" w:rsidR="00EA6B1E" w:rsidRPr="00D00096" w:rsidRDefault="00C7237F" w:rsidP="00552A6D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(</w:t>
      </w:r>
      <w:r w:rsidR="001F4E21"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3</w:t>
      </w:r>
      <w:r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)</w:t>
      </w:r>
      <w:r w:rsidR="00EA6B1E"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CD240D" w:rsidRPr="00D00096">
        <w:rPr>
          <w:rFonts w:ascii="Times New Roman" w:hAnsi="Times New Roman" w:cs="Times New Roman"/>
          <w:bCs/>
          <w:sz w:val="24"/>
          <w:szCs w:val="24"/>
          <w:lang w:eastAsia="ro-RO"/>
        </w:rPr>
        <w:t>Din a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naliza cost-beneficiu prevăzută la alin. (1) lit. </w:t>
      </w:r>
      <w:r w:rsidR="00AF5AE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) trebuie să </w:t>
      </w:r>
      <w:r w:rsidR="00CD240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rezulte 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că, în fiecare an, pe toată durata de viață a 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instalaţiei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, costurile </w:t>
      </w:r>
      <w:r w:rsidR="00CD240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anuale 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de capital (amortizare şi rentabilitate) </w:t>
      </w:r>
      <w:r w:rsidR="00CD240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plus cele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operare şi mentenanţă 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aferente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ace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stei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investiţi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sunt mai mici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decât costurile </w:t>
      </w:r>
      <w:r w:rsidR="00CD240D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anuale 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evitate 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cu 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achiziţia 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energi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ei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F06E4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electrice necesare consumului propriu din staţia de transformare</w:t>
      </w:r>
      <w:r w:rsidR="002E1160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2D5411AA" w14:textId="7A405DEB" w:rsidR="00054AF3" w:rsidRPr="00D00096" w:rsidRDefault="00054AF3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>Art.</w:t>
      </w:r>
      <w:r w:rsidR="004808FC"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 xml:space="preserve"> 7</w:t>
      </w:r>
      <w:r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451FA4"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>–</w:t>
      </w:r>
      <w:r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451FA4" w:rsidRPr="00D00096">
        <w:rPr>
          <w:rFonts w:ascii="Times New Roman" w:eastAsiaTheme="minorEastAsia" w:hAnsi="Times New Roman" w:cs="Times New Roman"/>
          <w:color w:val="000000" w:themeColor="text1"/>
          <w:spacing w:val="15"/>
          <w:sz w:val="24"/>
          <w:szCs w:val="24"/>
        </w:rPr>
        <w:t xml:space="preserve">(1)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ANRE </w:t>
      </w:r>
      <w:r w:rsidR="00893E6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analizează</w:t>
      </w:r>
      <w:r w:rsidR="00A0201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document</w:t>
      </w:r>
      <w:r w:rsidR="0097247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ația</w:t>
      </w:r>
      <w:r w:rsidR="00A0201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transmis</w:t>
      </w:r>
      <w:r w:rsidR="0097247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ă</w:t>
      </w:r>
      <w:r w:rsidR="00A0201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OTS/OD</w:t>
      </w:r>
      <w:r w:rsidR="00893E6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și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verifică </w:t>
      </w:r>
      <w:r w:rsidR="00EB308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dacă aceasta respectă </w:t>
      </w:r>
      <w:r w:rsidR="00336A46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prevederil</w:t>
      </w:r>
      <w:r w:rsidR="00EB308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art. </w:t>
      </w:r>
      <w:r w:rsidR="002A6A37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6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0D367476" w14:textId="76A24B55" w:rsidR="00D00711" w:rsidRPr="00D00096" w:rsidRDefault="00054AF3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(2) </w:t>
      </w:r>
      <w:r w:rsidR="006E7D7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În cazul în care</w:t>
      </w:r>
      <w:r w:rsidR="00E52AA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documentația nu este completă sau</w:t>
      </w:r>
      <w:r w:rsidR="006E7D7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nu sunt respectate</w:t>
      </w:r>
      <w:r w:rsidR="00E52AA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336A46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prevederile</w:t>
      </w:r>
      <w:r w:rsidR="006E7D7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art. 5 sau ale </w:t>
      </w:r>
      <w:r w:rsidR="00336A46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art</w:t>
      </w:r>
      <w:r w:rsidR="006E7D7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. 6, ANRE informează OTS/OD </w:t>
      </w:r>
      <w:r w:rsidR="002E729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și </w:t>
      </w:r>
      <w:bookmarkStart w:id="7" w:name="_Hlk149898304"/>
      <w:r w:rsidR="002E729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solicită 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clarificări şi/sau </w:t>
      </w:r>
      <w:r w:rsidR="002E729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completarea documentației</w:t>
      </w:r>
      <w:bookmarkEnd w:id="7"/>
      <w:r w:rsidR="00D0071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7D1E9434" w14:textId="3CEF581F" w:rsidR="00E52AA8" w:rsidRPr="00D00096" w:rsidRDefault="00E9014D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(3) OTS/OD au obligația de a transmite toate informațiile și clarificările solicitate</w:t>
      </w:r>
      <w:r w:rsidR="00451FA4" w:rsidRPr="005A629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ANRE conform alin. (2)</w:t>
      </w:r>
      <w:r w:rsidR="00E52AA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192877B8" w14:textId="28F2C125" w:rsidR="00E9496F" w:rsidRPr="00D00096" w:rsidRDefault="00E1134C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</w:t>
      </w:r>
      <w:r w:rsidR="004808F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4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) 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În situaţia în care</w:t>
      </w:r>
      <w:r w:rsidR="006A4029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OTS/OD nu răspunde sau nu transmite toate informațiile și clarificările solicitate</w:t>
      </w:r>
      <w:r w:rsidR="0033366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către ANRE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în termen</w:t>
      </w:r>
      <w:r w:rsidR="00352D1B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6 luni de la data solicitării prevăzute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la alin. (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2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)</w:t>
      </w:r>
      <w:r w:rsidR="0033366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,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ANRE notifică solicitantul</w:t>
      </w:r>
      <w:r w:rsidR="00914CC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pentru clasarea dosarului</w:t>
      </w:r>
      <w:r w:rsidR="00E9496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408585D1" w14:textId="3288FD46" w:rsidR="00E1134C" w:rsidRPr="00D00096" w:rsidRDefault="00E9496F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</w:t>
      </w:r>
      <w:r w:rsidR="004808F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)</w:t>
      </w:r>
      <w:r w:rsidR="00914CC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7143B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În cazul în care </w:t>
      </w:r>
      <w:r w:rsidR="002B0B9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instalaţia de producere </w:t>
      </w:r>
      <w:r w:rsidR="007143B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nu îndeplinește </w:t>
      </w:r>
      <w:r w:rsidR="00170EB2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condiţiile prevăzute 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de prezenta procedură</w:t>
      </w:r>
      <w:r w:rsidR="0018475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, ANRE respinge cererea OTS/OD</w:t>
      </w:r>
      <w:r w:rsidR="001F4E2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şi notifică acest fapt solicitantului</w:t>
      </w:r>
      <w:r w:rsidR="00184751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5D6B70B3" w14:textId="77777777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8" w:name="_Ref141283233"/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Art.</w:t>
      </w:r>
      <w:r w:rsidR="004808FC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8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-  După finalizarea analiz</w:t>
      </w:r>
      <w:r w:rsidR="002B0B9E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ei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documentației complete depuse de OTS/OD, 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în situaţia în care sunt îndeplinite condiţiile prevăzute de prezenta procedură,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ANRE întocmește un raport care conține cel puțin următoarele informaţii:</w:t>
      </w:r>
      <w:bookmarkEnd w:id="8"/>
    </w:p>
    <w:p w14:paraId="7DCF71B1" w14:textId="72E639DC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a) datele de identificare ale solicitantului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şi ale instalaţiei, precum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și lista documentelor depuse de 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solicitant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în vederea soluționării cererii;</w:t>
      </w:r>
    </w:p>
    <w:p w14:paraId="1A499E5F" w14:textId="77777777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b) detalierea modalității prin care se îndeplinește fiecare condiție prevăzută în prezent</w:t>
      </w:r>
      <w:r w:rsidR="002A1E5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 procedură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;</w:t>
      </w:r>
    </w:p>
    <w:p w14:paraId="154D5AC9" w14:textId="0546A915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c) </w:t>
      </w:r>
      <w:r w:rsidR="001B3D22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costurile şi veniturile </w:t>
      </w:r>
      <w:r w:rsidR="00170EB2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prognozate pentru fiecare an, din analiza cost beneficiu prevăzută la art. 6 alin. (1) lit. 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</w:t>
      </w:r>
      <w:r w:rsidR="00170EB2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)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. </w:t>
      </w:r>
    </w:p>
    <w:p w14:paraId="53A0944E" w14:textId="02D13D5C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Art.</w:t>
      </w:r>
      <w:r w:rsidR="004808FC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9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-  (1) În baza raportului prevăzut la art. </w:t>
      </w:r>
      <w:r w:rsidR="00451FA4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8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, ANRE întocmeşte proiectul deciziei de aprobare</w:t>
      </w:r>
      <w:r w:rsidR="00EC2193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a </w:t>
      </w:r>
      <w:r w:rsidR="006507E5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instalaţiei de producere a energiei electrice din surse regenerabile amplasată în incinta unei stații electrice de transformare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52665285" w14:textId="1E7AA75F" w:rsidR="008D308A" w:rsidRPr="00D00096" w:rsidRDefault="002477E8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(2) Î</w:t>
      </w:r>
      <w:r w:rsidR="008D308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n situaţia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solicitării de către acelaşi operator de reţea, de aprobare a 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instalaţiilor de producere a energiei electrice din surse regenerabile amplasate în incinta mai multor stații electrice de transformare, raportul prevăzut la art. 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şi decizia prevăzută la alin. (1) po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ate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fi emis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ă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pentru 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aprobarea 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mai mult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or</w:t>
      </w:r>
      <w:r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instalaţii.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</w:p>
    <w:p w14:paraId="3A789E85" w14:textId="77777777" w:rsidR="009661F5" w:rsidRPr="00D00096" w:rsidRDefault="009661F5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</w:t>
      </w:r>
      <w:r w:rsidR="002477E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) </w:t>
      </w:r>
      <w:r w:rsidR="002477E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P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roiectul de decizie prevăzut la alin. (1), se prezintă spre dezbatere şi aprobare Comitetului de reglementare al ANRE</w:t>
      </w:r>
      <w:r w:rsidR="002477E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însoţit de raportul prevăzut la art. 9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  <w:r w:rsidR="002477E8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</w:p>
    <w:p w14:paraId="406624DD" w14:textId="77777777" w:rsidR="009661F5" w:rsidRPr="00D00096" w:rsidRDefault="009661F5" w:rsidP="004E4C8F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lastRenderedPageBreak/>
        <w:t>(</w:t>
      </w:r>
      <w:r w:rsidR="004808F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4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) Decizia </w:t>
      </w:r>
      <w:r w:rsidR="008D308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de aprobare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este valabilă doar pentru </w:t>
      </w:r>
      <w:r w:rsidR="008D308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instalaţiile de producere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pentru care a fost </w:t>
      </w:r>
      <w:r w:rsidR="008D308A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acordată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.</w:t>
      </w:r>
    </w:p>
    <w:p w14:paraId="29A1163E" w14:textId="77777777" w:rsidR="009661F5" w:rsidRPr="00D00096" w:rsidRDefault="009661F5" w:rsidP="00552A6D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</w:t>
      </w:r>
      <w:r w:rsidR="004808FC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) Decizia își încetează valabilitatea în următoarele situații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>:</w:t>
      </w:r>
    </w:p>
    <w:p w14:paraId="23DF07D7" w14:textId="77777777" w:rsidR="009661F5" w:rsidRPr="00D00096" w:rsidRDefault="009661F5" w:rsidP="00552A6D">
      <w:pPr>
        <w:numPr>
          <w:ilvl w:val="0"/>
          <w:numId w:val="45"/>
        </w:numPr>
        <w:tabs>
          <w:tab w:val="left" w:pos="27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>la revocarea motivată a acesteia de către ANRE</w:t>
      </w:r>
      <w:r w:rsidR="003364E3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>,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 xml:space="preserve"> dacă nu mai îndeplinește condițiile pentru care a fost acordată;</w:t>
      </w:r>
    </w:p>
    <w:p w14:paraId="3E3C893D" w14:textId="77777777" w:rsidR="009661F5" w:rsidRPr="00D00096" w:rsidRDefault="009661F5" w:rsidP="00552A6D">
      <w:pPr>
        <w:numPr>
          <w:ilvl w:val="0"/>
          <w:numId w:val="45"/>
        </w:numPr>
        <w:spacing w:before="120"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</w:pPr>
      <w:r w:rsidRPr="00D00096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>la revocarea acesteia la solicitarea OTS/OD</w:t>
      </w:r>
      <w:r w:rsidR="0025794C" w:rsidRPr="00D00096">
        <w:rPr>
          <w:rFonts w:ascii="Times New Roman" w:eastAsia="Calibri" w:hAnsi="Times New Roman" w:cs="Times New Roman"/>
          <w:bCs/>
          <w:sz w:val="24"/>
          <w:szCs w:val="24"/>
          <w:lang w:val="pt-BR" w:eastAsia="ro-RO"/>
        </w:rPr>
        <w:t>.</w:t>
      </w:r>
    </w:p>
    <w:p w14:paraId="3369C39A" w14:textId="77777777" w:rsidR="009661F5" w:rsidRPr="00D00096" w:rsidRDefault="0025794C" w:rsidP="00552A6D">
      <w:pPr>
        <w:tabs>
          <w:tab w:val="left" w:pos="810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Art. 1</w:t>
      </w:r>
      <w:r w:rsidR="004808FC"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>0</w:t>
      </w:r>
      <w:r w:rsidRPr="00D0009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- </w:t>
      </w:r>
      <w:r w:rsidR="009661F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Decizia de aprobare a </w:t>
      </w:r>
      <w:r w:rsidR="008D308A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instalaţiei de producere a energiei electrice din surse regenerabile amplasată în incinta unei stații electrice de transformare</w:t>
      </w:r>
      <w:r w:rsidR="00C66A31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661F5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se comunică OTS/OD în termen de 3 zile lucrătoare de la data aprobării și produce efecte de la data comunicării.</w:t>
      </w:r>
    </w:p>
    <w:p w14:paraId="7B81A7A2" w14:textId="77777777" w:rsidR="00AD5F15" w:rsidRPr="00D00096" w:rsidRDefault="00AD5F15" w:rsidP="00552A6D">
      <w:pPr>
        <w:pStyle w:val="Title"/>
        <w:spacing w:before="120" w:after="0"/>
        <w:contextualSpacing w:val="0"/>
        <w:rPr>
          <w:rFonts w:cs="Times New Roman"/>
          <w:b w:val="0"/>
          <w:sz w:val="24"/>
          <w:szCs w:val="24"/>
        </w:rPr>
      </w:pPr>
    </w:p>
    <w:p w14:paraId="3808F700" w14:textId="77777777" w:rsidR="005875FA" w:rsidRPr="008C2940" w:rsidRDefault="00435A96" w:rsidP="00552A6D">
      <w:pPr>
        <w:pStyle w:val="Title"/>
        <w:spacing w:before="120" w:after="0"/>
        <w:contextualSpacing w:val="0"/>
        <w:rPr>
          <w:rFonts w:cs="Times New Roman"/>
          <w:sz w:val="24"/>
          <w:szCs w:val="24"/>
        </w:rPr>
      </w:pPr>
      <w:r w:rsidRPr="008C2940">
        <w:rPr>
          <w:rFonts w:cs="Times New Roman"/>
          <w:sz w:val="24"/>
          <w:szCs w:val="24"/>
        </w:rPr>
        <w:t>Capitolul VI</w:t>
      </w:r>
    </w:p>
    <w:p w14:paraId="4AF88C4C" w14:textId="77777777" w:rsidR="009661F5" w:rsidRPr="008C2940" w:rsidRDefault="00435A96" w:rsidP="008C2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940">
        <w:rPr>
          <w:rFonts w:ascii="Times New Roman" w:hAnsi="Times New Roman" w:cs="Times New Roman"/>
          <w:b/>
          <w:sz w:val="24"/>
          <w:szCs w:val="24"/>
        </w:rPr>
        <w:t>Dispozi</w:t>
      </w:r>
      <w:r w:rsidR="00043683" w:rsidRPr="008C2940">
        <w:rPr>
          <w:rFonts w:ascii="Times New Roman" w:hAnsi="Times New Roman" w:cs="Times New Roman"/>
          <w:b/>
          <w:sz w:val="24"/>
          <w:szCs w:val="24"/>
        </w:rPr>
        <w:t>ț</w:t>
      </w:r>
      <w:r w:rsidRPr="008C2940">
        <w:rPr>
          <w:rFonts w:ascii="Times New Roman" w:hAnsi="Times New Roman" w:cs="Times New Roman"/>
          <w:b/>
          <w:sz w:val="24"/>
          <w:szCs w:val="24"/>
        </w:rPr>
        <w:t>ii finale</w:t>
      </w:r>
    </w:p>
    <w:p w14:paraId="3C2B1C85" w14:textId="37ED3723" w:rsidR="00226586" w:rsidRPr="005A6295" w:rsidRDefault="00AD5F15" w:rsidP="00552A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Art.</w:t>
      </w:r>
      <w:r w:rsidR="004808FC"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1</w:t>
      </w:r>
      <w:r w:rsidR="004808FC"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1</w:t>
      </w:r>
      <w:r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BC3FCE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–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2658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(1) OTS/OD care deţin</w:t>
      </w:r>
      <w:r w:rsidR="00451FA4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2658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instalaţii 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de producere a energiei electrice din surse regenerabile amplasate în stațiile electrice de transformare</w:t>
      </w:r>
      <w:r w:rsidR="000E3C1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, finanţate din surse proprii şi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aprobate conform prezentei proceduri, transmit</w:t>
      </w:r>
      <w:r w:rsidR="00451FA4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83B73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anual 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ANRE pentru anul anterior, </w:t>
      </w:r>
      <w:r w:rsidR="00383B73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pe durata de viaţă reglementată </w:t>
      </w:r>
      <w:r w:rsidR="00EA52BD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 instalaţiiilor, </w:t>
      </w:r>
      <w:r w:rsidR="00383B73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 situaţie 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 costurilor şi beneficiilor </w:t>
      </w:r>
      <w:r w:rsidR="00383B73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>realizate pentru fiecare investiţie de acest tip</w:t>
      </w:r>
      <w:r w:rsidR="00226586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F654EF">
        <w:rPr>
          <w:rFonts w:ascii="Times New Roman" w:eastAsia="Times New Roman" w:hAnsi="Times New Roman" w:cs="Times New Roman"/>
          <w:sz w:val="24"/>
          <w:szCs w:val="24"/>
          <w:lang w:bidi="en-US"/>
        </w:rPr>
        <w:t>În situaţia în care beneficiile realizate sunt mai mici decât cele prognozate</w:t>
      </w:r>
      <w:r w:rsidR="003712D2">
        <w:rPr>
          <w:rFonts w:ascii="Times New Roman" w:eastAsia="Times New Roman" w:hAnsi="Times New Roman" w:cs="Times New Roman"/>
          <w:sz w:val="24"/>
          <w:szCs w:val="24"/>
          <w:lang w:bidi="en-US"/>
        </w:rPr>
        <w:t>, OTS/OD transmite un document justificativ care conţine cauzele identificate pentru această situaţie.</w:t>
      </w:r>
    </w:p>
    <w:p w14:paraId="5CF1FD25" w14:textId="722E14CE" w:rsidR="003661F6" w:rsidRPr="00D00096" w:rsidRDefault="00226586" w:rsidP="00552A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(2) </w:t>
      </w:r>
      <w:r w:rsidR="00BC3FCE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ANRE 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verifică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pentru fiecare instalaţie prevăzută la alin. (1),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realizarea beneficiilor prognozate </w:t>
      </w:r>
      <w:r w:rsidR="00EA52BD" w:rsidRPr="00D000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care </w:t>
      </w:r>
      <w:r w:rsidR="0079606F" w:rsidRPr="00D00096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se regăsesc în raportul pe baza căruia a fost emisă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Decizi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de aprobare a instalaţiei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În situaţia în care beneficiile realizate sunt mai mici decât 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costurile </w:t>
      </w:r>
      <w:r w:rsidR="001605A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de capital şi operaţionale 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realizate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rentabilitatea 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aferentă investiţiei, 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recunoscută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pentru anul respectiv,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79606F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 diminuează corespunzător, astfel încât costurile de capital şi cele operaţionale aferente investiţiei să nu depăşească beneficiile realizate.</w:t>
      </w:r>
      <w:r w:rsidR="003661F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4A8964AF" w14:textId="77777777" w:rsidR="008D01E2" w:rsidRPr="00D00096" w:rsidRDefault="008D01E2" w:rsidP="00552A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Art. 12 </w:t>
      </w:r>
      <w:r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– </w:t>
      </w:r>
      <w:r w:rsidR="00D0009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(1) </w:t>
      </w:r>
      <w:r w:rsidR="001D0E50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Investiţiile aprobate </w:t>
      </w:r>
      <w:r w:rsidR="00D0009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conform prezentei proceduri se includ în p</w:t>
      </w:r>
      <w:r w:rsidR="00FA465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lanul</w:t>
      </w:r>
      <w:r w:rsidR="00D0009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 investiţii al OTS/OD</w:t>
      </w:r>
      <w:r w:rsidR="007F3A2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în categoria dotări</w:t>
      </w:r>
      <w:r w:rsidR="00D00096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cu respectarea prevederilor </w:t>
      </w:r>
      <w:r w:rsidR="00D00096" w:rsidRPr="00D00096">
        <w:rPr>
          <w:rFonts w:ascii="Times New Roman" w:hAnsi="Times New Roman" w:cs="Times New Roman"/>
          <w:sz w:val="24"/>
          <w:szCs w:val="24"/>
        </w:rPr>
        <w:t>Procedurii privind fundamentarea şi aprobarea planurilor de dezvoltare  şi de investiţii ale operatorului de transport şi de sistem şi ale operatorilor de distribuţie  a energiei electrice cu completările și actualizările ulterioare, aprobată prin Ordinul președintelui ANRE nr. 98/2022, cu modificările şi completările ulterioare.</w:t>
      </w:r>
    </w:p>
    <w:p w14:paraId="13E86B2A" w14:textId="14BC405D" w:rsidR="00D00096" w:rsidRPr="005A6295" w:rsidRDefault="00D00096" w:rsidP="001A3DE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E0">
        <w:rPr>
          <w:rFonts w:ascii="Times New Roman" w:hAnsi="Times New Roman" w:cs="Times New Roman"/>
          <w:sz w:val="24"/>
          <w:szCs w:val="24"/>
        </w:rPr>
        <w:t xml:space="preserve">(2) </w:t>
      </w:r>
      <w:r w:rsidR="00FA4651">
        <w:rPr>
          <w:rFonts w:ascii="Times New Roman" w:hAnsi="Times New Roman" w:cs="Times New Roman"/>
          <w:sz w:val="24"/>
          <w:szCs w:val="24"/>
        </w:rPr>
        <w:t>Prin derogare de la prevederile alin. (1), i</w:t>
      </w:r>
      <w:r w:rsidRPr="001A3DE0">
        <w:rPr>
          <w:rFonts w:ascii="Times New Roman" w:hAnsi="Times New Roman" w:cs="Times New Roman"/>
          <w:sz w:val="24"/>
          <w:szCs w:val="24"/>
        </w:rPr>
        <w:t xml:space="preserve">nvestiţiile </w:t>
      </w:r>
      <w:r w:rsidRPr="001A3DE0">
        <w:rPr>
          <w:rFonts w:ascii="Times New Roman" w:eastAsia="Times New Roman" w:hAnsi="Times New Roman" w:cs="Times New Roman"/>
          <w:sz w:val="24"/>
          <w:szCs w:val="24"/>
          <w:lang w:bidi="en-US"/>
        </w:rPr>
        <w:t>realizate</w:t>
      </w:r>
      <w:r w:rsidRPr="001A3DE0">
        <w:rPr>
          <w:rFonts w:ascii="Times New Roman" w:hAnsi="Times New Roman" w:cs="Times New Roman"/>
          <w:sz w:val="24"/>
          <w:szCs w:val="24"/>
        </w:rPr>
        <w:t xml:space="preserve"> în </w:t>
      </w:r>
      <w:r w:rsidRPr="001A3D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anul</w:t>
      </w:r>
      <w:r w:rsidRPr="001A3DE0">
        <w:rPr>
          <w:rFonts w:ascii="Times New Roman" w:hAnsi="Times New Roman" w:cs="Times New Roman"/>
          <w:sz w:val="24"/>
          <w:szCs w:val="24"/>
        </w:rPr>
        <w:t xml:space="preserve"> 2023</w:t>
      </w:r>
      <w:r w:rsidR="00FA4651">
        <w:rPr>
          <w:rFonts w:ascii="Times New Roman" w:hAnsi="Times New Roman" w:cs="Times New Roman"/>
          <w:sz w:val="24"/>
          <w:szCs w:val="24"/>
        </w:rPr>
        <w:t xml:space="preserve"> şi aprobate </w:t>
      </w:r>
      <w:r w:rsidR="00FA4651" w:rsidRPr="00D0009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conform prezentei proceduri s</w:t>
      </w:r>
      <w:r w:rsidR="00E068A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 consideră investiţii </w:t>
      </w:r>
      <w:r w:rsidR="007F3A2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suplimentare planului de investiţii aferent anului 2023</w:t>
      </w:r>
      <w:r w:rsidR="00E068A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în categoria dotări şi se</w:t>
      </w:r>
      <w:r w:rsidR="007F3A2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raport</w:t>
      </w:r>
      <w:r w:rsidR="00E068A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ează</w:t>
      </w:r>
      <w:r w:rsidR="007F3A2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E068A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până la data de 31 mai 2024 în cadrul unui tabel dedicat acestui tip de investiţii</w:t>
      </w:r>
      <w:r w:rsidR="007F3A2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5663D8B6" w14:textId="77777777" w:rsidR="003661F6" w:rsidRPr="001A3DE0" w:rsidRDefault="003661F6" w:rsidP="001A3DE0">
      <w:pPr>
        <w:rPr>
          <w:rFonts w:ascii="Times New Roman" w:hAnsi="Times New Roman" w:cs="Times New Roman"/>
          <w:sz w:val="24"/>
          <w:szCs w:val="24"/>
        </w:rPr>
      </w:pPr>
    </w:p>
    <w:sectPr w:rsidR="003661F6" w:rsidRPr="001A3DE0" w:rsidSect="00185AC3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1AA9" w14:textId="77777777" w:rsidR="00F51260" w:rsidRDefault="00F51260" w:rsidP="00456EA5">
      <w:pPr>
        <w:spacing w:after="0" w:line="240" w:lineRule="auto"/>
      </w:pPr>
      <w:r>
        <w:separator/>
      </w:r>
    </w:p>
  </w:endnote>
  <w:endnote w:type="continuationSeparator" w:id="0">
    <w:p w14:paraId="4918D1A3" w14:textId="77777777" w:rsidR="00F51260" w:rsidRDefault="00F51260" w:rsidP="0045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BFF3" w14:textId="77777777" w:rsidR="00456EA5" w:rsidRPr="000D0F31" w:rsidRDefault="00456EA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0D0F31">
      <w:rPr>
        <w:caps/>
      </w:rPr>
      <w:fldChar w:fldCharType="begin"/>
    </w:r>
    <w:r w:rsidRPr="000D0F31">
      <w:rPr>
        <w:caps/>
      </w:rPr>
      <w:instrText xml:space="preserve"> PAGE   \* MERGEFORMAT </w:instrText>
    </w:r>
    <w:r w:rsidRPr="000D0F31">
      <w:rPr>
        <w:caps/>
      </w:rPr>
      <w:fldChar w:fldCharType="separate"/>
    </w:r>
    <w:r w:rsidR="0091567E">
      <w:rPr>
        <w:caps/>
        <w:noProof/>
      </w:rPr>
      <w:t>1</w:t>
    </w:r>
    <w:r w:rsidRPr="000D0F31">
      <w:rPr>
        <w:caps/>
        <w:noProof/>
      </w:rPr>
      <w:fldChar w:fldCharType="end"/>
    </w:r>
  </w:p>
  <w:p w14:paraId="5773C610" w14:textId="77777777" w:rsidR="00456EA5" w:rsidRDefault="0045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8335" w14:textId="77777777" w:rsidR="00F51260" w:rsidRDefault="00F51260" w:rsidP="00456EA5">
      <w:pPr>
        <w:spacing w:after="0" w:line="240" w:lineRule="auto"/>
      </w:pPr>
      <w:r>
        <w:separator/>
      </w:r>
    </w:p>
  </w:footnote>
  <w:footnote w:type="continuationSeparator" w:id="0">
    <w:p w14:paraId="2918CA49" w14:textId="77777777" w:rsidR="00F51260" w:rsidRDefault="00F51260" w:rsidP="0045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2D"/>
    <w:multiLevelType w:val="hybridMultilevel"/>
    <w:tmpl w:val="1932D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5A37"/>
    <w:multiLevelType w:val="hybridMultilevel"/>
    <w:tmpl w:val="A664FB2C"/>
    <w:lvl w:ilvl="0" w:tplc="00AC2A4A">
      <w:start w:val="1"/>
      <w:numFmt w:val="decimal"/>
      <w:lvlText w:val="Art. %1"/>
      <w:lvlJc w:val="left"/>
      <w:pPr>
        <w:tabs>
          <w:tab w:val="num" w:pos="1353"/>
        </w:tabs>
        <w:ind w:left="1880" w:hanging="887"/>
      </w:pPr>
      <w:rPr>
        <w:rFonts w:hint="default"/>
        <w:b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8B0AA1A4">
      <w:start w:val="1"/>
      <w:numFmt w:val="lowerLetter"/>
      <w:lvlText w:val="%3."/>
      <w:lvlJc w:val="left"/>
      <w:pPr>
        <w:ind w:left="2264" w:hanging="360"/>
      </w:pPr>
      <w:rPr>
        <w:rFonts w:hint="default"/>
        <w:sz w:val="24"/>
      </w:rPr>
    </w:lvl>
    <w:lvl w:ilvl="3" w:tplc="30520C16">
      <w:start w:val="2"/>
      <w:numFmt w:val="decimal"/>
      <w:lvlText w:val="(%4)"/>
      <w:lvlJc w:val="left"/>
      <w:pPr>
        <w:ind w:left="2804" w:hanging="360"/>
      </w:pPr>
      <w:rPr>
        <w:rFonts w:hint="default"/>
      </w:rPr>
    </w:lvl>
    <w:lvl w:ilvl="4" w:tplc="C3201592">
      <w:start w:val="1"/>
      <w:numFmt w:val="lowerRoman"/>
      <w:lvlText w:val="%5)"/>
      <w:lvlJc w:val="left"/>
      <w:pPr>
        <w:ind w:left="3884" w:hanging="720"/>
      </w:pPr>
      <w:rPr>
        <w:rFonts w:hint="default"/>
      </w:rPr>
    </w:lvl>
    <w:lvl w:ilvl="5" w:tplc="91201BAE">
      <w:start w:val="1"/>
      <w:numFmt w:val="lowerLetter"/>
      <w:lvlText w:val="%6)"/>
      <w:lvlJc w:val="left"/>
      <w:pPr>
        <w:ind w:left="4754" w:hanging="6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DC733D2"/>
    <w:multiLevelType w:val="hybridMultilevel"/>
    <w:tmpl w:val="1F6829F6"/>
    <w:lvl w:ilvl="0" w:tplc="59ACA79C">
      <w:start w:val="1"/>
      <w:numFmt w:val="decimal"/>
      <w:lvlText w:val="(%1) "/>
      <w:lvlJc w:val="left"/>
      <w:pPr>
        <w:ind w:left="-145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-13870" w:hanging="360"/>
      </w:pPr>
    </w:lvl>
    <w:lvl w:ilvl="2" w:tplc="0418001B" w:tentative="1">
      <w:start w:val="1"/>
      <w:numFmt w:val="lowerRoman"/>
      <w:lvlText w:val="%3."/>
      <w:lvlJc w:val="right"/>
      <w:pPr>
        <w:ind w:left="-13150" w:hanging="180"/>
      </w:pPr>
    </w:lvl>
    <w:lvl w:ilvl="3" w:tplc="0418000F" w:tentative="1">
      <w:start w:val="1"/>
      <w:numFmt w:val="decimal"/>
      <w:lvlText w:val="%4."/>
      <w:lvlJc w:val="left"/>
      <w:pPr>
        <w:ind w:left="-12430" w:hanging="360"/>
      </w:pPr>
    </w:lvl>
    <w:lvl w:ilvl="4" w:tplc="04180019" w:tentative="1">
      <w:start w:val="1"/>
      <w:numFmt w:val="lowerLetter"/>
      <w:lvlText w:val="%5."/>
      <w:lvlJc w:val="left"/>
      <w:pPr>
        <w:ind w:left="-11710" w:hanging="360"/>
      </w:pPr>
    </w:lvl>
    <w:lvl w:ilvl="5" w:tplc="0418001B" w:tentative="1">
      <w:start w:val="1"/>
      <w:numFmt w:val="lowerRoman"/>
      <w:lvlText w:val="%6."/>
      <w:lvlJc w:val="right"/>
      <w:pPr>
        <w:ind w:left="-10990" w:hanging="180"/>
      </w:pPr>
    </w:lvl>
    <w:lvl w:ilvl="6" w:tplc="0418000F" w:tentative="1">
      <w:start w:val="1"/>
      <w:numFmt w:val="decimal"/>
      <w:lvlText w:val="%7."/>
      <w:lvlJc w:val="left"/>
      <w:pPr>
        <w:ind w:left="-10270" w:hanging="360"/>
      </w:pPr>
    </w:lvl>
    <w:lvl w:ilvl="7" w:tplc="04180019" w:tentative="1">
      <w:start w:val="1"/>
      <w:numFmt w:val="lowerLetter"/>
      <w:lvlText w:val="%8."/>
      <w:lvlJc w:val="left"/>
      <w:pPr>
        <w:ind w:left="-9550" w:hanging="360"/>
      </w:pPr>
    </w:lvl>
    <w:lvl w:ilvl="8" w:tplc="0418001B" w:tentative="1">
      <w:start w:val="1"/>
      <w:numFmt w:val="lowerRoman"/>
      <w:lvlText w:val="%9."/>
      <w:lvlJc w:val="right"/>
      <w:pPr>
        <w:ind w:left="-8830" w:hanging="180"/>
      </w:pPr>
    </w:lvl>
  </w:abstractNum>
  <w:abstractNum w:abstractNumId="3" w15:restartNumberingAfterBreak="0">
    <w:nsid w:val="0F881174"/>
    <w:multiLevelType w:val="hybridMultilevel"/>
    <w:tmpl w:val="C47AF6F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607" w:hanging="887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FFFFFFFF">
      <w:start w:val="2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4" w15:restartNumberingAfterBreak="0">
    <w:nsid w:val="0FFC63C8"/>
    <w:multiLevelType w:val="hybridMultilevel"/>
    <w:tmpl w:val="6BDAF1C2"/>
    <w:lvl w:ilvl="0" w:tplc="49387E30">
      <w:start w:val="1"/>
      <w:numFmt w:val="lowerLetter"/>
      <w:lvlText w:val="%1)"/>
      <w:lvlJc w:val="left"/>
      <w:pPr>
        <w:ind w:left="1320" w:hanging="360"/>
      </w:pPr>
      <w:rPr>
        <w:rFonts w:ascii="Times New Roman" w:eastAsiaTheme="minorHAnsi" w:hAnsi="Times New Roman" w:cs="Times New Roman"/>
        <w:b w:val="0"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87A43FC"/>
    <w:multiLevelType w:val="hybridMultilevel"/>
    <w:tmpl w:val="9BE4170A"/>
    <w:lvl w:ilvl="0" w:tplc="59ACA79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06B71"/>
    <w:multiLevelType w:val="hybridMultilevel"/>
    <w:tmpl w:val="1C16D95C"/>
    <w:lvl w:ilvl="0" w:tplc="0418000F">
      <w:start w:val="1"/>
      <w:numFmt w:val="decimal"/>
      <w:lvlText w:val="%1."/>
      <w:lvlJc w:val="left"/>
      <w:pPr>
        <w:ind w:left="2136" w:hanging="360"/>
      </w:pPr>
    </w:lvl>
    <w:lvl w:ilvl="1" w:tplc="04180019" w:tentative="1">
      <w:start w:val="1"/>
      <w:numFmt w:val="lowerLetter"/>
      <w:lvlText w:val="%2."/>
      <w:lvlJc w:val="left"/>
      <w:pPr>
        <w:ind w:left="2856" w:hanging="360"/>
      </w:pPr>
    </w:lvl>
    <w:lvl w:ilvl="2" w:tplc="0418001B" w:tentative="1">
      <w:start w:val="1"/>
      <w:numFmt w:val="lowerRoman"/>
      <w:lvlText w:val="%3."/>
      <w:lvlJc w:val="right"/>
      <w:pPr>
        <w:ind w:left="3576" w:hanging="180"/>
      </w:pPr>
    </w:lvl>
    <w:lvl w:ilvl="3" w:tplc="0418000F" w:tentative="1">
      <w:start w:val="1"/>
      <w:numFmt w:val="decimal"/>
      <w:lvlText w:val="%4."/>
      <w:lvlJc w:val="left"/>
      <w:pPr>
        <w:ind w:left="4296" w:hanging="360"/>
      </w:pPr>
    </w:lvl>
    <w:lvl w:ilvl="4" w:tplc="04180019" w:tentative="1">
      <w:start w:val="1"/>
      <w:numFmt w:val="lowerLetter"/>
      <w:lvlText w:val="%5."/>
      <w:lvlJc w:val="left"/>
      <w:pPr>
        <w:ind w:left="5016" w:hanging="360"/>
      </w:pPr>
    </w:lvl>
    <w:lvl w:ilvl="5" w:tplc="0418001B" w:tentative="1">
      <w:start w:val="1"/>
      <w:numFmt w:val="lowerRoman"/>
      <w:lvlText w:val="%6."/>
      <w:lvlJc w:val="right"/>
      <w:pPr>
        <w:ind w:left="5736" w:hanging="180"/>
      </w:pPr>
    </w:lvl>
    <w:lvl w:ilvl="6" w:tplc="0418000F" w:tentative="1">
      <w:start w:val="1"/>
      <w:numFmt w:val="decimal"/>
      <w:lvlText w:val="%7."/>
      <w:lvlJc w:val="left"/>
      <w:pPr>
        <w:ind w:left="6456" w:hanging="360"/>
      </w:pPr>
    </w:lvl>
    <w:lvl w:ilvl="7" w:tplc="04180019" w:tentative="1">
      <w:start w:val="1"/>
      <w:numFmt w:val="lowerLetter"/>
      <w:lvlText w:val="%8."/>
      <w:lvlJc w:val="left"/>
      <w:pPr>
        <w:ind w:left="7176" w:hanging="360"/>
      </w:pPr>
    </w:lvl>
    <w:lvl w:ilvl="8" w:tplc="0418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D587648"/>
    <w:multiLevelType w:val="hybridMultilevel"/>
    <w:tmpl w:val="09AC6482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497C"/>
    <w:multiLevelType w:val="hybridMultilevel"/>
    <w:tmpl w:val="85C2D0DA"/>
    <w:lvl w:ilvl="0" w:tplc="5D5ACBF0">
      <w:start w:val="1"/>
      <w:numFmt w:val="decimal"/>
      <w:lvlText w:val="Art. 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2C2D"/>
    <w:multiLevelType w:val="hybridMultilevel"/>
    <w:tmpl w:val="0EDC579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43F60"/>
    <w:multiLevelType w:val="hybridMultilevel"/>
    <w:tmpl w:val="19B0EC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80"/>
    <w:multiLevelType w:val="hybridMultilevel"/>
    <w:tmpl w:val="7626F790"/>
    <w:lvl w:ilvl="0" w:tplc="C2DADB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B767E"/>
    <w:multiLevelType w:val="hybridMultilevel"/>
    <w:tmpl w:val="04184BCA"/>
    <w:lvl w:ilvl="0" w:tplc="59ACA79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745F"/>
    <w:multiLevelType w:val="hybridMultilevel"/>
    <w:tmpl w:val="540A75F4"/>
    <w:lvl w:ilvl="0" w:tplc="59ACA79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525E7"/>
    <w:multiLevelType w:val="hybridMultilevel"/>
    <w:tmpl w:val="6DFAAE1C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22E0E8B"/>
    <w:multiLevelType w:val="hybridMultilevel"/>
    <w:tmpl w:val="3AE00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F77A2"/>
    <w:multiLevelType w:val="hybridMultilevel"/>
    <w:tmpl w:val="04163692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8F4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F3A3B"/>
    <w:multiLevelType w:val="hybridMultilevel"/>
    <w:tmpl w:val="C64CD53A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8F4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4016A"/>
    <w:multiLevelType w:val="hybridMultilevel"/>
    <w:tmpl w:val="FDBE138C"/>
    <w:lvl w:ilvl="0" w:tplc="CD34E5D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172C1"/>
    <w:multiLevelType w:val="hybridMultilevel"/>
    <w:tmpl w:val="BC720C66"/>
    <w:lvl w:ilvl="0" w:tplc="4EC09C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26035"/>
    <w:multiLevelType w:val="hybridMultilevel"/>
    <w:tmpl w:val="5B46E6AC"/>
    <w:lvl w:ilvl="0" w:tplc="6B864E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0454"/>
    <w:multiLevelType w:val="hybridMultilevel"/>
    <w:tmpl w:val="5E00B882"/>
    <w:lvl w:ilvl="0" w:tplc="5B180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63B1"/>
    <w:multiLevelType w:val="hybridMultilevel"/>
    <w:tmpl w:val="6DFAAE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A48FC"/>
    <w:multiLevelType w:val="hybridMultilevel"/>
    <w:tmpl w:val="A7749F8E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5295C"/>
    <w:multiLevelType w:val="hybridMultilevel"/>
    <w:tmpl w:val="2E1A08E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198E9B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F6082"/>
    <w:multiLevelType w:val="hybridMultilevel"/>
    <w:tmpl w:val="BE1605D8"/>
    <w:lvl w:ilvl="0" w:tplc="59ACA79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D1E3A"/>
    <w:multiLevelType w:val="hybridMultilevel"/>
    <w:tmpl w:val="E60ABE98"/>
    <w:lvl w:ilvl="0" w:tplc="357C23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1859"/>
    <w:multiLevelType w:val="hybridMultilevel"/>
    <w:tmpl w:val="A3883CBE"/>
    <w:lvl w:ilvl="0" w:tplc="FFA85E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80C4C"/>
    <w:multiLevelType w:val="hybridMultilevel"/>
    <w:tmpl w:val="6DFAAE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761DEE"/>
    <w:multiLevelType w:val="hybridMultilevel"/>
    <w:tmpl w:val="DD70C6EE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47E06"/>
    <w:multiLevelType w:val="hybridMultilevel"/>
    <w:tmpl w:val="DB803A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C3126E"/>
    <w:multiLevelType w:val="hybridMultilevel"/>
    <w:tmpl w:val="94DA07A0"/>
    <w:lvl w:ilvl="0" w:tplc="165E64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C0341"/>
    <w:multiLevelType w:val="hybridMultilevel"/>
    <w:tmpl w:val="214834D8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E1AE1"/>
    <w:multiLevelType w:val="hybridMultilevel"/>
    <w:tmpl w:val="04163692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8F4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66FED"/>
    <w:multiLevelType w:val="hybridMultilevel"/>
    <w:tmpl w:val="429E1962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F13F4"/>
    <w:multiLevelType w:val="hybridMultilevel"/>
    <w:tmpl w:val="5BEE57B4"/>
    <w:lvl w:ilvl="0" w:tplc="EE92F932">
      <w:start w:val="1"/>
      <w:numFmt w:val="lowerLetter"/>
      <w:lvlText w:val="%1)"/>
      <w:lvlJc w:val="left"/>
      <w:pPr>
        <w:tabs>
          <w:tab w:val="num" w:pos="1080"/>
        </w:tabs>
        <w:ind w:left="1607" w:hanging="887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FFFFFFFF">
      <w:start w:val="2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6F707C55"/>
    <w:multiLevelType w:val="hybridMultilevel"/>
    <w:tmpl w:val="20CA3E8A"/>
    <w:lvl w:ilvl="0" w:tplc="5EF2C5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B3E05"/>
    <w:multiLevelType w:val="hybridMultilevel"/>
    <w:tmpl w:val="1F6829F6"/>
    <w:lvl w:ilvl="0" w:tplc="59ACA79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C3935"/>
    <w:multiLevelType w:val="hybridMultilevel"/>
    <w:tmpl w:val="A7749F8E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0F30"/>
    <w:multiLevelType w:val="hybridMultilevel"/>
    <w:tmpl w:val="420E6D1C"/>
    <w:lvl w:ilvl="0" w:tplc="AFBEAF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0D0A0C"/>
    <w:multiLevelType w:val="hybridMultilevel"/>
    <w:tmpl w:val="C64CD53A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8F4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4709A"/>
    <w:multiLevelType w:val="hybridMultilevel"/>
    <w:tmpl w:val="C64CD53A"/>
    <w:lvl w:ilvl="0" w:tplc="99FCB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8F4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D1DA4"/>
    <w:multiLevelType w:val="hybridMultilevel"/>
    <w:tmpl w:val="86E0AABC"/>
    <w:lvl w:ilvl="0" w:tplc="59ACA79C">
      <w:start w:val="1"/>
      <w:numFmt w:val="decimal"/>
      <w:lvlText w:val="(%1) 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13CC3"/>
    <w:multiLevelType w:val="hybridMultilevel"/>
    <w:tmpl w:val="DAF47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42B71"/>
    <w:multiLevelType w:val="hybridMultilevel"/>
    <w:tmpl w:val="FDB816A6"/>
    <w:lvl w:ilvl="0" w:tplc="1D7693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88340">
    <w:abstractNumId w:val="10"/>
  </w:num>
  <w:num w:numId="2" w16cid:durableId="1827621096">
    <w:abstractNumId w:val="9"/>
  </w:num>
  <w:num w:numId="3" w16cid:durableId="1035691934">
    <w:abstractNumId w:val="24"/>
  </w:num>
  <w:num w:numId="4" w16cid:durableId="2041927964">
    <w:abstractNumId w:val="23"/>
  </w:num>
  <w:num w:numId="5" w16cid:durableId="808520412">
    <w:abstractNumId w:val="7"/>
  </w:num>
  <w:num w:numId="6" w16cid:durableId="944995832">
    <w:abstractNumId w:val="16"/>
  </w:num>
  <w:num w:numId="7" w16cid:durableId="31463349">
    <w:abstractNumId w:val="31"/>
  </w:num>
  <w:num w:numId="8" w16cid:durableId="1742948483">
    <w:abstractNumId w:val="19"/>
  </w:num>
  <w:num w:numId="9" w16cid:durableId="1343363452">
    <w:abstractNumId w:val="39"/>
  </w:num>
  <w:num w:numId="10" w16cid:durableId="774979969">
    <w:abstractNumId w:val="29"/>
  </w:num>
  <w:num w:numId="11" w16cid:durableId="1349216319">
    <w:abstractNumId w:val="32"/>
  </w:num>
  <w:num w:numId="12" w16cid:durableId="811873205">
    <w:abstractNumId w:val="34"/>
  </w:num>
  <w:num w:numId="13" w16cid:durableId="872813250">
    <w:abstractNumId w:val="17"/>
  </w:num>
  <w:num w:numId="14" w16cid:durableId="116534122">
    <w:abstractNumId w:val="40"/>
  </w:num>
  <w:num w:numId="15" w16cid:durableId="1293946483">
    <w:abstractNumId w:val="12"/>
  </w:num>
  <w:num w:numId="16" w16cid:durableId="843935833">
    <w:abstractNumId w:val="37"/>
  </w:num>
  <w:num w:numId="17" w16cid:durableId="1629121616">
    <w:abstractNumId w:val="25"/>
  </w:num>
  <w:num w:numId="18" w16cid:durableId="1463841482">
    <w:abstractNumId w:val="2"/>
  </w:num>
  <w:num w:numId="19" w16cid:durableId="850611179">
    <w:abstractNumId w:val="5"/>
  </w:num>
  <w:num w:numId="20" w16cid:durableId="1693258255">
    <w:abstractNumId w:val="33"/>
  </w:num>
  <w:num w:numId="21" w16cid:durableId="1361710895">
    <w:abstractNumId w:val="13"/>
  </w:num>
  <w:num w:numId="22" w16cid:durableId="643042416">
    <w:abstractNumId w:val="6"/>
  </w:num>
  <w:num w:numId="23" w16cid:durableId="220019511">
    <w:abstractNumId w:val="42"/>
  </w:num>
  <w:num w:numId="24" w16cid:durableId="1285382867">
    <w:abstractNumId w:val="38"/>
  </w:num>
  <w:num w:numId="25" w16cid:durableId="1019967135">
    <w:abstractNumId w:val="41"/>
  </w:num>
  <w:num w:numId="26" w16cid:durableId="539897532">
    <w:abstractNumId w:val="14"/>
  </w:num>
  <w:num w:numId="27" w16cid:durableId="522331237">
    <w:abstractNumId w:val="22"/>
  </w:num>
  <w:num w:numId="28" w16cid:durableId="1334065597">
    <w:abstractNumId w:val="28"/>
  </w:num>
  <w:num w:numId="29" w16cid:durableId="1229148345">
    <w:abstractNumId w:val="21"/>
  </w:num>
  <w:num w:numId="30" w16cid:durableId="1735738299">
    <w:abstractNumId w:val="11"/>
  </w:num>
  <w:num w:numId="31" w16cid:durableId="1818448503">
    <w:abstractNumId w:val="26"/>
  </w:num>
  <w:num w:numId="32" w16cid:durableId="815416802">
    <w:abstractNumId w:val="36"/>
  </w:num>
  <w:num w:numId="33" w16cid:durableId="493181379">
    <w:abstractNumId w:val="27"/>
  </w:num>
  <w:num w:numId="34" w16cid:durableId="333461512">
    <w:abstractNumId w:val="18"/>
  </w:num>
  <w:num w:numId="35" w16cid:durableId="167209940">
    <w:abstractNumId w:val="44"/>
  </w:num>
  <w:num w:numId="36" w16cid:durableId="727998649">
    <w:abstractNumId w:val="8"/>
  </w:num>
  <w:num w:numId="37" w16cid:durableId="1421874514">
    <w:abstractNumId w:val="3"/>
  </w:num>
  <w:num w:numId="38" w16cid:durableId="628510401">
    <w:abstractNumId w:val="35"/>
  </w:num>
  <w:num w:numId="39" w16cid:durableId="1252809733">
    <w:abstractNumId w:val="43"/>
  </w:num>
  <w:num w:numId="40" w16cid:durableId="1561747103">
    <w:abstractNumId w:val="4"/>
  </w:num>
  <w:num w:numId="41" w16cid:durableId="914897864">
    <w:abstractNumId w:val="15"/>
  </w:num>
  <w:num w:numId="42" w16cid:durableId="1566522993">
    <w:abstractNumId w:val="30"/>
  </w:num>
  <w:num w:numId="43" w16cid:durableId="971904208">
    <w:abstractNumId w:val="1"/>
  </w:num>
  <w:num w:numId="44" w16cid:durableId="70864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1862587">
    <w:abstractNumId w:val="20"/>
  </w:num>
  <w:num w:numId="46" w16cid:durableId="20765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D"/>
    <w:rsid w:val="0000002A"/>
    <w:rsid w:val="00002786"/>
    <w:rsid w:val="00002B2A"/>
    <w:rsid w:val="0001162A"/>
    <w:rsid w:val="00013ABC"/>
    <w:rsid w:val="00016F48"/>
    <w:rsid w:val="0002115D"/>
    <w:rsid w:val="000224F3"/>
    <w:rsid w:val="0002383B"/>
    <w:rsid w:val="00032C77"/>
    <w:rsid w:val="00040D89"/>
    <w:rsid w:val="00040E83"/>
    <w:rsid w:val="00041B5A"/>
    <w:rsid w:val="00043594"/>
    <w:rsid w:val="00043683"/>
    <w:rsid w:val="00045884"/>
    <w:rsid w:val="0004763C"/>
    <w:rsid w:val="00050F8C"/>
    <w:rsid w:val="00051479"/>
    <w:rsid w:val="0005165C"/>
    <w:rsid w:val="00052EB0"/>
    <w:rsid w:val="00053507"/>
    <w:rsid w:val="00054AF3"/>
    <w:rsid w:val="000552ED"/>
    <w:rsid w:val="00055DD8"/>
    <w:rsid w:val="0006103E"/>
    <w:rsid w:val="00063E78"/>
    <w:rsid w:val="000668FF"/>
    <w:rsid w:val="00067A70"/>
    <w:rsid w:val="0007212F"/>
    <w:rsid w:val="0007409F"/>
    <w:rsid w:val="0009406F"/>
    <w:rsid w:val="000A32B6"/>
    <w:rsid w:val="000A4A4B"/>
    <w:rsid w:val="000B07CF"/>
    <w:rsid w:val="000C1DD0"/>
    <w:rsid w:val="000C22A4"/>
    <w:rsid w:val="000C6800"/>
    <w:rsid w:val="000C7AA3"/>
    <w:rsid w:val="000D03A5"/>
    <w:rsid w:val="000D0F31"/>
    <w:rsid w:val="000D1C55"/>
    <w:rsid w:val="000D3930"/>
    <w:rsid w:val="000D5070"/>
    <w:rsid w:val="000D56AA"/>
    <w:rsid w:val="000D74A2"/>
    <w:rsid w:val="000D7708"/>
    <w:rsid w:val="000E29BD"/>
    <w:rsid w:val="000E3C14"/>
    <w:rsid w:val="000E751E"/>
    <w:rsid w:val="000F1419"/>
    <w:rsid w:val="00102C71"/>
    <w:rsid w:val="00103F5C"/>
    <w:rsid w:val="001119A3"/>
    <w:rsid w:val="00112128"/>
    <w:rsid w:val="001158C3"/>
    <w:rsid w:val="001227C8"/>
    <w:rsid w:val="0012739E"/>
    <w:rsid w:val="001374B0"/>
    <w:rsid w:val="00137E23"/>
    <w:rsid w:val="00145FCB"/>
    <w:rsid w:val="001509B5"/>
    <w:rsid w:val="00153C4B"/>
    <w:rsid w:val="0015432B"/>
    <w:rsid w:val="001605A0"/>
    <w:rsid w:val="00163F04"/>
    <w:rsid w:val="00167B84"/>
    <w:rsid w:val="00170EB2"/>
    <w:rsid w:val="00175CC1"/>
    <w:rsid w:val="00177D3C"/>
    <w:rsid w:val="001810ED"/>
    <w:rsid w:val="001821ED"/>
    <w:rsid w:val="00182900"/>
    <w:rsid w:val="00184751"/>
    <w:rsid w:val="00185AC3"/>
    <w:rsid w:val="0018702D"/>
    <w:rsid w:val="00190634"/>
    <w:rsid w:val="001917F0"/>
    <w:rsid w:val="001931A7"/>
    <w:rsid w:val="00195687"/>
    <w:rsid w:val="001A07F9"/>
    <w:rsid w:val="001A3DE0"/>
    <w:rsid w:val="001B1BE3"/>
    <w:rsid w:val="001B39CA"/>
    <w:rsid w:val="001B3D22"/>
    <w:rsid w:val="001C309B"/>
    <w:rsid w:val="001C5500"/>
    <w:rsid w:val="001D0269"/>
    <w:rsid w:val="001D0E50"/>
    <w:rsid w:val="001D6831"/>
    <w:rsid w:val="001D77E5"/>
    <w:rsid w:val="001E6EB3"/>
    <w:rsid w:val="001F4E21"/>
    <w:rsid w:val="001F4EDD"/>
    <w:rsid w:val="00200742"/>
    <w:rsid w:val="00221C4F"/>
    <w:rsid w:val="00223058"/>
    <w:rsid w:val="00225348"/>
    <w:rsid w:val="00226586"/>
    <w:rsid w:val="002274B6"/>
    <w:rsid w:val="00227D5A"/>
    <w:rsid w:val="00230316"/>
    <w:rsid w:val="00232E65"/>
    <w:rsid w:val="00243F8F"/>
    <w:rsid w:val="00244A66"/>
    <w:rsid w:val="002477E8"/>
    <w:rsid w:val="00247B39"/>
    <w:rsid w:val="00247C4B"/>
    <w:rsid w:val="00250595"/>
    <w:rsid w:val="00250999"/>
    <w:rsid w:val="0025268F"/>
    <w:rsid w:val="00253CC4"/>
    <w:rsid w:val="0025794C"/>
    <w:rsid w:val="0026091D"/>
    <w:rsid w:val="00267639"/>
    <w:rsid w:val="00267C30"/>
    <w:rsid w:val="0027235D"/>
    <w:rsid w:val="002739A8"/>
    <w:rsid w:val="00275C49"/>
    <w:rsid w:val="0028536E"/>
    <w:rsid w:val="002873A1"/>
    <w:rsid w:val="00290743"/>
    <w:rsid w:val="002919C5"/>
    <w:rsid w:val="002921BC"/>
    <w:rsid w:val="0029670E"/>
    <w:rsid w:val="002A1E58"/>
    <w:rsid w:val="002A65D9"/>
    <w:rsid w:val="002A6A37"/>
    <w:rsid w:val="002B0B9E"/>
    <w:rsid w:val="002B1D91"/>
    <w:rsid w:val="002B397E"/>
    <w:rsid w:val="002B42FB"/>
    <w:rsid w:val="002C0579"/>
    <w:rsid w:val="002C0CC2"/>
    <w:rsid w:val="002C36D3"/>
    <w:rsid w:val="002C3F08"/>
    <w:rsid w:val="002D08D2"/>
    <w:rsid w:val="002D5D4F"/>
    <w:rsid w:val="002E1160"/>
    <w:rsid w:val="002E729F"/>
    <w:rsid w:val="002F2F10"/>
    <w:rsid w:val="003017AA"/>
    <w:rsid w:val="003243F2"/>
    <w:rsid w:val="003246A4"/>
    <w:rsid w:val="00325499"/>
    <w:rsid w:val="003257FA"/>
    <w:rsid w:val="00326919"/>
    <w:rsid w:val="0033366C"/>
    <w:rsid w:val="00335955"/>
    <w:rsid w:val="003364E3"/>
    <w:rsid w:val="00336A46"/>
    <w:rsid w:val="00352D1B"/>
    <w:rsid w:val="00352EDF"/>
    <w:rsid w:val="0035552D"/>
    <w:rsid w:val="00363778"/>
    <w:rsid w:val="00364FC1"/>
    <w:rsid w:val="00365085"/>
    <w:rsid w:val="00365313"/>
    <w:rsid w:val="003661F6"/>
    <w:rsid w:val="003709DB"/>
    <w:rsid w:val="003712D2"/>
    <w:rsid w:val="00372D3A"/>
    <w:rsid w:val="00374440"/>
    <w:rsid w:val="0038043B"/>
    <w:rsid w:val="00383B73"/>
    <w:rsid w:val="00387118"/>
    <w:rsid w:val="00394A26"/>
    <w:rsid w:val="003A4508"/>
    <w:rsid w:val="003A45E4"/>
    <w:rsid w:val="003A6204"/>
    <w:rsid w:val="003A69BE"/>
    <w:rsid w:val="003B5630"/>
    <w:rsid w:val="003B5C39"/>
    <w:rsid w:val="003C0E8D"/>
    <w:rsid w:val="003C48B9"/>
    <w:rsid w:val="003C667A"/>
    <w:rsid w:val="003D3B9A"/>
    <w:rsid w:val="003D3DB7"/>
    <w:rsid w:val="003F02BD"/>
    <w:rsid w:val="00406D2E"/>
    <w:rsid w:val="00410E7C"/>
    <w:rsid w:val="0041324A"/>
    <w:rsid w:val="00417A51"/>
    <w:rsid w:val="00425B03"/>
    <w:rsid w:val="00427ACF"/>
    <w:rsid w:val="00435A96"/>
    <w:rsid w:val="0044105C"/>
    <w:rsid w:val="00441AFC"/>
    <w:rsid w:val="00444728"/>
    <w:rsid w:val="0044550A"/>
    <w:rsid w:val="004460D6"/>
    <w:rsid w:val="00447BFA"/>
    <w:rsid w:val="00450A52"/>
    <w:rsid w:val="00451949"/>
    <w:rsid w:val="00451FA4"/>
    <w:rsid w:val="00456EA5"/>
    <w:rsid w:val="00461308"/>
    <w:rsid w:val="00466CFA"/>
    <w:rsid w:val="00466F03"/>
    <w:rsid w:val="004719BC"/>
    <w:rsid w:val="00473898"/>
    <w:rsid w:val="004808FC"/>
    <w:rsid w:val="00483027"/>
    <w:rsid w:val="0048745D"/>
    <w:rsid w:val="00487CAD"/>
    <w:rsid w:val="0049007E"/>
    <w:rsid w:val="00495FC9"/>
    <w:rsid w:val="004A110A"/>
    <w:rsid w:val="004B4213"/>
    <w:rsid w:val="004B6D15"/>
    <w:rsid w:val="004C11F6"/>
    <w:rsid w:val="004C606D"/>
    <w:rsid w:val="004D1A25"/>
    <w:rsid w:val="004D5FA7"/>
    <w:rsid w:val="004D789A"/>
    <w:rsid w:val="004E4C8F"/>
    <w:rsid w:val="0050108B"/>
    <w:rsid w:val="00506F86"/>
    <w:rsid w:val="00510CFF"/>
    <w:rsid w:val="005115EE"/>
    <w:rsid w:val="00511AB7"/>
    <w:rsid w:val="00513369"/>
    <w:rsid w:val="00513C89"/>
    <w:rsid w:val="00521608"/>
    <w:rsid w:val="00524735"/>
    <w:rsid w:val="0053571C"/>
    <w:rsid w:val="005416C7"/>
    <w:rsid w:val="00543D7E"/>
    <w:rsid w:val="00547BDD"/>
    <w:rsid w:val="0055038B"/>
    <w:rsid w:val="00552A6D"/>
    <w:rsid w:val="0055583B"/>
    <w:rsid w:val="00556C92"/>
    <w:rsid w:val="00557829"/>
    <w:rsid w:val="0056526E"/>
    <w:rsid w:val="00570721"/>
    <w:rsid w:val="005727A1"/>
    <w:rsid w:val="00575AC6"/>
    <w:rsid w:val="005767A7"/>
    <w:rsid w:val="00582FA9"/>
    <w:rsid w:val="005831C8"/>
    <w:rsid w:val="00586AC9"/>
    <w:rsid w:val="005875FA"/>
    <w:rsid w:val="00587EF2"/>
    <w:rsid w:val="005912C5"/>
    <w:rsid w:val="0059608D"/>
    <w:rsid w:val="005A0C14"/>
    <w:rsid w:val="005A1F58"/>
    <w:rsid w:val="005A34BC"/>
    <w:rsid w:val="005A6295"/>
    <w:rsid w:val="005B02D3"/>
    <w:rsid w:val="005B0875"/>
    <w:rsid w:val="005B1E61"/>
    <w:rsid w:val="005B5460"/>
    <w:rsid w:val="005B5FAD"/>
    <w:rsid w:val="005C15B1"/>
    <w:rsid w:val="005D32C1"/>
    <w:rsid w:val="005D3DA7"/>
    <w:rsid w:val="005D6BEA"/>
    <w:rsid w:val="005E75CA"/>
    <w:rsid w:val="005F4165"/>
    <w:rsid w:val="00602072"/>
    <w:rsid w:val="006052F0"/>
    <w:rsid w:val="006110A0"/>
    <w:rsid w:val="0061117D"/>
    <w:rsid w:val="00614AA6"/>
    <w:rsid w:val="0061737B"/>
    <w:rsid w:val="00621E6D"/>
    <w:rsid w:val="00623BD6"/>
    <w:rsid w:val="00625110"/>
    <w:rsid w:val="00626350"/>
    <w:rsid w:val="0063270F"/>
    <w:rsid w:val="00634BFA"/>
    <w:rsid w:val="00641E13"/>
    <w:rsid w:val="00647655"/>
    <w:rsid w:val="006507E5"/>
    <w:rsid w:val="00653E82"/>
    <w:rsid w:val="0065477A"/>
    <w:rsid w:val="006560D0"/>
    <w:rsid w:val="00660F81"/>
    <w:rsid w:val="00664B53"/>
    <w:rsid w:val="0066535B"/>
    <w:rsid w:val="00667944"/>
    <w:rsid w:val="00677CC3"/>
    <w:rsid w:val="006869E3"/>
    <w:rsid w:val="006927A6"/>
    <w:rsid w:val="0069477F"/>
    <w:rsid w:val="00696F8D"/>
    <w:rsid w:val="006A07AC"/>
    <w:rsid w:val="006A0A8B"/>
    <w:rsid w:val="006A2BFA"/>
    <w:rsid w:val="006A3E17"/>
    <w:rsid w:val="006A4029"/>
    <w:rsid w:val="006A578D"/>
    <w:rsid w:val="006A6CBD"/>
    <w:rsid w:val="006B306D"/>
    <w:rsid w:val="006B5469"/>
    <w:rsid w:val="006B61B9"/>
    <w:rsid w:val="006C1386"/>
    <w:rsid w:val="006C1DD2"/>
    <w:rsid w:val="006C2A94"/>
    <w:rsid w:val="006C64E2"/>
    <w:rsid w:val="006E21B0"/>
    <w:rsid w:val="006E6978"/>
    <w:rsid w:val="006E7D73"/>
    <w:rsid w:val="006F4926"/>
    <w:rsid w:val="006F65E3"/>
    <w:rsid w:val="00700BCA"/>
    <w:rsid w:val="00710F41"/>
    <w:rsid w:val="007143B1"/>
    <w:rsid w:val="00716296"/>
    <w:rsid w:val="007179AE"/>
    <w:rsid w:val="007261C8"/>
    <w:rsid w:val="00726D40"/>
    <w:rsid w:val="007313D2"/>
    <w:rsid w:val="0073275E"/>
    <w:rsid w:val="00745734"/>
    <w:rsid w:val="00750B7F"/>
    <w:rsid w:val="00750F79"/>
    <w:rsid w:val="00752629"/>
    <w:rsid w:val="007534FD"/>
    <w:rsid w:val="007667B4"/>
    <w:rsid w:val="007710FB"/>
    <w:rsid w:val="00774B2D"/>
    <w:rsid w:val="00776062"/>
    <w:rsid w:val="007810B4"/>
    <w:rsid w:val="0078253A"/>
    <w:rsid w:val="00785D82"/>
    <w:rsid w:val="0079362D"/>
    <w:rsid w:val="007945DA"/>
    <w:rsid w:val="0079606F"/>
    <w:rsid w:val="00796504"/>
    <w:rsid w:val="007A1118"/>
    <w:rsid w:val="007A1AA3"/>
    <w:rsid w:val="007B0BA3"/>
    <w:rsid w:val="007B1318"/>
    <w:rsid w:val="007B22EE"/>
    <w:rsid w:val="007B6949"/>
    <w:rsid w:val="007B7DAD"/>
    <w:rsid w:val="007C1BD4"/>
    <w:rsid w:val="007C5350"/>
    <w:rsid w:val="007C7B64"/>
    <w:rsid w:val="007D141E"/>
    <w:rsid w:val="007D70A8"/>
    <w:rsid w:val="007E58F2"/>
    <w:rsid w:val="007F3A2C"/>
    <w:rsid w:val="007F5CD8"/>
    <w:rsid w:val="00801421"/>
    <w:rsid w:val="00803F88"/>
    <w:rsid w:val="00843455"/>
    <w:rsid w:val="00844A12"/>
    <w:rsid w:val="00844C81"/>
    <w:rsid w:val="008519AB"/>
    <w:rsid w:val="00854E9D"/>
    <w:rsid w:val="0085651F"/>
    <w:rsid w:val="00860C6D"/>
    <w:rsid w:val="008664A3"/>
    <w:rsid w:val="00870F53"/>
    <w:rsid w:val="008800D9"/>
    <w:rsid w:val="00893E6F"/>
    <w:rsid w:val="008A175D"/>
    <w:rsid w:val="008A4229"/>
    <w:rsid w:val="008B0F53"/>
    <w:rsid w:val="008B4A0F"/>
    <w:rsid w:val="008B66FE"/>
    <w:rsid w:val="008B76DF"/>
    <w:rsid w:val="008B7AF4"/>
    <w:rsid w:val="008C2940"/>
    <w:rsid w:val="008C6E32"/>
    <w:rsid w:val="008D01E2"/>
    <w:rsid w:val="008D308A"/>
    <w:rsid w:val="008D7BE6"/>
    <w:rsid w:val="008E1573"/>
    <w:rsid w:val="008E1821"/>
    <w:rsid w:val="008E5D21"/>
    <w:rsid w:val="008E6A64"/>
    <w:rsid w:val="008E6D51"/>
    <w:rsid w:val="008F4917"/>
    <w:rsid w:val="008F5E27"/>
    <w:rsid w:val="008F7075"/>
    <w:rsid w:val="008F737A"/>
    <w:rsid w:val="00901AE0"/>
    <w:rsid w:val="00901F0E"/>
    <w:rsid w:val="00910288"/>
    <w:rsid w:val="00910744"/>
    <w:rsid w:val="00910E07"/>
    <w:rsid w:val="00914BEA"/>
    <w:rsid w:val="00914CCA"/>
    <w:rsid w:val="0091567E"/>
    <w:rsid w:val="00930227"/>
    <w:rsid w:val="009357FB"/>
    <w:rsid w:val="009374A0"/>
    <w:rsid w:val="00941D90"/>
    <w:rsid w:val="00944A45"/>
    <w:rsid w:val="00945F34"/>
    <w:rsid w:val="00950114"/>
    <w:rsid w:val="00951250"/>
    <w:rsid w:val="0095658A"/>
    <w:rsid w:val="00963F3F"/>
    <w:rsid w:val="009661F5"/>
    <w:rsid w:val="00972126"/>
    <w:rsid w:val="0097247F"/>
    <w:rsid w:val="00983C7B"/>
    <w:rsid w:val="00984EC2"/>
    <w:rsid w:val="009966E8"/>
    <w:rsid w:val="00997B6F"/>
    <w:rsid w:val="009A1ACD"/>
    <w:rsid w:val="009A1CB1"/>
    <w:rsid w:val="009A55F7"/>
    <w:rsid w:val="009A6AF2"/>
    <w:rsid w:val="009A7E27"/>
    <w:rsid w:val="009B0F1A"/>
    <w:rsid w:val="009B2276"/>
    <w:rsid w:val="009B3E48"/>
    <w:rsid w:val="009C232D"/>
    <w:rsid w:val="009C5D14"/>
    <w:rsid w:val="009D67D2"/>
    <w:rsid w:val="009E26D0"/>
    <w:rsid w:val="009E294A"/>
    <w:rsid w:val="009E31D2"/>
    <w:rsid w:val="009F20DE"/>
    <w:rsid w:val="00A02013"/>
    <w:rsid w:val="00A02DE5"/>
    <w:rsid w:val="00A03936"/>
    <w:rsid w:val="00A1409F"/>
    <w:rsid w:val="00A1457E"/>
    <w:rsid w:val="00A2558C"/>
    <w:rsid w:val="00A30A15"/>
    <w:rsid w:val="00A32029"/>
    <w:rsid w:val="00A331EE"/>
    <w:rsid w:val="00A33F32"/>
    <w:rsid w:val="00A437C3"/>
    <w:rsid w:val="00A4492A"/>
    <w:rsid w:val="00A52ED7"/>
    <w:rsid w:val="00A54013"/>
    <w:rsid w:val="00A62CE0"/>
    <w:rsid w:val="00A74416"/>
    <w:rsid w:val="00A7697B"/>
    <w:rsid w:val="00A769E8"/>
    <w:rsid w:val="00A83ADE"/>
    <w:rsid w:val="00A84DD8"/>
    <w:rsid w:val="00A8569F"/>
    <w:rsid w:val="00A85F97"/>
    <w:rsid w:val="00A95DAC"/>
    <w:rsid w:val="00AB18BE"/>
    <w:rsid w:val="00AB550A"/>
    <w:rsid w:val="00AB55B9"/>
    <w:rsid w:val="00AC60A9"/>
    <w:rsid w:val="00AD5F15"/>
    <w:rsid w:val="00AE18C1"/>
    <w:rsid w:val="00AF2377"/>
    <w:rsid w:val="00AF5AE8"/>
    <w:rsid w:val="00B120C7"/>
    <w:rsid w:val="00B22AC4"/>
    <w:rsid w:val="00B24932"/>
    <w:rsid w:val="00B32CF7"/>
    <w:rsid w:val="00B5124A"/>
    <w:rsid w:val="00B5584A"/>
    <w:rsid w:val="00B67AD9"/>
    <w:rsid w:val="00B71280"/>
    <w:rsid w:val="00B75AE2"/>
    <w:rsid w:val="00B80130"/>
    <w:rsid w:val="00B811A7"/>
    <w:rsid w:val="00B812E0"/>
    <w:rsid w:val="00B82E9F"/>
    <w:rsid w:val="00B84AEA"/>
    <w:rsid w:val="00B867E4"/>
    <w:rsid w:val="00B92F22"/>
    <w:rsid w:val="00B940FC"/>
    <w:rsid w:val="00BC02DE"/>
    <w:rsid w:val="00BC0446"/>
    <w:rsid w:val="00BC0767"/>
    <w:rsid w:val="00BC3FCE"/>
    <w:rsid w:val="00BC698F"/>
    <w:rsid w:val="00BD5BE3"/>
    <w:rsid w:val="00BF28F7"/>
    <w:rsid w:val="00BF4DA1"/>
    <w:rsid w:val="00BF5914"/>
    <w:rsid w:val="00BF6311"/>
    <w:rsid w:val="00C16878"/>
    <w:rsid w:val="00C206AF"/>
    <w:rsid w:val="00C24617"/>
    <w:rsid w:val="00C24862"/>
    <w:rsid w:val="00C3105B"/>
    <w:rsid w:val="00C355CC"/>
    <w:rsid w:val="00C356A5"/>
    <w:rsid w:val="00C41AC6"/>
    <w:rsid w:val="00C5142A"/>
    <w:rsid w:val="00C56A31"/>
    <w:rsid w:val="00C66A31"/>
    <w:rsid w:val="00C67610"/>
    <w:rsid w:val="00C7237F"/>
    <w:rsid w:val="00C86AA1"/>
    <w:rsid w:val="00C86B79"/>
    <w:rsid w:val="00C8771E"/>
    <w:rsid w:val="00C97497"/>
    <w:rsid w:val="00CA372D"/>
    <w:rsid w:val="00CA55B4"/>
    <w:rsid w:val="00CA6B53"/>
    <w:rsid w:val="00CB0538"/>
    <w:rsid w:val="00CC4947"/>
    <w:rsid w:val="00CC5DE7"/>
    <w:rsid w:val="00CC63BB"/>
    <w:rsid w:val="00CC6D88"/>
    <w:rsid w:val="00CC7506"/>
    <w:rsid w:val="00CD1A0A"/>
    <w:rsid w:val="00CD240D"/>
    <w:rsid w:val="00CE22BA"/>
    <w:rsid w:val="00CE455E"/>
    <w:rsid w:val="00CF1807"/>
    <w:rsid w:val="00CF37A4"/>
    <w:rsid w:val="00CF5963"/>
    <w:rsid w:val="00D00096"/>
    <w:rsid w:val="00D00711"/>
    <w:rsid w:val="00D07A23"/>
    <w:rsid w:val="00D127FF"/>
    <w:rsid w:val="00D135D9"/>
    <w:rsid w:val="00D143A0"/>
    <w:rsid w:val="00D15FBC"/>
    <w:rsid w:val="00D37460"/>
    <w:rsid w:val="00D41D69"/>
    <w:rsid w:val="00D50D3F"/>
    <w:rsid w:val="00D51825"/>
    <w:rsid w:val="00D653C1"/>
    <w:rsid w:val="00D6746F"/>
    <w:rsid w:val="00D719A5"/>
    <w:rsid w:val="00D738DD"/>
    <w:rsid w:val="00D742A7"/>
    <w:rsid w:val="00D80539"/>
    <w:rsid w:val="00D832C5"/>
    <w:rsid w:val="00D86B5E"/>
    <w:rsid w:val="00D8770F"/>
    <w:rsid w:val="00D8781A"/>
    <w:rsid w:val="00D92BC2"/>
    <w:rsid w:val="00D94B55"/>
    <w:rsid w:val="00DA3772"/>
    <w:rsid w:val="00DB0A62"/>
    <w:rsid w:val="00DB29EE"/>
    <w:rsid w:val="00DB2E70"/>
    <w:rsid w:val="00DB59BB"/>
    <w:rsid w:val="00DB74A6"/>
    <w:rsid w:val="00DC5367"/>
    <w:rsid w:val="00DC74BC"/>
    <w:rsid w:val="00DD142F"/>
    <w:rsid w:val="00DD530B"/>
    <w:rsid w:val="00DD7C75"/>
    <w:rsid w:val="00DE09EF"/>
    <w:rsid w:val="00DE525F"/>
    <w:rsid w:val="00DE74D0"/>
    <w:rsid w:val="00E01406"/>
    <w:rsid w:val="00E04EE8"/>
    <w:rsid w:val="00E068AB"/>
    <w:rsid w:val="00E1134C"/>
    <w:rsid w:val="00E17A77"/>
    <w:rsid w:val="00E20212"/>
    <w:rsid w:val="00E210DD"/>
    <w:rsid w:val="00E347A4"/>
    <w:rsid w:val="00E52AA8"/>
    <w:rsid w:val="00E53E16"/>
    <w:rsid w:val="00E54D1B"/>
    <w:rsid w:val="00E54F6D"/>
    <w:rsid w:val="00E56566"/>
    <w:rsid w:val="00E57DC4"/>
    <w:rsid w:val="00E640D2"/>
    <w:rsid w:val="00E64519"/>
    <w:rsid w:val="00E7225C"/>
    <w:rsid w:val="00E77C08"/>
    <w:rsid w:val="00E85EBA"/>
    <w:rsid w:val="00E9014D"/>
    <w:rsid w:val="00E9496F"/>
    <w:rsid w:val="00EA4C7B"/>
    <w:rsid w:val="00EA52BD"/>
    <w:rsid w:val="00EA6B1E"/>
    <w:rsid w:val="00EB0EED"/>
    <w:rsid w:val="00EB3081"/>
    <w:rsid w:val="00EB35DE"/>
    <w:rsid w:val="00EB6698"/>
    <w:rsid w:val="00EC2193"/>
    <w:rsid w:val="00EC3BBB"/>
    <w:rsid w:val="00EC7490"/>
    <w:rsid w:val="00ED2A7A"/>
    <w:rsid w:val="00ED2AA9"/>
    <w:rsid w:val="00ED5C77"/>
    <w:rsid w:val="00EE2A08"/>
    <w:rsid w:val="00EE3052"/>
    <w:rsid w:val="00EE3EC4"/>
    <w:rsid w:val="00EE5467"/>
    <w:rsid w:val="00EE5588"/>
    <w:rsid w:val="00EF1DBA"/>
    <w:rsid w:val="00EF26B5"/>
    <w:rsid w:val="00EF553B"/>
    <w:rsid w:val="00F06E4B"/>
    <w:rsid w:val="00F13488"/>
    <w:rsid w:val="00F2194F"/>
    <w:rsid w:val="00F31202"/>
    <w:rsid w:val="00F33220"/>
    <w:rsid w:val="00F41CF7"/>
    <w:rsid w:val="00F41E23"/>
    <w:rsid w:val="00F50C2C"/>
    <w:rsid w:val="00F51260"/>
    <w:rsid w:val="00F5174F"/>
    <w:rsid w:val="00F57C7A"/>
    <w:rsid w:val="00F602A7"/>
    <w:rsid w:val="00F645C8"/>
    <w:rsid w:val="00F654EF"/>
    <w:rsid w:val="00F7730A"/>
    <w:rsid w:val="00F803A4"/>
    <w:rsid w:val="00F86BE6"/>
    <w:rsid w:val="00FA1257"/>
    <w:rsid w:val="00FA4651"/>
    <w:rsid w:val="00FA5E29"/>
    <w:rsid w:val="00FB0103"/>
    <w:rsid w:val="00FB2A6F"/>
    <w:rsid w:val="00FB46AC"/>
    <w:rsid w:val="00FB7A15"/>
    <w:rsid w:val="00FC3C3D"/>
    <w:rsid w:val="00FC3D9D"/>
    <w:rsid w:val="00FC423C"/>
    <w:rsid w:val="00FD52E3"/>
    <w:rsid w:val="00FD7602"/>
    <w:rsid w:val="00FE2CF3"/>
    <w:rsid w:val="00FF37DD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84397"/>
  <w15:chartTrackingRefBased/>
  <w15:docId w15:val="{5B3A6826-DB16-438B-ACF1-014D3394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BD"/>
    <w:pPr>
      <w:keepNext/>
      <w:keepLines/>
      <w:spacing w:before="120" w:after="12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BD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B3E48"/>
    <w:pPr>
      <w:spacing w:before="240" w:after="12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48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48"/>
    <w:pPr>
      <w:numPr>
        <w:ilvl w:val="1"/>
      </w:numPr>
      <w:spacing w:after="120" w:line="240" w:lineRule="auto"/>
      <w:jc w:val="center"/>
    </w:pPr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48"/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BF63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4FC1"/>
    <w:pPr>
      <w:spacing w:after="0" w:line="240" w:lineRule="auto"/>
    </w:pPr>
  </w:style>
  <w:style w:type="character" w:customStyle="1" w:styleId="salnbdy">
    <w:name w:val="s_aln_bdy"/>
    <w:basedOn w:val="DefaultParagraphFont"/>
    <w:rsid w:val="00983C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A145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litbdy">
    <w:name w:val="s_lit_bdy"/>
    <w:basedOn w:val="DefaultParagraphFont"/>
    <w:rsid w:val="00EA4C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506F86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61737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table" w:styleId="TableGrid">
    <w:name w:val="Table Grid"/>
    <w:basedOn w:val="TableNormal"/>
    <w:uiPriority w:val="39"/>
    <w:rsid w:val="0026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A5"/>
  </w:style>
  <w:style w:type="paragraph" w:styleId="Footer">
    <w:name w:val="footer"/>
    <w:basedOn w:val="Normal"/>
    <w:link w:val="FooterChar"/>
    <w:uiPriority w:val="99"/>
    <w:unhideWhenUsed/>
    <w:rsid w:val="0045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A5"/>
  </w:style>
  <w:style w:type="character" w:customStyle="1" w:styleId="ListParagraphChar">
    <w:name w:val="List Paragraph Char"/>
    <w:aliases w:val="heading 2 Char"/>
    <w:link w:val="ListParagraph"/>
    <w:uiPriority w:val="34"/>
    <w:locked/>
    <w:rsid w:val="00BF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2023-11-21T12:50:00Z</cp:lastPrinted>
  <dcterms:created xsi:type="dcterms:W3CDTF">2023-11-16T16:04:00Z</dcterms:created>
  <dcterms:modified xsi:type="dcterms:W3CDTF">2023-11-22T11:04:00Z</dcterms:modified>
</cp:coreProperties>
</file>