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7B47" w14:textId="00B9CC0F" w:rsidR="0088484C" w:rsidRPr="000353C8" w:rsidRDefault="0088484C" w:rsidP="0088484C">
      <w:pPr>
        <w:tabs>
          <w:tab w:val="left" w:pos="964"/>
          <w:tab w:val="left" w:pos="1080"/>
        </w:tabs>
        <w:spacing w:line="360" w:lineRule="auto"/>
        <w:jc w:val="center"/>
        <w:outlineLvl w:val="0"/>
        <w:rPr>
          <w:b/>
        </w:rPr>
      </w:pPr>
      <w:r w:rsidRPr="000353C8">
        <w:rPr>
          <w:b/>
        </w:rPr>
        <w:t xml:space="preserve">Ordin nr. </w:t>
      </w:r>
      <w:r w:rsidR="00705034" w:rsidRPr="000353C8">
        <w:rPr>
          <w:b/>
        </w:rPr>
        <w:t xml:space="preserve">     </w:t>
      </w:r>
      <w:r w:rsidR="004044D0" w:rsidRPr="000353C8">
        <w:rPr>
          <w:b/>
        </w:rPr>
        <w:t xml:space="preserve"> </w:t>
      </w:r>
      <w:r w:rsidR="00A27F2D" w:rsidRPr="000353C8">
        <w:rPr>
          <w:b/>
        </w:rPr>
        <w:t xml:space="preserve">    </w:t>
      </w:r>
      <w:r w:rsidR="00B21615" w:rsidRPr="000353C8">
        <w:rPr>
          <w:b/>
        </w:rPr>
        <w:t xml:space="preserve">din </w:t>
      </w:r>
      <w:r w:rsidR="002D5830" w:rsidRPr="000353C8">
        <w:rPr>
          <w:b/>
        </w:rPr>
        <w:t xml:space="preserve">   </w:t>
      </w:r>
      <w:r w:rsidR="00B56ECA" w:rsidRPr="000353C8">
        <w:rPr>
          <w:b/>
        </w:rPr>
        <w:t xml:space="preserve"> </w:t>
      </w:r>
      <w:r w:rsidR="002D5830" w:rsidRPr="000353C8">
        <w:rPr>
          <w:b/>
        </w:rPr>
        <w:t>12.2023</w:t>
      </w:r>
    </w:p>
    <w:p w14:paraId="69FE8EC6" w14:textId="78E669BD" w:rsidR="001536C8" w:rsidRPr="000353C8" w:rsidRDefault="00A416E1" w:rsidP="00C03410">
      <w:pPr>
        <w:spacing w:line="276" w:lineRule="auto"/>
        <w:jc w:val="center"/>
        <w:rPr>
          <w:b/>
          <w:bCs/>
        </w:rPr>
      </w:pPr>
      <w:r w:rsidRPr="000353C8">
        <w:rPr>
          <w:b/>
          <w:bCs/>
        </w:rPr>
        <w:t>privind</w:t>
      </w:r>
      <w:r w:rsidR="001536C8" w:rsidRPr="000353C8">
        <w:rPr>
          <w:b/>
          <w:bCs/>
        </w:rPr>
        <w:t xml:space="preserve"> aprobarea tarifului mediu pentru serviciul de transport</w:t>
      </w:r>
      <w:r w:rsidR="00577BA2" w:rsidRPr="000353C8">
        <w:rPr>
          <w:b/>
          <w:bCs/>
        </w:rPr>
        <w:t xml:space="preserve"> al energiei electrice</w:t>
      </w:r>
      <w:r w:rsidR="004A61CD" w:rsidRPr="000353C8">
        <w:rPr>
          <w:b/>
          <w:bCs/>
        </w:rPr>
        <w:t xml:space="preserve">, </w:t>
      </w:r>
      <w:r w:rsidR="006233E7" w:rsidRPr="000353C8">
        <w:rPr>
          <w:b/>
          <w:bCs/>
        </w:rPr>
        <w:t xml:space="preserve">                               </w:t>
      </w:r>
      <w:r w:rsidR="004A61CD" w:rsidRPr="000353C8">
        <w:rPr>
          <w:b/>
          <w:bCs/>
        </w:rPr>
        <w:t>a component</w:t>
      </w:r>
      <w:r w:rsidR="00C0647B" w:rsidRPr="000353C8">
        <w:rPr>
          <w:b/>
          <w:bCs/>
        </w:rPr>
        <w:t>elor</w:t>
      </w:r>
      <w:r w:rsidR="00C0647B" w:rsidRPr="000353C8">
        <w:t xml:space="preserve"> </w:t>
      </w:r>
      <w:r w:rsidR="00C0647B" w:rsidRPr="000353C8">
        <w:rPr>
          <w:b/>
          <w:bCs/>
        </w:rPr>
        <w:t>tarifului</w:t>
      </w:r>
      <w:r w:rsidR="00C03410" w:rsidRPr="000353C8">
        <w:rPr>
          <w:b/>
          <w:bCs/>
        </w:rPr>
        <w:t xml:space="preserve"> de </w:t>
      </w:r>
      <w:r w:rsidR="00C0647B" w:rsidRPr="000353C8">
        <w:rPr>
          <w:b/>
          <w:bCs/>
        </w:rPr>
        <w:t>transport de introducere a energiei electrice în rețe</w:t>
      </w:r>
      <w:r w:rsidR="00AE1348" w:rsidRPr="000353C8">
        <w:rPr>
          <w:b/>
          <w:bCs/>
        </w:rPr>
        <w:t>le</w:t>
      </w:r>
      <w:r w:rsidR="00C0647B" w:rsidRPr="000353C8">
        <w:rPr>
          <w:b/>
          <w:bCs/>
        </w:rPr>
        <w:t xml:space="preserve"> (T</w:t>
      </w:r>
      <w:r w:rsidR="00982485" w:rsidRPr="000353C8">
        <w:rPr>
          <w:b/>
          <w:bCs/>
        </w:rPr>
        <w:t>_</w:t>
      </w:r>
      <w:r w:rsidR="00C0647B" w:rsidRPr="000353C8">
        <w:rPr>
          <w:b/>
          <w:bCs/>
        </w:rPr>
        <w:t>G) și de extragere a energiei electrice din rețe</w:t>
      </w:r>
      <w:r w:rsidR="00AE1348" w:rsidRPr="000353C8">
        <w:rPr>
          <w:b/>
          <w:bCs/>
        </w:rPr>
        <w:t>le</w:t>
      </w:r>
      <w:r w:rsidR="00C0647B" w:rsidRPr="000353C8">
        <w:rPr>
          <w:b/>
          <w:bCs/>
        </w:rPr>
        <w:t xml:space="preserve"> (T</w:t>
      </w:r>
      <w:r w:rsidR="00982485" w:rsidRPr="000353C8">
        <w:rPr>
          <w:b/>
          <w:bCs/>
        </w:rPr>
        <w:t>_</w:t>
      </w:r>
      <w:r w:rsidR="00C0647B" w:rsidRPr="000353C8">
        <w:rPr>
          <w:b/>
          <w:bCs/>
        </w:rPr>
        <w:t>L</w:t>
      </w:r>
      <w:r w:rsidR="00AE1348" w:rsidRPr="000353C8">
        <w:rPr>
          <w:b/>
          <w:bCs/>
        </w:rPr>
        <w:t>)</w:t>
      </w:r>
      <w:r w:rsidR="006D2E79" w:rsidRPr="000353C8">
        <w:rPr>
          <w:b/>
          <w:bCs/>
        </w:rPr>
        <w:t xml:space="preserve"> </w:t>
      </w:r>
      <w:r w:rsidR="009047D7" w:rsidRPr="000353C8">
        <w:rPr>
          <w:b/>
          <w:bCs/>
        </w:rPr>
        <w:t>și</w:t>
      </w:r>
      <w:r w:rsidR="00D46AFA" w:rsidRPr="000353C8">
        <w:rPr>
          <w:b/>
          <w:bCs/>
        </w:rPr>
        <w:t xml:space="preserve"> a </w:t>
      </w:r>
      <w:r w:rsidR="000268BC" w:rsidRPr="000353C8">
        <w:rPr>
          <w:b/>
          <w:bCs/>
        </w:rPr>
        <w:t>prețului</w:t>
      </w:r>
      <w:r w:rsidR="00D46AFA" w:rsidRPr="000353C8">
        <w:rPr>
          <w:b/>
          <w:bCs/>
        </w:rPr>
        <w:t xml:space="preserve"> reglementat</w:t>
      </w:r>
      <w:r w:rsidR="00C116B0" w:rsidRPr="000353C8">
        <w:rPr>
          <w:b/>
          <w:bCs/>
        </w:rPr>
        <w:t xml:space="preserve"> </w:t>
      </w:r>
      <w:r w:rsidR="00D46AFA" w:rsidRPr="000353C8">
        <w:rPr>
          <w:b/>
          <w:bCs/>
        </w:rPr>
        <w:t>pentru energia electrică reactivă</w:t>
      </w:r>
      <w:r w:rsidR="001536C8" w:rsidRPr="000353C8">
        <w:rPr>
          <w:b/>
          <w:bCs/>
        </w:rPr>
        <w:t xml:space="preserve">, </w:t>
      </w:r>
      <w:r w:rsidR="0083472F" w:rsidRPr="000353C8">
        <w:rPr>
          <w:b/>
          <w:bCs/>
        </w:rPr>
        <w:t xml:space="preserve"> </w:t>
      </w:r>
      <w:r w:rsidR="00E46E99" w:rsidRPr="000353C8">
        <w:rPr>
          <w:b/>
          <w:bCs/>
        </w:rPr>
        <w:t xml:space="preserve">practicate de </w:t>
      </w:r>
      <w:r w:rsidR="000A059B" w:rsidRPr="000353C8">
        <w:rPr>
          <w:b/>
          <w:bCs/>
        </w:rPr>
        <w:t>C</w:t>
      </w:r>
      <w:r w:rsidR="00D12131" w:rsidRPr="000353C8">
        <w:rPr>
          <w:b/>
          <w:bCs/>
        </w:rPr>
        <w:t xml:space="preserve">ompania </w:t>
      </w:r>
      <w:r w:rsidR="009047D7" w:rsidRPr="000353C8">
        <w:rPr>
          <w:b/>
          <w:bCs/>
        </w:rPr>
        <w:t>Națională</w:t>
      </w:r>
      <w:r w:rsidR="00D12131" w:rsidRPr="000353C8">
        <w:rPr>
          <w:b/>
          <w:bCs/>
        </w:rPr>
        <w:t xml:space="preserve"> de Transport al Energiei Electrice </w:t>
      </w:r>
      <w:r w:rsidR="00D12131" w:rsidRPr="000353C8">
        <w:rPr>
          <w:b/>
          <w:bCs/>
          <w:lang w:val="fr-FR"/>
        </w:rPr>
        <w:t>“</w:t>
      </w:r>
      <w:r w:rsidR="00D12131" w:rsidRPr="000353C8">
        <w:rPr>
          <w:b/>
          <w:bCs/>
        </w:rPr>
        <w:t>Transelectrica</w:t>
      </w:r>
      <w:r w:rsidR="00D12131" w:rsidRPr="000353C8">
        <w:rPr>
          <w:b/>
          <w:bCs/>
          <w:lang w:val="fr-FR"/>
        </w:rPr>
        <w:t xml:space="preserve">” </w:t>
      </w:r>
      <w:r w:rsidR="00CC7AA1" w:rsidRPr="000353C8">
        <w:rPr>
          <w:b/>
          <w:bCs/>
          <w:lang w:val="fr-FR"/>
        </w:rPr>
        <w:t xml:space="preserve">- </w:t>
      </w:r>
      <w:r w:rsidR="000A059B" w:rsidRPr="000353C8">
        <w:rPr>
          <w:b/>
          <w:bCs/>
        </w:rPr>
        <w:t>S.A.</w:t>
      </w:r>
    </w:p>
    <w:p w14:paraId="65B83A43" w14:textId="2E68A8C1" w:rsidR="00AC3A99" w:rsidRPr="000353C8" w:rsidRDefault="00AC3A99" w:rsidP="00AC3A99">
      <w:pPr>
        <w:spacing w:line="276" w:lineRule="auto"/>
        <w:jc w:val="both"/>
        <w:rPr>
          <w:b/>
          <w:bCs/>
        </w:rPr>
      </w:pPr>
    </w:p>
    <w:p w14:paraId="67A0119A" w14:textId="127B0BBB" w:rsidR="00635378" w:rsidRPr="000353C8" w:rsidRDefault="00635378" w:rsidP="006802C5">
      <w:pPr>
        <w:spacing w:after="120" w:line="276" w:lineRule="auto"/>
        <w:jc w:val="both"/>
      </w:pPr>
      <w:r w:rsidRPr="000353C8">
        <w:t>Având în vedere prevederile</w:t>
      </w:r>
      <w:r w:rsidR="00FC5B8D" w:rsidRPr="000353C8">
        <w:t xml:space="preserve"> Regulamentului (UE) 2022/1854 al Consiliului din 6 octombrie 2022 privind o intervenție de urgență pentru abordarea problemei prețurilor ridicate la energie, ale</w:t>
      </w:r>
      <w:r w:rsidRPr="000353C8">
        <w:t xml:space="preserve"> art. 75 alin. (1)</w:t>
      </w:r>
      <w:r w:rsidR="006233E7" w:rsidRPr="000353C8">
        <w:t xml:space="preserve">                </w:t>
      </w:r>
      <w:r w:rsidRPr="000353C8">
        <w:t xml:space="preserve"> lit. </w:t>
      </w:r>
      <w:r w:rsidR="008C2E21" w:rsidRPr="000353C8">
        <w:t>a</w:t>
      </w:r>
      <w:r w:rsidRPr="000353C8">
        <w:t>), art. 76 alin</w:t>
      </w:r>
      <w:r w:rsidR="00C03410" w:rsidRPr="000353C8">
        <w:t>.</w:t>
      </w:r>
      <w:r w:rsidRPr="000353C8">
        <w:t xml:space="preserve"> (1)</w:t>
      </w:r>
      <w:r w:rsidR="00C03410" w:rsidRPr="000353C8">
        <w:t xml:space="preserve"> și</w:t>
      </w:r>
      <w:r w:rsidRPr="000353C8">
        <w:t xml:space="preserve"> art. 79 alin</w:t>
      </w:r>
      <w:r w:rsidR="00C03410" w:rsidRPr="000353C8">
        <w:t>.</w:t>
      </w:r>
      <w:r w:rsidRPr="000353C8">
        <w:t xml:space="preserve"> (</w:t>
      </w:r>
      <w:r w:rsidR="00F54308" w:rsidRPr="000353C8">
        <w:t>1</w:t>
      </w:r>
      <w:r w:rsidRPr="000353C8">
        <w:t>)</w:t>
      </w:r>
      <w:r w:rsidR="00F54308" w:rsidRPr="000353C8">
        <w:t xml:space="preserve">, (4) </w:t>
      </w:r>
      <w:r w:rsidR="008A7065" w:rsidRPr="000353C8">
        <w:t>și</w:t>
      </w:r>
      <w:r w:rsidR="00C03410" w:rsidRPr="000353C8">
        <w:t xml:space="preserve"> (</w:t>
      </w:r>
      <w:r w:rsidR="00F54308" w:rsidRPr="000353C8">
        <w:t>5</w:t>
      </w:r>
      <w:r w:rsidR="00C03410" w:rsidRPr="000353C8">
        <w:t xml:space="preserve">) </w:t>
      </w:r>
      <w:r w:rsidRPr="000353C8">
        <w:t xml:space="preserve">din Legea energiei electrice </w:t>
      </w:r>
      <w:r w:rsidR="009047D7" w:rsidRPr="000353C8">
        <w:t>și</w:t>
      </w:r>
      <w:r w:rsidRPr="000353C8">
        <w:t xml:space="preserve"> a gazelor naturale </w:t>
      </w:r>
      <w:r w:rsidR="006233E7" w:rsidRPr="000353C8">
        <w:t xml:space="preserve">                     </w:t>
      </w:r>
      <w:r w:rsidRPr="000353C8">
        <w:t xml:space="preserve">nr. 123/2012, </w:t>
      </w:r>
      <w:r w:rsidR="00A416E1" w:rsidRPr="000353C8">
        <w:t xml:space="preserve">cu modificările </w:t>
      </w:r>
      <w:r w:rsidR="00C24627" w:rsidRPr="000353C8">
        <w:t>și</w:t>
      </w:r>
      <w:r w:rsidR="00A416E1" w:rsidRPr="000353C8">
        <w:t xml:space="preserve"> completările ulterioare,</w:t>
      </w:r>
      <w:r w:rsidR="00912701" w:rsidRPr="000353C8">
        <w:t xml:space="preserve"> </w:t>
      </w:r>
      <w:r w:rsidR="00C43C96" w:rsidRPr="000353C8">
        <w:t xml:space="preserve">art. 2 </w:t>
      </w:r>
      <w:r w:rsidR="00C43C96" w:rsidRPr="000353C8">
        <w:rPr>
          <w:rFonts w:eastAsia="Times New Roman"/>
        </w:rPr>
        <w:t>alin.</w:t>
      </w:r>
      <w:r w:rsidR="00912701" w:rsidRPr="000353C8">
        <w:rPr>
          <w:rFonts w:eastAsia="Times New Roman"/>
          <w:lang w:val="en-US"/>
        </w:rPr>
        <w:t xml:space="preserve"> 3^3 din </w:t>
      </w:r>
      <w:r w:rsidR="00912701" w:rsidRPr="000353C8">
        <w:rPr>
          <w:rFonts w:eastAsia="Times New Roman"/>
        </w:rPr>
        <w:t xml:space="preserve">Ordonanța de Urgență a Guvernului nr. 33/2007 </w:t>
      </w:r>
      <w:r w:rsidR="00912701" w:rsidRPr="000353C8">
        <w:rPr>
          <w:rFonts w:eastAsia="Calibri"/>
        </w:rPr>
        <w:t xml:space="preserve">privind organizarea și funcționarea Autorității Naționale de Reglementare în Domeniul Energiei, aprobată cu modificări și completări prin Legea nr. 160/2012, cu modificările </w:t>
      </w:r>
      <w:r w:rsidR="00CD6880" w:rsidRPr="000353C8">
        <w:rPr>
          <w:rFonts w:eastAsia="Calibri"/>
        </w:rPr>
        <w:t>și</w:t>
      </w:r>
      <w:r w:rsidR="00912701" w:rsidRPr="000353C8">
        <w:rPr>
          <w:rFonts w:eastAsia="Calibri"/>
        </w:rPr>
        <w:t xml:space="preserve"> completările ulterioare,</w:t>
      </w:r>
      <w:r w:rsidR="00912701" w:rsidRPr="000353C8">
        <w:rPr>
          <w:rFonts w:eastAsia="Times New Roman"/>
          <w:lang w:val="en-US"/>
        </w:rPr>
        <w:t xml:space="preserve"> </w:t>
      </w:r>
      <w:r w:rsidR="006802C5" w:rsidRPr="000353C8">
        <w:t>ale art.</w:t>
      </w:r>
      <w:r w:rsidR="00C43C96" w:rsidRPr="000353C8">
        <w:t xml:space="preserve"> </w:t>
      </w:r>
      <w:r w:rsidR="006802C5" w:rsidRPr="000353C8">
        <w:t xml:space="preserve">14 </w:t>
      </w:r>
      <w:r w:rsidR="00B0794A" w:rsidRPr="000353C8">
        <w:t xml:space="preserve">alin. (2) </w:t>
      </w:r>
      <w:r w:rsidR="00FC5B8D" w:rsidRPr="000353C8">
        <w:t xml:space="preserve">din </w:t>
      </w:r>
      <w:r w:rsidR="006802C5" w:rsidRPr="000353C8">
        <w:t xml:space="preserve">Ordonanța de urgență nr. 27/2022 privind măsurile aplicabile </w:t>
      </w:r>
      <w:r w:rsidR="0082433B" w:rsidRPr="000353C8">
        <w:t>clienților</w:t>
      </w:r>
      <w:r w:rsidR="006802C5" w:rsidRPr="000353C8">
        <w:t xml:space="preserve"> finali din </w:t>
      </w:r>
      <w:r w:rsidR="0082433B" w:rsidRPr="000353C8">
        <w:t>piața</w:t>
      </w:r>
      <w:r w:rsidR="006802C5" w:rsidRPr="000353C8">
        <w:t xml:space="preserve"> de energie electrică </w:t>
      </w:r>
      <w:r w:rsidR="000F6FFB" w:rsidRPr="000353C8">
        <w:t>și</w:t>
      </w:r>
      <w:r w:rsidR="006802C5" w:rsidRPr="000353C8">
        <w:t xml:space="preserve"> gaze naturale în perioada 1 aprilie 2022-31 martie 2023, precum </w:t>
      </w:r>
      <w:r w:rsidR="000F6FFB" w:rsidRPr="000353C8">
        <w:t>și</w:t>
      </w:r>
      <w:r w:rsidR="006802C5" w:rsidRPr="000353C8">
        <w:t xml:space="preserve"> pentru modificarea </w:t>
      </w:r>
      <w:r w:rsidR="000F6FFB" w:rsidRPr="000353C8">
        <w:t>și</w:t>
      </w:r>
      <w:r w:rsidR="006802C5" w:rsidRPr="000353C8">
        <w:t xml:space="preserve"> completarea unor acte normative din domeniul energiei, </w:t>
      </w:r>
      <w:r w:rsidR="002E2FE8" w:rsidRPr="000353C8">
        <w:t xml:space="preserve">aprobată cu modificări și completări prin Legea nr. 206/2022, </w:t>
      </w:r>
      <w:r w:rsidR="006802C5" w:rsidRPr="000353C8">
        <w:t>cu modificările și completările ulterioare</w:t>
      </w:r>
      <w:r w:rsidR="00FC5B8D" w:rsidRPr="000353C8">
        <w:t xml:space="preserve"> și ale art. 3 alin. (3) din Anexa 11 la aceeași Ordonanță de urgență </w:t>
      </w:r>
      <w:r w:rsidR="0075106E" w:rsidRPr="000353C8">
        <w:t>a Guvernului</w:t>
      </w:r>
      <w:r w:rsidR="006802C5" w:rsidRPr="000353C8">
        <w:t xml:space="preserve">, </w:t>
      </w:r>
      <w:r w:rsidR="007D4DD6" w:rsidRPr="000353C8">
        <w:t xml:space="preserve">ale </w:t>
      </w:r>
      <w:r w:rsidR="00F21CE4" w:rsidRPr="000353C8">
        <w:t>Metodologiei de stabilire a tarifelor pentru serviciul de transport al energiei electrice, aprobată prin Ordinul</w:t>
      </w:r>
      <w:r w:rsidR="00C03410" w:rsidRPr="000353C8">
        <w:t xml:space="preserve"> președintelui </w:t>
      </w:r>
      <w:r w:rsidR="009047D7" w:rsidRPr="000353C8">
        <w:rPr>
          <w:bCs/>
        </w:rPr>
        <w:t>Autorității</w:t>
      </w:r>
      <w:r w:rsidR="008C4AC3" w:rsidRPr="000353C8">
        <w:rPr>
          <w:bCs/>
        </w:rPr>
        <w:t xml:space="preserve"> </w:t>
      </w:r>
      <w:r w:rsidR="009047D7" w:rsidRPr="000353C8">
        <w:rPr>
          <w:bCs/>
        </w:rPr>
        <w:t>Naționale</w:t>
      </w:r>
      <w:r w:rsidR="008C4AC3" w:rsidRPr="000353C8">
        <w:rPr>
          <w:bCs/>
        </w:rPr>
        <w:t xml:space="preserve"> de Reglementare în Domeniul Energiei</w:t>
      </w:r>
      <w:r w:rsidR="008C4AC3" w:rsidRPr="000353C8">
        <w:t xml:space="preserve"> </w:t>
      </w:r>
      <w:r w:rsidR="00C03410" w:rsidRPr="000353C8">
        <w:t xml:space="preserve">nr. </w:t>
      </w:r>
      <w:r w:rsidR="00180063" w:rsidRPr="000353C8">
        <w:t>171/2019</w:t>
      </w:r>
      <w:r w:rsidR="00525A4A" w:rsidRPr="000353C8">
        <w:t>,</w:t>
      </w:r>
      <w:r w:rsidR="007A18EB" w:rsidRPr="000353C8">
        <w:t xml:space="preserve"> cu modificările și com</w:t>
      </w:r>
      <w:r w:rsidR="00721C0A" w:rsidRPr="000353C8">
        <w:t>p</w:t>
      </w:r>
      <w:r w:rsidR="007A18EB" w:rsidRPr="000353C8">
        <w:t>letările ulterioare,</w:t>
      </w:r>
      <w:r w:rsidR="00C77E8E" w:rsidRPr="000353C8">
        <w:rPr>
          <w:rFonts w:eastAsia="Calibri"/>
        </w:rPr>
        <w:t xml:space="preserve"> </w:t>
      </w:r>
      <w:r w:rsidR="00C77E8E" w:rsidRPr="000353C8">
        <w:t xml:space="preserve"> </w:t>
      </w:r>
      <w:r w:rsidR="007D4DD6" w:rsidRPr="000353C8">
        <w:t>ale</w:t>
      </w:r>
      <w:r w:rsidR="00D53CB9" w:rsidRPr="000353C8">
        <w:t xml:space="preserve"> </w:t>
      </w:r>
      <w:r w:rsidR="003F5271" w:rsidRPr="000353C8">
        <w:rPr>
          <w:rFonts w:eastAsia="Calibri"/>
        </w:rPr>
        <w:t xml:space="preserve">Ordinului președintelui Autorității Naționale de Reglementare în Domeniul Energiei nr. 75/2020 privind stabilirea ratei reglementate a </w:t>
      </w:r>
      <w:r w:rsidR="009047D7" w:rsidRPr="000353C8">
        <w:rPr>
          <w:rFonts w:eastAsia="Calibri"/>
        </w:rPr>
        <w:t>rentabilității</w:t>
      </w:r>
      <w:r w:rsidR="003F5271" w:rsidRPr="000353C8">
        <w:rPr>
          <w:rFonts w:eastAsia="Calibri"/>
        </w:rPr>
        <w:t xml:space="preserve"> capitalului investit aplicate la stabilirea tarifelor pentru serviciile de </w:t>
      </w:r>
      <w:r w:rsidR="009047D7" w:rsidRPr="000353C8">
        <w:rPr>
          <w:rFonts w:eastAsia="Calibri"/>
        </w:rPr>
        <w:t>distribuție</w:t>
      </w:r>
      <w:r w:rsidR="003F5271" w:rsidRPr="000353C8">
        <w:rPr>
          <w:rFonts w:eastAsia="Calibri"/>
        </w:rPr>
        <w:t xml:space="preserve">, de transport </w:t>
      </w:r>
      <w:r w:rsidR="009047D7" w:rsidRPr="000353C8">
        <w:rPr>
          <w:rFonts w:eastAsia="Calibri"/>
        </w:rPr>
        <w:t>și</w:t>
      </w:r>
      <w:r w:rsidR="003F5271" w:rsidRPr="000353C8">
        <w:rPr>
          <w:rFonts w:eastAsia="Calibri"/>
        </w:rPr>
        <w:t xml:space="preserve"> de sistem a energiei electrice </w:t>
      </w:r>
      <w:r w:rsidR="009047D7" w:rsidRPr="000353C8">
        <w:rPr>
          <w:rFonts w:eastAsia="Calibri"/>
        </w:rPr>
        <w:t>și</w:t>
      </w:r>
      <w:r w:rsidR="003F5271" w:rsidRPr="000353C8">
        <w:rPr>
          <w:rFonts w:eastAsia="Calibri"/>
        </w:rPr>
        <w:t xml:space="preserve"> gazelor naturale până la </w:t>
      </w:r>
      <w:r w:rsidR="009047D7" w:rsidRPr="000353C8">
        <w:rPr>
          <w:rFonts w:eastAsia="Calibri"/>
        </w:rPr>
        <w:t>sfârșitul</w:t>
      </w:r>
      <w:r w:rsidR="003F5271" w:rsidRPr="000353C8">
        <w:rPr>
          <w:rFonts w:eastAsia="Calibri"/>
        </w:rPr>
        <w:t xml:space="preserve"> perioadei a patra de reglementare </w:t>
      </w:r>
      <w:r w:rsidR="009047D7" w:rsidRPr="000353C8">
        <w:rPr>
          <w:rFonts w:eastAsia="Calibri"/>
        </w:rPr>
        <w:t>și</w:t>
      </w:r>
      <w:r w:rsidR="003F5271" w:rsidRPr="000353C8">
        <w:rPr>
          <w:rFonts w:eastAsia="Calibri"/>
        </w:rPr>
        <w:t xml:space="preserve"> de modificare a unor acte normative emise de Autoritatea </w:t>
      </w:r>
      <w:r w:rsidR="009047D7" w:rsidRPr="000353C8">
        <w:rPr>
          <w:rFonts w:eastAsia="Calibri"/>
        </w:rPr>
        <w:t>Națională</w:t>
      </w:r>
      <w:r w:rsidR="003F5271" w:rsidRPr="000353C8">
        <w:rPr>
          <w:rFonts w:eastAsia="Calibri"/>
        </w:rPr>
        <w:t xml:space="preserve"> de Reglementare în Domeniul Energiei, </w:t>
      </w:r>
      <w:r w:rsidR="00DF4231" w:rsidRPr="000353C8">
        <w:t xml:space="preserve"> </w:t>
      </w:r>
      <w:r w:rsidR="007D4DD6" w:rsidRPr="000353C8">
        <w:t>ale</w:t>
      </w:r>
      <w:r w:rsidR="00D53CB9" w:rsidRPr="000353C8">
        <w:t xml:space="preserve"> </w:t>
      </w:r>
      <w:r w:rsidR="00461C63" w:rsidRPr="000353C8">
        <w:t xml:space="preserve">Metodologiei privind stabilirea </w:t>
      </w:r>
      <w:r w:rsidR="009047D7" w:rsidRPr="000353C8">
        <w:t>obligațiilor</w:t>
      </w:r>
      <w:r w:rsidR="00461C63" w:rsidRPr="000353C8">
        <w:t xml:space="preserve"> de plată a energiei electrice reactive </w:t>
      </w:r>
      <w:r w:rsidR="009047D7" w:rsidRPr="000353C8">
        <w:t>și</w:t>
      </w:r>
      <w:r w:rsidR="00461C63" w:rsidRPr="000353C8">
        <w:t xml:space="preserve"> a </w:t>
      </w:r>
      <w:r w:rsidR="009047D7" w:rsidRPr="000353C8">
        <w:t>prețului</w:t>
      </w:r>
      <w:r w:rsidR="00461C63" w:rsidRPr="000353C8">
        <w:t xml:space="preserve"> reglementat pentru energia electrică reactivă, aprobat</w:t>
      </w:r>
      <w:r w:rsidR="00D53CB9" w:rsidRPr="000353C8">
        <w:t>ă</w:t>
      </w:r>
      <w:r w:rsidR="00461C63" w:rsidRPr="000353C8">
        <w:t xml:space="preserve"> prin Ordinul </w:t>
      </w:r>
      <w:r w:rsidR="009047D7" w:rsidRPr="000353C8">
        <w:t>președintelui</w:t>
      </w:r>
      <w:r w:rsidR="00461C63" w:rsidRPr="000353C8">
        <w:t xml:space="preserve"> </w:t>
      </w:r>
      <w:r w:rsidR="009047D7" w:rsidRPr="000353C8">
        <w:rPr>
          <w:bCs/>
        </w:rPr>
        <w:t>Autorității</w:t>
      </w:r>
      <w:r w:rsidR="006E1326" w:rsidRPr="000353C8">
        <w:rPr>
          <w:bCs/>
        </w:rPr>
        <w:t xml:space="preserve"> </w:t>
      </w:r>
      <w:r w:rsidR="009047D7" w:rsidRPr="000353C8">
        <w:rPr>
          <w:bCs/>
        </w:rPr>
        <w:t>Naționale</w:t>
      </w:r>
      <w:r w:rsidR="006E1326" w:rsidRPr="000353C8">
        <w:rPr>
          <w:bCs/>
        </w:rPr>
        <w:t xml:space="preserve"> de Reglementare în Domeniul Energiei</w:t>
      </w:r>
      <w:r w:rsidR="006E1326" w:rsidRPr="000353C8">
        <w:t xml:space="preserve"> </w:t>
      </w:r>
      <w:r w:rsidR="00461C63" w:rsidRPr="000353C8">
        <w:t>nr. 33/2014,</w:t>
      </w:r>
      <w:r w:rsidR="007615AD" w:rsidRPr="000353C8">
        <w:t xml:space="preserve"> cu modificările </w:t>
      </w:r>
      <w:r w:rsidR="009047D7" w:rsidRPr="000353C8">
        <w:t>și</w:t>
      </w:r>
      <w:r w:rsidR="007615AD" w:rsidRPr="000353C8">
        <w:t xml:space="preserve"> completările ulterioare, </w:t>
      </w:r>
      <w:r w:rsidR="004C2437" w:rsidRPr="000353C8">
        <w:t xml:space="preserve">ale Normelor metodologice privind </w:t>
      </w:r>
      <w:r w:rsidR="007755C9" w:rsidRPr="000353C8">
        <w:t>recunoașterea</w:t>
      </w:r>
      <w:r w:rsidR="004C2437" w:rsidRPr="000353C8">
        <w:t xml:space="preserve"> în tarife a costurilor suplimentare cu </w:t>
      </w:r>
      <w:r w:rsidR="007755C9" w:rsidRPr="000353C8">
        <w:t>achiziția</w:t>
      </w:r>
      <w:r w:rsidR="004C2437" w:rsidRPr="000353C8">
        <w:t xml:space="preserve"> de energie electrică pentru acoperirea consumului propriu tehnologic </w:t>
      </w:r>
      <w:r w:rsidR="007755C9" w:rsidRPr="000353C8">
        <w:t>față</w:t>
      </w:r>
      <w:r w:rsidR="004C2437" w:rsidRPr="000353C8">
        <w:t xml:space="preserve"> de costurile incluse în tarifele reglementate, aprobate prin Ordinul președintelui Autorității Naționale de Reglementare în Domeniul Energiei nr. 129/2022</w:t>
      </w:r>
      <w:r w:rsidR="00BE5B35" w:rsidRPr="000353C8">
        <w:t>, cu modificările și completările ulterioare</w:t>
      </w:r>
      <w:r w:rsidR="00DF4231" w:rsidRPr="000353C8">
        <w:t>,</w:t>
      </w:r>
      <w:r w:rsidR="00246895" w:rsidRPr="000353C8">
        <w:t xml:space="preserve"> </w:t>
      </w:r>
      <w:r w:rsidR="005E7DF0" w:rsidRPr="000353C8">
        <w:rPr>
          <w:rFonts w:eastAsia="Times New Roman"/>
          <w:lang w:val="en-US"/>
        </w:rPr>
        <w:t xml:space="preserve">ale Procedurii </w:t>
      </w:r>
      <w:r w:rsidR="005E7DF0" w:rsidRPr="001C5D17">
        <w:rPr>
          <w:rFonts w:eastAsia="Times New Roman"/>
        </w:rPr>
        <w:t xml:space="preserve">privind fundamentarea </w:t>
      </w:r>
      <w:r w:rsidR="001C5D17" w:rsidRPr="001C5D17">
        <w:rPr>
          <w:rFonts w:eastAsia="Times New Roman"/>
        </w:rPr>
        <w:t>și</w:t>
      </w:r>
      <w:r w:rsidR="005E7DF0" w:rsidRPr="001C5D17">
        <w:rPr>
          <w:rFonts w:eastAsia="Times New Roman"/>
        </w:rPr>
        <w:t xml:space="preserve"> aprobarea planurilor de dezvoltare </w:t>
      </w:r>
      <w:r w:rsidR="001C5D17" w:rsidRPr="001C5D17">
        <w:rPr>
          <w:rFonts w:eastAsia="Times New Roman"/>
        </w:rPr>
        <w:t>și</w:t>
      </w:r>
      <w:r w:rsidR="005E7DF0" w:rsidRPr="001C5D17">
        <w:rPr>
          <w:rFonts w:eastAsia="Times New Roman"/>
        </w:rPr>
        <w:t xml:space="preserve"> de </w:t>
      </w:r>
      <w:r w:rsidR="001C5D17" w:rsidRPr="001C5D17">
        <w:rPr>
          <w:rFonts w:eastAsia="Times New Roman"/>
        </w:rPr>
        <w:t>investiții</w:t>
      </w:r>
      <w:r w:rsidR="005E7DF0" w:rsidRPr="001C5D17">
        <w:rPr>
          <w:rFonts w:eastAsia="Times New Roman"/>
        </w:rPr>
        <w:t xml:space="preserve"> ale operatorului de transport </w:t>
      </w:r>
      <w:r w:rsidR="001C5D17" w:rsidRPr="001C5D17">
        <w:rPr>
          <w:rFonts w:eastAsia="Times New Roman"/>
        </w:rPr>
        <w:t>și</w:t>
      </w:r>
      <w:r w:rsidR="005E7DF0" w:rsidRPr="001C5D17">
        <w:rPr>
          <w:rFonts w:eastAsia="Times New Roman"/>
        </w:rPr>
        <w:t xml:space="preserve"> de sistem </w:t>
      </w:r>
      <w:r w:rsidR="001C5D17" w:rsidRPr="001C5D17">
        <w:rPr>
          <w:rFonts w:eastAsia="Times New Roman"/>
        </w:rPr>
        <w:t>și</w:t>
      </w:r>
      <w:r w:rsidR="005E7DF0" w:rsidRPr="001C5D17">
        <w:rPr>
          <w:rFonts w:eastAsia="Times New Roman"/>
        </w:rPr>
        <w:t xml:space="preserve"> ale operatorilor de </w:t>
      </w:r>
      <w:r w:rsidR="001C5D17" w:rsidRPr="001C5D17">
        <w:rPr>
          <w:rFonts w:eastAsia="Times New Roman"/>
        </w:rPr>
        <w:t>distribuție</w:t>
      </w:r>
      <w:r w:rsidR="005E7DF0" w:rsidRPr="001C5D17">
        <w:rPr>
          <w:rFonts w:eastAsia="Times New Roman"/>
        </w:rPr>
        <w:t xml:space="preserve"> a energiei electrice, cu modificările și completările ulterioare aprobată prin Ordinul președintelui Autorităţii </w:t>
      </w:r>
      <w:r w:rsidR="001C5D17" w:rsidRPr="001C5D17">
        <w:rPr>
          <w:rFonts w:eastAsia="Times New Roman"/>
        </w:rPr>
        <w:t>Naționale</w:t>
      </w:r>
      <w:r w:rsidR="005E7DF0" w:rsidRPr="001C5D17">
        <w:rPr>
          <w:rFonts w:eastAsia="Times New Roman"/>
        </w:rPr>
        <w:t xml:space="preserve"> de Reglementare în Domeniul Energiei nr. 98/2022, cu modificările și completările ulterioare</w:t>
      </w:r>
      <w:r w:rsidR="00655708" w:rsidRPr="001C5D17">
        <w:rPr>
          <w:iCs/>
        </w:rPr>
        <w:t xml:space="preserve">, </w:t>
      </w:r>
      <w:r w:rsidR="00246895" w:rsidRPr="001C5D17">
        <w:t>precum</w:t>
      </w:r>
      <w:r w:rsidR="00246895" w:rsidRPr="000353C8">
        <w:t xml:space="preserve"> și</w:t>
      </w:r>
      <w:r w:rsidR="0075106E" w:rsidRPr="000353C8">
        <w:t xml:space="preserve"> </w:t>
      </w:r>
      <w:r w:rsidR="0087115B" w:rsidRPr="000353C8">
        <w:t xml:space="preserve">ale Ordinul președintelui </w:t>
      </w:r>
      <w:r w:rsidR="0087115B" w:rsidRPr="000353C8">
        <w:rPr>
          <w:iCs/>
        </w:rPr>
        <w:t xml:space="preserve">Autorităţii Naționale de Reglementare în Domeniul Energiei nr. </w:t>
      </w:r>
      <w:r w:rsidR="00FC6396" w:rsidRPr="000353C8">
        <w:rPr>
          <w:iCs/>
        </w:rPr>
        <w:t>143/2021</w:t>
      </w:r>
      <w:r w:rsidR="0087115B" w:rsidRPr="000353C8">
        <w:rPr>
          <w:iCs/>
        </w:rPr>
        <w:t xml:space="preserve"> privind aprobarea tarifelor și contribuțiilor bănești percepute de Autoritatea Națională de Reglementare în Domeniul Energiei în anul 202</w:t>
      </w:r>
      <w:r w:rsidR="006519B0" w:rsidRPr="000353C8">
        <w:rPr>
          <w:iCs/>
        </w:rPr>
        <w:t>2</w:t>
      </w:r>
      <w:r w:rsidR="0087115B" w:rsidRPr="000353C8">
        <w:rPr>
          <w:iCs/>
        </w:rPr>
        <w:t xml:space="preserve">, </w:t>
      </w:r>
      <w:r w:rsidR="0038714C" w:rsidRPr="000353C8">
        <w:rPr>
          <w:iCs/>
        </w:rPr>
        <w:t>cu modificările</w:t>
      </w:r>
      <w:r w:rsidR="00F33DAE">
        <w:rPr>
          <w:iCs/>
        </w:rPr>
        <w:t xml:space="preserve"> </w:t>
      </w:r>
      <w:r w:rsidR="0038714C" w:rsidRPr="000353C8">
        <w:rPr>
          <w:iCs/>
        </w:rPr>
        <w:t>ulterioare,</w:t>
      </w:r>
      <w:r w:rsidR="00655708" w:rsidRPr="000353C8">
        <w:rPr>
          <w:iCs/>
        </w:rPr>
        <w:t xml:space="preserve"> </w:t>
      </w:r>
    </w:p>
    <w:p w14:paraId="02D0250E" w14:textId="63944573" w:rsidR="0088484C" w:rsidRPr="000353C8" w:rsidRDefault="00635378" w:rsidP="00AC3A99">
      <w:pPr>
        <w:spacing w:after="120" w:line="276" w:lineRule="auto"/>
        <w:jc w:val="both"/>
      </w:pPr>
      <w:r w:rsidRPr="000353C8">
        <w:t xml:space="preserve">în temeiul prevederilor </w:t>
      </w:r>
      <w:r w:rsidR="00CB1119" w:rsidRPr="000353C8">
        <w:t xml:space="preserve">art. </w:t>
      </w:r>
      <w:r w:rsidR="0088484C" w:rsidRPr="000353C8">
        <w:t>5 alin</w:t>
      </w:r>
      <w:r w:rsidR="001536C8" w:rsidRPr="000353C8">
        <w:t>. (1) lit. b)</w:t>
      </w:r>
      <w:r w:rsidR="00EF23F1" w:rsidRPr="000353C8">
        <w:t xml:space="preserve"> și</w:t>
      </w:r>
      <w:r w:rsidR="00225742" w:rsidRPr="000353C8">
        <w:t xml:space="preserve"> </w:t>
      </w:r>
      <w:r w:rsidR="009F2C38" w:rsidRPr="000353C8">
        <w:t>alin.</w:t>
      </w:r>
      <w:r w:rsidR="00126917" w:rsidRPr="000353C8">
        <w:t xml:space="preserve"> </w:t>
      </w:r>
      <w:r w:rsidR="00CB1119" w:rsidRPr="000353C8">
        <w:t>(5)</w:t>
      </w:r>
      <w:r w:rsidR="000D7D4E" w:rsidRPr="000353C8">
        <w:t xml:space="preserve"> </w:t>
      </w:r>
      <w:r w:rsidR="009047D7" w:rsidRPr="000353C8">
        <w:t>și</w:t>
      </w:r>
      <w:r w:rsidR="00C03410" w:rsidRPr="000353C8">
        <w:t xml:space="preserve"> </w:t>
      </w:r>
      <w:r w:rsidR="00CB1119" w:rsidRPr="000353C8">
        <w:t>ale art. 9 alin. (1) lit. c)</w:t>
      </w:r>
      <w:r w:rsidR="001536C8" w:rsidRPr="000353C8">
        <w:t xml:space="preserve"> </w:t>
      </w:r>
      <w:r w:rsidR="00C03410" w:rsidRPr="000353C8">
        <w:t xml:space="preserve">și lit. ab) </w:t>
      </w:r>
      <w:r w:rsidR="0088484C" w:rsidRPr="000353C8">
        <w:t xml:space="preserve">din </w:t>
      </w:r>
      <w:r w:rsidR="009047D7" w:rsidRPr="000353C8">
        <w:t>Ordonanța</w:t>
      </w:r>
      <w:r w:rsidR="0088484C" w:rsidRPr="000353C8">
        <w:t xml:space="preserve"> de </w:t>
      </w:r>
      <w:r w:rsidR="009047D7" w:rsidRPr="000353C8">
        <w:t>urgență</w:t>
      </w:r>
      <w:r w:rsidR="0088484C" w:rsidRPr="000353C8">
        <w:t xml:space="preserve"> a Guvernului nr. 33/2007 privind organizarea </w:t>
      </w:r>
      <w:r w:rsidR="002A30F1" w:rsidRPr="000353C8">
        <w:t>ș</w:t>
      </w:r>
      <w:r w:rsidR="0088484C" w:rsidRPr="000353C8">
        <w:t xml:space="preserve">i </w:t>
      </w:r>
      <w:r w:rsidR="009047D7" w:rsidRPr="000353C8">
        <w:t>funcționarea</w:t>
      </w:r>
      <w:r w:rsidR="0088484C" w:rsidRPr="000353C8">
        <w:t xml:space="preserve"> Autorităţii </w:t>
      </w:r>
      <w:r w:rsidR="009047D7" w:rsidRPr="000353C8">
        <w:t>Naționale</w:t>
      </w:r>
      <w:r w:rsidR="0088484C" w:rsidRPr="000353C8">
        <w:t xml:space="preserve"> de Reglementare în Domeniul Energie</w:t>
      </w:r>
      <w:r w:rsidR="00323059" w:rsidRPr="000353C8">
        <w:t>i</w:t>
      </w:r>
      <w:r w:rsidR="0088484C" w:rsidRPr="000353C8">
        <w:t xml:space="preserve">, aprobată cu modificări </w:t>
      </w:r>
      <w:r w:rsidR="009047D7" w:rsidRPr="000353C8">
        <w:t>și</w:t>
      </w:r>
      <w:r w:rsidR="0088484C" w:rsidRPr="000353C8">
        <w:t xml:space="preserve"> completări prin Legea nr. 160/2012,</w:t>
      </w:r>
      <w:r w:rsidR="004044D0" w:rsidRPr="000353C8">
        <w:t xml:space="preserve"> cu modificările și completările ulterioare,</w:t>
      </w:r>
      <w:r w:rsidR="0088484C" w:rsidRPr="000353C8">
        <w:t xml:space="preserve"> </w:t>
      </w:r>
    </w:p>
    <w:p w14:paraId="71DA9641" w14:textId="77777777" w:rsidR="00655708" w:rsidRPr="000353C8" w:rsidRDefault="009047D7" w:rsidP="004D5661">
      <w:pPr>
        <w:spacing w:before="120" w:after="120" w:line="276" w:lineRule="auto"/>
        <w:jc w:val="center"/>
        <w:outlineLvl w:val="0"/>
        <w:rPr>
          <w:b/>
        </w:rPr>
      </w:pPr>
      <w:r w:rsidRPr="000353C8">
        <w:rPr>
          <w:b/>
        </w:rPr>
        <w:t>președintele</w:t>
      </w:r>
      <w:r w:rsidR="0088484C" w:rsidRPr="000353C8">
        <w:rPr>
          <w:b/>
        </w:rPr>
        <w:t xml:space="preserve"> Autorităţii </w:t>
      </w:r>
      <w:r w:rsidRPr="000353C8">
        <w:rPr>
          <w:b/>
        </w:rPr>
        <w:t>Naționale</w:t>
      </w:r>
      <w:r w:rsidR="0088484C" w:rsidRPr="000353C8">
        <w:rPr>
          <w:b/>
        </w:rPr>
        <w:t xml:space="preserve"> de Reglementare în Domeniul Energiei emite următorul</w:t>
      </w:r>
    </w:p>
    <w:p w14:paraId="02C92804" w14:textId="77777777" w:rsidR="00655708" w:rsidRPr="000353C8" w:rsidRDefault="00655708" w:rsidP="004D5661">
      <w:pPr>
        <w:spacing w:before="120" w:after="120" w:line="276" w:lineRule="auto"/>
        <w:jc w:val="center"/>
        <w:outlineLvl w:val="0"/>
        <w:rPr>
          <w:b/>
        </w:rPr>
      </w:pPr>
    </w:p>
    <w:p w14:paraId="7546834B" w14:textId="77777777" w:rsidR="00655708" w:rsidRPr="000353C8" w:rsidRDefault="00655708" w:rsidP="004D5661">
      <w:pPr>
        <w:spacing w:before="120" w:after="120" w:line="276" w:lineRule="auto"/>
        <w:jc w:val="center"/>
        <w:outlineLvl w:val="0"/>
        <w:rPr>
          <w:b/>
        </w:rPr>
      </w:pPr>
    </w:p>
    <w:p w14:paraId="138CADDF" w14:textId="7A10E5A2" w:rsidR="00655708" w:rsidRPr="000353C8" w:rsidRDefault="00AC2FFE" w:rsidP="004D5661">
      <w:pPr>
        <w:spacing w:before="120" w:after="120" w:line="276" w:lineRule="auto"/>
        <w:jc w:val="center"/>
        <w:outlineLvl w:val="0"/>
        <w:rPr>
          <w:b/>
        </w:rPr>
      </w:pPr>
      <w:r w:rsidRPr="000353C8">
        <w:rPr>
          <w:b/>
        </w:rPr>
        <w:lastRenderedPageBreak/>
        <w:t xml:space="preserve"> </w:t>
      </w:r>
    </w:p>
    <w:p w14:paraId="1BA5A4B7" w14:textId="1E024B3F" w:rsidR="0088484C" w:rsidRPr="000353C8" w:rsidRDefault="00655708" w:rsidP="004D5661">
      <w:pPr>
        <w:spacing w:before="120" w:after="120" w:line="276" w:lineRule="auto"/>
        <w:jc w:val="center"/>
        <w:outlineLvl w:val="0"/>
        <w:rPr>
          <w:b/>
        </w:rPr>
      </w:pPr>
      <w:r w:rsidRPr="000353C8">
        <w:rPr>
          <w:b/>
        </w:rPr>
        <w:t>ORDIN</w:t>
      </w:r>
    </w:p>
    <w:p w14:paraId="1D843F1F" w14:textId="1340A402" w:rsidR="00FC304C" w:rsidRPr="000353C8" w:rsidRDefault="0088484C" w:rsidP="00655708">
      <w:pPr>
        <w:spacing w:line="276" w:lineRule="auto"/>
        <w:ind w:left="540" w:hanging="540"/>
        <w:jc w:val="both"/>
      </w:pPr>
      <w:r w:rsidRPr="000353C8">
        <w:t xml:space="preserve">Art. 1. </w:t>
      </w:r>
      <w:r w:rsidR="00CB1119" w:rsidRPr="000353C8">
        <w:t>Se aprobă tariful medi</w:t>
      </w:r>
      <w:r w:rsidR="000A497E" w:rsidRPr="000353C8">
        <w:t xml:space="preserve">u pentru serviciul de transport </w:t>
      </w:r>
      <w:r w:rsidR="00130AD3" w:rsidRPr="000353C8">
        <w:t xml:space="preserve">al energiei electrice </w:t>
      </w:r>
      <w:r w:rsidR="000A497E" w:rsidRPr="000353C8">
        <w:t>și</w:t>
      </w:r>
      <w:r w:rsidR="00CB1119" w:rsidRPr="000353C8">
        <w:t xml:space="preserve"> </w:t>
      </w:r>
      <w:r w:rsidR="0055318C" w:rsidRPr="000353C8">
        <w:rPr>
          <w:bCs/>
        </w:rPr>
        <w:t>componentele</w:t>
      </w:r>
      <w:r w:rsidR="0055318C" w:rsidRPr="000353C8">
        <w:t xml:space="preserve"> </w:t>
      </w:r>
      <w:r w:rsidR="0055318C" w:rsidRPr="000353C8">
        <w:rPr>
          <w:bCs/>
        </w:rPr>
        <w:t>tarifului de transport de introducere a energiei electrice în rețe</w:t>
      </w:r>
      <w:r w:rsidR="00C574FF" w:rsidRPr="000353C8">
        <w:rPr>
          <w:bCs/>
        </w:rPr>
        <w:t>le</w:t>
      </w:r>
      <w:r w:rsidR="0055318C" w:rsidRPr="000353C8">
        <w:rPr>
          <w:bCs/>
        </w:rPr>
        <w:t xml:space="preserve"> (T</w:t>
      </w:r>
      <w:r w:rsidR="00AD65C3" w:rsidRPr="000353C8">
        <w:rPr>
          <w:bCs/>
        </w:rPr>
        <w:t>_</w:t>
      </w:r>
      <w:r w:rsidR="0055318C" w:rsidRPr="000353C8">
        <w:rPr>
          <w:bCs/>
        </w:rPr>
        <w:t>G) și de extragere a energiei electrice din rețe</w:t>
      </w:r>
      <w:r w:rsidR="00C574FF" w:rsidRPr="000353C8">
        <w:rPr>
          <w:bCs/>
        </w:rPr>
        <w:t>le</w:t>
      </w:r>
      <w:r w:rsidR="0055318C" w:rsidRPr="000353C8">
        <w:rPr>
          <w:bCs/>
        </w:rPr>
        <w:t xml:space="preserve"> (T</w:t>
      </w:r>
      <w:r w:rsidR="00AD65C3" w:rsidRPr="000353C8">
        <w:rPr>
          <w:bCs/>
        </w:rPr>
        <w:t>_</w:t>
      </w:r>
      <w:r w:rsidR="0055318C" w:rsidRPr="000353C8">
        <w:rPr>
          <w:bCs/>
        </w:rPr>
        <w:t>L)</w:t>
      </w:r>
      <w:r w:rsidR="000A497E" w:rsidRPr="000353C8">
        <w:rPr>
          <w:bCs/>
        </w:rPr>
        <w:t>,</w:t>
      </w:r>
      <w:r w:rsidR="00CF4A0C" w:rsidRPr="000353C8">
        <w:rPr>
          <w:b/>
          <w:bCs/>
        </w:rPr>
        <w:t xml:space="preserve"> </w:t>
      </w:r>
      <w:r w:rsidR="00CB1119" w:rsidRPr="000353C8">
        <w:t xml:space="preserve">practicate de </w:t>
      </w:r>
      <w:r w:rsidR="00D12131" w:rsidRPr="000353C8">
        <w:t xml:space="preserve">Compania </w:t>
      </w:r>
      <w:r w:rsidR="009047D7" w:rsidRPr="000353C8">
        <w:t>Națională</w:t>
      </w:r>
      <w:r w:rsidR="00D12131" w:rsidRPr="000353C8">
        <w:t xml:space="preserve"> de Transport al Energiei Electrice “Transelectrica”</w:t>
      </w:r>
      <w:r w:rsidR="00CC7AA1" w:rsidRPr="000353C8">
        <w:t xml:space="preserve"> -</w:t>
      </w:r>
      <w:r w:rsidR="00D12131" w:rsidRPr="000353C8">
        <w:t xml:space="preserve"> S.A.</w:t>
      </w:r>
      <w:r w:rsidR="00CB1119" w:rsidRPr="000353C8">
        <w:t xml:space="preserve">, </w:t>
      </w:r>
      <w:r w:rsidR="00A416E1" w:rsidRPr="000353C8">
        <w:t>prevăzute</w:t>
      </w:r>
      <w:r w:rsidR="00CB1119" w:rsidRPr="000353C8">
        <w:t xml:space="preserve"> în </w:t>
      </w:r>
      <w:r w:rsidR="00F31F8F" w:rsidRPr="000353C8">
        <w:t>a</w:t>
      </w:r>
      <w:r w:rsidR="00CB1119" w:rsidRPr="000353C8">
        <w:t>nex</w:t>
      </w:r>
      <w:r w:rsidR="00F33DAE">
        <w:t>a</w:t>
      </w:r>
      <w:r w:rsidR="00CB1119" w:rsidRPr="000353C8">
        <w:t xml:space="preserve"> care face parte integrantă din prezentul ordin.</w:t>
      </w:r>
    </w:p>
    <w:p w14:paraId="5B64C580" w14:textId="126B407E" w:rsidR="00902711" w:rsidRPr="000353C8" w:rsidRDefault="00902711" w:rsidP="00272205">
      <w:pPr>
        <w:spacing w:line="276" w:lineRule="auto"/>
        <w:ind w:left="540" w:hanging="540"/>
        <w:jc w:val="both"/>
        <w:rPr>
          <w:rFonts w:eastAsiaTheme="minorHAnsi"/>
          <w:lang w:eastAsia="en-US"/>
        </w:rPr>
      </w:pPr>
      <w:r w:rsidRPr="000353C8">
        <w:t>Art. 2</w:t>
      </w:r>
      <w:r w:rsidR="00C411E1" w:rsidRPr="000353C8">
        <w:t>.</w:t>
      </w:r>
      <w:r w:rsidRPr="000353C8">
        <w:t xml:space="preserve"> </w:t>
      </w:r>
      <w:r w:rsidR="006E5D72" w:rsidRPr="000353C8">
        <w:rPr>
          <w:rFonts w:eastAsiaTheme="minorHAnsi"/>
          <w:lang w:eastAsia="en-US"/>
        </w:rPr>
        <w:t>P</w:t>
      </w:r>
      <w:r w:rsidR="006C30EB" w:rsidRPr="000353C8">
        <w:rPr>
          <w:rFonts w:eastAsiaTheme="minorHAnsi"/>
          <w:lang w:eastAsia="en-US"/>
        </w:rPr>
        <w:t>roducătorii care dețin centrale cu capacitate instalată mai mare de 5MW, racordați la rețelele operatorilor de distribuție din zona de rețea de distribuție respectiv</w:t>
      </w:r>
      <w:r w:rsidR="008C3E9E" w:rsidRPr="000353C8">
        <w:rPr>
          <w:rFonts w:eastAsiaTheme="minorHAnsi"/>
          <w:lang w:eastAsia="en-US"/>
        </w:rPr>
        <w:t>ă</w:t>
      </w:r>
      <w:r w:rsidR="006C30EB" w:rsidRPr="000353C8">
        <w:rPr>
          <w:rFonts w:eastAsiaTheme="minorHAnsi"/>
          <w:lang w:eastAsia="en-US"/>
        </w:rPr>
        <w:t xml:space="preserve">, </w:t>
      </w:r>
      <w:r w:rsidR="00BB290E" w:rsidRPr="000353C8">
        <w:rPr>
          <w:rFonts w:eastAsiaTheme="minorHAnsi"/>
          <w:lang w:eastAsia="en-US"/>
        </w:rPr>
        <w:t xml:space="preserve">plătesc </w:t>
      </w:r>
      <w:r w:rsidR="006E5D72" w:rsidRPr="000353C8">
        <w:rPr>
          <w:rFonts w:eastAsiaTheme="minorHAnsi"/>
          <w:lang w:eastAsia="en-US"/>
        </w:rPr>
        <w:t>c</w:t>
      </w:r>
      <w:r w:rsidR="00BB290E" w:rsidRPr="000353C8">
        <w:rPr>
          <w:rFonts w:eastAsiaTheme="minorHAnsi"/>
          <w:lang w:eastAsia="en-US"/>
        </w:rPr>
        <w:t xml:space="preserve">omponenta tarifului de transport de introducere a energiei electrice în rețele (T_G) - subcomponenta privind CPT aferentă tranzitelor suplimentare TGT prevăzută </w:t>
      </w:r>
      <w:r w:rsidR="00857511" w:rsidRPr="000353C8">
        <w:rPr>
          <w:rFonts w:eastAsiaTheme="minorHAnsi"/>
          <w:lang w:eastAsia="en-US"/>
        </w:rPr>
        <w:t xml:space="preserve">în </w:t>
      </w:r>
      <w:r w:rsidR="00BB290E" w:rsidRPr="000353C8">
        <w:rPr>
          <w:rFonts w:eastAsiaTheme="minorHAnsi"/>
          <w:lang w:eastAsia="en-US"/>
        </w:rPr>
        <w:t>tabelul nr. 2</w:t>
      </w:r>
      <w:r w:rsidR="006E5D72" w:rsidRPr="000353C8">
        <w:rPr>
          <w:rFonts w:eastAsiaTheme="minorHAnsi"/>
          <w:lang w:eastAsia="en-US"/>
        </w:rPr>
        <w:t xml:space="preserve"> din anex</w:t>
      </w:r>
      <w:r w:rsidR="00F33DAE">
        <w:rPr>
          <w:rFonts w:eastAsiaTheme="minorHAnsi"/>
          <w:lang w:eastAsia="en-US"/>
        </w:rPr>
        <w:t>a</w:t>
      </w:r>
      <w:r w:rsidR="00BB290E" w:rsidRPr="000353C8">
        <w:rPr>
          <w:rFonts w:eastAsiaTheme="minorHAnsi"/>
          <w:lang w:eastAsia="en-US"/>
        </w:rPr>
        <w:t xml:space="preserve"> care face parte integrantă din prezentul ordin. </w:t>
      </w:r>
    </w:p>
    <w:p w14:paraId="709CB084" w14:textId="7389AFA8" w:rsidR="002345B0" w:rsidRPr="000353C8" w:rsidRDefault="00AD7B43" w:rsidP="00272205">
      <w:pPr>
        <w:spacing w:line="276" w:lineRule="auto"/>
        <w:ind w:left="540" w:hanging="540"/>
        <w:jc w:val="both"/>
        <w:rPr>
          <w:rFonts w:eastAsiaTheme="minorHAnsi"/>
          <w:lang w:eastAsia="en-US"/>
        </w:rPr>
      </w:pPr>
      <w:r w:rsidRPr="000353C8">
        <w:rPr>
          <w:rFonts w:eastAsiaTheme="minorHAnsi"/>
          <w:lang w:eastAsia="en-US"/>
        </w:rPr>
        <w:t xml:space="preserve">Art. </w:t>
      </w:r>
      <w:r w:rsidR="00902711" w:rsidRPr="000353C8">
        <w:rPr>
          <w:rFonts w:eastAsiaTheme="minorHAnsi"/>
          <w:lang w:eastAsia="en-US"/>
        </w:rPr>
        <w:t>3</w:t>
      </w:r>
      <w:r w:rsidR="00802A39" w:rsidRPr="000353C8">
        <w:rPr>
          <w:rFonts w:eastAsiaTheme="minorHAnsi"/>
          <w:lang w:eastAsia="en-US"/>
        </w:rPr>
        <w:t>.</w:t>
      </w:r>
      <w:r w:rsidR="004B1F9A" w:rsidRPr="000353C8">
        <w:rPr>
          <w:rFonts w:eastAsiaTheme="minorHAnsi"/>
          <w:lang w:eastAsia="en-US"/>
        </w:rPr>
        <w:t xml:space="preserve"> </w:t>
      </w:r>
      <w:r w:rsidR="002345B0" w:rsidRPr="000353C8">
        <w:rPr>
          <w:rFonts w:eastAsiaTheme="minorHAnsi"/>
          <w:lang w:eastAsia="en-US"/>
        </w:rPr>
        <w:t xml:space="preserve">(1) Se aprobă </w:t>
      </w:r>
      <w:r w:rsidR="009047D7" w:rsidRPr="000353C8">
        <w:rPr>
          <w:rFonts w:eastAsiaTheme="minorHAnsi"/>
          <w:lang w:eastAsia="en-US"/>
        </w:rPr>
        <w:t>prețul</w:t>
      </w:r>
      <w:r w:rsidR="002345B0" w:rsidRPr="000353C8">
        <w:rPr>
          <w:rFonts w:eastAsiaTheme="minorHAnsi"/>
          <w:lang w:eastAsia="en-US"/>
        </w:rPr>
        <w:t xml:space="preserve"> reglementat pentru energia electrică reactivă de </w:t>
      </w:r>
      <w:r w:rsidR="00575698" w:rsidRPr="000353C8">
        <w:rPr>
          <w:rFonts w:eastAsiaTheme="minorHAnsi"/>
          <w:lang w:eastAsia="en-US"/>
        </w:rPr>
        <w:t>0,</w:t>
      </w:r>
      <w:r w:rsidR="00B95C26" w:rsidRPr="000353C8">
        <w:rPr>
          <w:rFonts w:eastAsiaTheme="minorHAnsi"/>
          <w:lang w:eastAsia="en-US"/>
        </w:rPr>
        <w:t xml:space="preserve">1529 </w:t>
      </w:r>
      <w:r w:rsidR="002345B0" w:rsidRPr="000353C8">
        <w:rPr>
          <w:rFonts w:eastAsiaTheme="minorHAnsi"/>
          <w:lang w:eastAsia="en-US"/>
        </w:rPr>
        <w:t xml:space="preserve">lei/kVArh, practicat de Compania </w:t>
      </w:r>
      <w:r w:rsidR="009047D7" w:rsidRPr="000353C8">
        <w:rPr>
          <w:rFonts w:eastAsiaTheme="minorHAnsi"/>
          <w:lang w:eastAsia="en-US"/>
        </w:rPr>
        <w:t>Națională</w:t>
      </w:r>
      <w:r w:rsidR="002345B0" w:rsidRPr="000353C8">
        <w:rPr>
          <w:rFonts w:eastAsiaTheme="minorHAnsi"/>
          <w:lang w:eastAsia="en-US"/>
        </w:rPr>
        <w:t xml:space="preserve"> de Transport al Energiei Electrice “Transelectrica” S.A. </w:t>
      </w:r>
    </w:p>
    <w:p w14:paraId="462CB875" w14:textId="0A5CED21" w:rsidR="002345B0" w:rsidRPr="000353C8" w:rsidRDefault="002345B0" w:rsidP="00272205">
      <w:pPr>
        <w:spacing w:line="276" w:lineRule="auto"/>
        <w:ind w:left="540" w:hanging="540"/>
        <w:jc w:val="both"/>
        <w:rPr>
          <w:rFonts w:eastAsiaTheme="minorHAnsi"/>
          <w:lang w:eastAsia="en-US"/>
        </w:rPr>
      </w:pPr>
      <w:r w:rsidRPr="000353C8">
        <w:rPr>
          <w:rFonts w:eastAsiaTheme="minorHAnsi"/>
          <w:lang w:eastAsia="en-US"/>
        </w:rPr>
        <w:t xml:space="preserve"> </w:t>
      </w:r>
      <w:r w:rsidRPr="000353C8">
        <w:rPr>
          <w:rFonts w:eastAsiaTheme="minorHAnsi"/>
          <w:lang w:eastAsia="en-US"/>
        </w:rPr>
        <w:tab/>
        <w:t xml:space="preserve">(2) </w:t>
      </w:r>
      <w:r w:rsidR="009047D7" w:rsidRPr="000353C8">
        <w:rPr>
          <w:rFonts w:eastAsiaTheme="minorHAnsi"/>
          <w:lang w:eastAsia="en-US"/>
        </w:rPr>
        <w:t>Prețul</w:t>
      </w:r>
      <w:r w:rsidRPr="000353C8">
        <w:rPr>
          <w:rFonts w:eastAsiaTheme="minorHAnsi"/>
          <w:lang w:eastAsia="en-US"/>
        </w:rPr>
        <w:t xml:space="preserve"> </w:t>
      </w:r>
      <w:bookmarkStart w:id="0" w:name="OLE_LINK1"/>
      <w:r w:rsidRPr="000353C8">
        <w:rPr>
          <w:rFonts w:eastAsiaTheme="minorHAnsi"/>
          <w:lang w:eastAsia="en-US"/>
        </w:rPr>
        <w:t xml:space="preserve">reglementat </w:t>
      </w:r>
      <w:bookmarkEnd w:id="0"/>
      <w:r w:rsidRPr="000353C8">
        <w:rPr>
          <w:rFonts w:eastAsiaTheme="minorHAnsi"/>
          <w:lang w:eastAsia="en-US"/>
        </w:rPr>
        <w:t>pentru energia electrică reactivă</w:t>
      </w:r>
      <w:r w:rsidR="004B7E3D" w:rsidRPr="000353C8">
        <w:rPr>
          <w:rFonts w:eastAsiaTheme="minorHAnsi"/>
          <w:lang w:eastAsia="en-US"/>
        </w:rPr>
        <w:t xml:space="preserve"> prevăzut la alin. (1)</w:t>
      </w:r>
      <w:r w:rsidRPr="000353C8">
        <w:rPr>
          <w:rFonts w:eastAsiaTheme="minorHAnsi"/>
          <w:lang w:eastAsia="en-US"/>
        </w:rPr>
        <w:t xml:space="preserve"> se aplică cu respectarea prevederilor din reglementările specifice </w:t>
      </w:r>
      <w:r w:rsidR="009047D7" w:rsidRPr="000353C8">
        <w:rPr>
          <w:rFonts w:eastAsiaTheme="minorHAnsi"/>
          <w:lang w:eastAsia="en-US"/>
        </w:rPr>
        <w:t>și</w:t>
      </w:r>
      <w:r w:rsidRPr="000353C8">
        <w:rPr>
          <w:rFonts w:eastAsiaTheme="minorHAnsi"/>
          <w:lang w:eastAsia="en-US"/>
        </w:rPr>
        <w:t xml:space="preserve"> nu include acciza </w:t>
      </w:r>
      <w:r w:rsidR="009047D7" w:rsidRPr="000353C8">
        <w:rPr>
          <w:rFonts w:eastAsiaTheme="minorHAnsi"/>
          <w:lang w:eastAsia="en-US"/>
        </w:rPr>
        <w:t>și</w:t>
      </w:r>
      <w:r w:rsidRPr="000353C8">
        <w:rPr>
          <w:rFonts w:eastAsiaTheme="minorHAnsi"/>
          <w:lang w:eastAsia="en-US"/>
        </w:rPr>
        <w:t xml:space="preserve"> taxa pe valoarea adăugată (TVA).</w:t>
      </w:r>
    </w:p>
    <w:p w14:paraId="3CAD27C3" w14:textId="42DDF8CF" w:rsidR="002345B0" w:rsidRPr="000353C8" w:rsidRDefault="002345B0" w:rsidP="00272205">
      <w:pPr>
        <w:spacing w:line="276" w:lineRule="auto"/>
        <w:ind w:left="540" w:hanging="540"/>
        <w:jc w:val="both"/>
        <w:rPr>
          <w:rFonts w:eastAsiaTheme="minorHAnsi"/>
          <w:lang w:eastAsia="en-US"/>
        </w:rPr>
      </w:pPr>
      <w:r w:rsidRPr="000353C8">
        <w:rPr>
          <w:rFonts w:eastAsiaTheme="minorHAnsi"/>
          <w:lang w:eastAsia="en-US"/>
        </w:rPr>
        <w:t xml:space="preserve">        (3) </w:t>
      </w:r>
      <w:r w:rsidR="009047D7" w:rsidRPr="000353C8">
        <w:rPr>
          <w:rFonts w:eastAsiaTheme="minorHAnsi"/>
          <w:lang w:eastAsia="en-US"/>
        </w:rPr>
        <w:t>Prețul</w:t>
      </w:r>
      <w:r w:rsidRPr="000353C8">
        <w:rPr>
          <w:rFonts w:eastAsiaTheme="minorHAnsi"/>
          <w:lang w:eastAsia="en-US"/>
        </w:rPr>
        <w:t xml:space="preserve"> </w:t>
      </w:r>
      <w:r w:rsidRPr="000353C8">
        <w:rPr>
          <w:rFonts w:eastAsiaTheme="minorHAnsi"/>
          <w:lang w:eastAsia="en-US"/>
        </w:rPr>
        <w:fldChar w:fldCharType="begin"/>
      </w:r>
      <w:r w:rsidRPr="000353C8">
        <w:rPr>
          <w:rFonts w:eastAsiaTheme="minorHAnsi"/>
          <w:lang w:eastAsia="en-US"/>
        </w:rPr>
        <w:instrText xml:space="preserve"> LINK Word.Document.8 "D:\\2015\\Ord Tarif transport 2015-2016\\pentru CR\\Ordin transport 1 iulie 2015.doc" "OLE_LINK1" \a \r </w:instrText>
      </w:r>
      <w:r w:rsidR="00AC3A99" w:rsidRPr="000353C8">
        <w:rPr>
          <w:rFonts w:eastAsiaTheme="minorHAnsi"/>
          <w:lang w:eastAsia="en-US"/>
        </w:rPr>
        <w:instrText xml:space="preserve"> \* MERGEFORMAT </w:instrText>
      </w:r>
      <w:r w:rsidRPr="000353C8">
        <w:rPr>
          <w:rFonts w:eastAsiaTheme="minorHAnsi"/>
          <w:lang w:eastAsia="en-US"/>
        </w:rPr>
        <w:fldChar w:fldCharType="separate"/>
      </w:r>
      <w:r w:rsidRPr="000353C8">
        <w:rPr>
          <w:rFonts w:eastAsiaTheme="minorHAnsi"/>
          <w:lang w:eastAsia="en-US"/>
        </w:rPr>
        <w:t xml:space="preserve">reglementat </w:t>
      </w:r>
      <w:r w:rsidRPr="000353C8">
        <w:rPr>
          <w:rFonts w:eastAsiaTheme="minorHAnsi"/>
          <w:lang w:eastAsia="en-US"/>
        </w:rPr>
        <w:fldChar w:fldCharType="end"/>
      </w:r>
      <w:r w:rsidRPr="000353C8">
        <w:rPr>
          <w:rFonts w:eastAsiaTheme="minorHAnsi"/>
          <w:lang w:eastAsia="en-US"/>
        </w:rPr>
        <w:t xml:space="preserve">pentru energia </w:t>
      </w:r>
      <w:r w:rsidR="00BD4105" w:rsidRPr="000353C8">
        <w:rPr>
          <w:rFonts w:eastAsiaTheme="minorHAnsi"/>
          <w:lang w:eastAsia="en-US"/>
        </w:rPr>
        <w:t xml:space="preserve">electrică </w:t>
      </w:r>
      <w:r w:rsidRPr="000353C8">
        <w:rPr>
          <w:rFonts w:eastAsiaTheme="minorHAnsi"/>
          <w:lang w:eastAsia="en-US"/>
        </w:rPr>
        <w:t xml:space="preserve">reactivă are la bază </w:t>
      </w:r>
      <w:r w:rsidR="00C1598F" w:rsidRPr="000353C8">
        <w:rPr>
          <w:rFonts w:eastAsiaTheme="minorHAnsi"/>
          <w:lang w:eastAsia="en-US"/>
        </w:rPr>
        <w:t>prețul</w:t>
      </w:r>
      <w:r w:rsidRPr="000353C8">
        <w:rPr>
          <w:rFonts w:eastAsiaTheme="minorHAnsi"/>
          <w:lang w:eastAsia="en-US"/>
        </w:rPr>
        <w:t xml:space="preserve"> mediu </w:t>
      </w:r>
      <w:r w:rsidR="00B074EA" w:rsidRPr="000353C8">
        <w:rPr>
          <w:rFonts w:eastAsiaTheme="minorHAnsi"/>
          <w:lang w:eastAsia="en-US"/>
        </w:rPr>
        <w:t xml:space="preserve">estimat </w:t>
      </w:r>
      <w:r w:rsidRPr="000353C8">
        <w:rPr>
          <w:rFonts w:eastAsiaTheme="minorHAnsi"/>
          <w:lang w:eastAsia="en-US"/>
        </w:rPr>
        <w:t>al energiei electrice active pentru acoperirea consumu</w:t>
      </w:r>
      <w:r w:rsidR="00B433AD" w:rsidRPr="000353C8">
        <w:rPr>
          <w:rFonts w:eastAsiaTheme="minorHAnsi"/>
          <w:lang w:eastAsia="en-US"/>
        </w:rPr>
        <w:t>lui</w:t>
      </w:r>
      <w:r w:rsidRPr="000353C8">
        <w:rPr>
          <w:rFonts w:eastAsiaTheme="minorHAnsi"/>
          <w:lang w:eastAsia="en-US"/>
        </w:rPr>
        <w:t xml:space="preserve"> propri</w:t>
      </w:r>
      <w:r w:rsidR="00B433AD" w:rsidRPr="000353C8">
        <w:rPr>
          <w:rFonts w:eastAsiaTheme="minorHAnsi"/>
          <w:lang w:eastAsia="en-US"/>
        </w:rPr>
        <w:t>u</w:t>
      </w:r>
      <w:r w:rsidRPr="000353C8">
        <w:rPr>
          <w:rFonts w:eastAsiaTheme="minorHAnsi"/>
          <w:lang w:eastAsia="en-US"/>
        </w:rPr>
        <w:t xml:space="preserve"> tehnologic în </w:t>
      </w:r>
      <w:r w:rsidR="009047D7" w:rsidRPr="000353C8">
        <w:rPr>
          <w:rFonts w:eastAsiaTheme="minorHAnsi"/>
          <w:lang w:eastAsia="en-US"/>
        </w:rPr>
        <w:t>rețeaua</w:t>
      </w:r>
      <w:r w:rsidRPr="000353C8">
        <w:rPr>
          <w:rFonts w:eastAsiaTheme="minorHAnsi"/>
          <w:lang w:eastAsia="en-US"/>
        </w:rPr>
        <w:t xml:space="preserve"> electrică de transport, de </w:t>
      </w:r>
      <w:r w:rsidR="00B95C26" w:rsidRPr="000353C8">
        <w:rPr>
          <w:rFonts w:eastAsiaTheme="minorHAnsi"/>
          <w:lang w:eastAsia="en-US"/>
        </w:rPr>
        <w:t xml:space="preserve">509,66 </w:t>
      </w:r>
      <w:r w:rsidRPr="000353C8">
        <w:rPr>
          <w:rFonts w:eastAsiaTheme="minorHAnsi"/>
          <w:lang w:eastAsia="en-US"/>
        </w:rPr>
        <w:t xml:space="preserve">lei/MWh, aprobat de </w:t>
      </w:r>
      <w:r w:rsidR="00E21E50" w:rsidRPr="000353C8">
        <w:rPr>
          <w:rFonts w:eastAsiaTheme="minorHAnsi"/>
          <w:lang w:eastAsia="en-US"/>
        </w:rPr>
        <w:t>Autoritatea Națională de Reglementare în Domeniul Energiei</w:t>
      </w:r>
      <w:r w:rsidRPr="000353C8">
        <w:rPr>
          <w:rFonts w:eastAsiaTheme="minorHAnsi"/>
          <w:lang w:eastAsia="en-US"/>
        </w:rPr>
        <w:t xml:space="preserve"> </w:t>
      </w:r>
      <w:r w:rsidR="00BD4105" w:rsidRPr="000353C8">
        <w:rPr>
          <w:rFonts w:eastAsiaTheme="minorHAnsi"/>
          <w:lang w:eastAsia="en-US"/>
        </w:rPr>
        <w:t xml:space="preserve">pentru </w:t>
      </w:r>
      <w:r w:rsidR="00B074EA" w:rsidRPr="000353C8">
        <w:rPr>
          <w:rFonts w:eastAsiaTheme="minorHAnsi"/>
          <w:lang w:eastAsia="en-US"/>
        </w:rPr>
        <w:t xml:space="preserve">anul </w:t>
      </w:r>
      <w:r w:rsidR="00C42BC1" w:rsidRPr="000353C8">
        <w:rPr>
          <w:rFonts w:eastAsiaTheme="minorHAnsi"/>
          <w:lang w:eastAsia="en-US"/>
        </w:rPr>
        <w:t>2023</w:t>
      </w:r>
      <w:r w:rsidR="00827657" w:rsidRPr="000353C8">
        <w:rPr>
          <w:rFonts w:eastAsiaTheme="minorHAnsi"/>
          <w:lang w:eastAsia="en-US"/>
        </w:rPr>
        <w:t xml:space="preserve"> </w:t>
      </w:r>
      <w:r w:rsidR="0087115B" w:rsidRPr="000353C8">
        <w:rPr>
          <w:rFonts w:eastAsiaTheme="minorHAnsi"/>
          <w:lang w:eastAsia="en-US"/>
        </w:rPr>
        <w:t>pentru Compania Națională de Transport al Energiei Electrice “Transelectrica” - S.A.</w:t>
      </w:r>
    </w:p>
    <w:p w14:paraId="59DB33B6" w14:textId="1F14C5BC" w:rsidR="00A416E1" w:rsidRPr="000353C8" w:rsidRDefault="00A416E1" w:rsidP="00272205">
      <w:pPr>
        <w:spacing w:line="276" w:lineRule="auto"/>
        <w:ind w:left="540" w:hanging="540"/>
        <w:jc w:val="both"/>
        <w:rPr>
          <w:rFonts w:eastAsiaTheme="minorHAnsi"/>
          <w:lang w:eastAsia="en-US"/>
        </w:rPr>
      </w:pPr>
      <w:r w:rsidRPr="000353C8">
        <w:t xml:space="preserve">Art. </w:t>
      </w:r>
      <w:r w:rsidR="004B1F9A" w:rsidRPr="000353C8">
        <w:t>4</w:t>
      </w:r>
      <w:r w:rsidR="00255ED1" w:rsidRPr="000353C8">
        <w:t>.</w:t>
      </w:r>
      <w:r w:rsidR="00E4324D" w:rsidRPr="000353C8">
        <w:t xml:space="preserve"> </w:t>
      </w:r>
      <w:r w:rsidR="00D12131" w:rsidRPr="000353C8">
        <w:t xml:space="preserve">Compania </w:t>
      </w:r>
      <w:r w:rsidR="00C1598F" w:rsidRPr="000353C8">
        <w:t>Națională</w:t>
      </w:r>
      <w:r w:rsidR="00D12131" w:rsidRPr="000353C8">
        <w:t xml:space="preserve"> de Transport al Energiei Electrice “Transelectrica”</w:t>
      </w:r>
      <w:r w:rsidR="00CC7AA1" w:rsidRPr="000353C8">
        <w:t xml:space="preserve"> -</w:t>
      </w:r>
      <w:r w:rsidR="00D12131" w:rsidRPr="000353C8">
        <w:t xml:space="preserve"> S.A. </w:t>
      </w:r>
      <w:r w:rsidR="00C1598F" w:rsidRPr="000353C8">
        <w:t>și</w:t>
      </w:r>
      <w:r w:rsidR="00C20190" w:rsidRPr="000353C8">
        <w:t xml:space="preserve"> o</w:t>
      </w:r>
      <w:r w:rsidRPr="000353C8">
        <w:t xml:space="preserve">peratorii economici din sectorul energiei electrice duc la îndeplinire prevederile prezentului ordin, iar </w:t>
      </w:r>
      <w:r w:rsidR="00C1598F" w:rsidRPr="000353C8">
        <w:rPr>
          <w:rFonts w:eastAsiaTheme="minorHAnsi"/>
          <w:lang w:eastAsia="en-US"/>
        </w:rPr>
        <w:t>entitățile</w:t>
      </w:r>
      <w:r w:rsidRPr="000353C8">
        <w:rPr>
          <w:rFonts w:eastAsiaTheme="minorHAnsi"/>
          <w:lang w:eastAsia="en-US"/>
        </w:rPr>
        <w:t xml:space="preserve"> organizatorice din cadrul </w:t>
      </w:r>
      <w:r w:rsidR="00C1598F" w:rsidRPr="000353C8">
        <w:rPr>
          <w:rFonts w:eastAsiaTheme="minorHAnsi"/>
          <w:lang w:eastAsia="en-US"/>
        </w:rPr>
        <w:t>Autorității</w:t>
      </w:r>
      <w:r w:rsidRPr="000353C8">
        <w:rPr>
          <w:rFonts w:eastAsiaTheme="minorHAnsi"/>
          <w:lang w:eastAsia="en-US"/>
        </w:rPr>
        <w:t xml:space="preserve"> </w:t>
      </w:r>
      <w:r w:rsidR="00C1598F" w:rsidRPr="000353C8">
        <w:rPr>
          <w:rFonts w:eastAsiaTheme="minorHAnsi"/>
          <w:lang w:eastAsia="en-US"/>
        </w:rPr>
        <w:t>Naționale</w:t>
      </w:r>
      <w:r w:rsidRPr="000353C8">
        <w:rPr>
          <w:rFonts w:eastAsiaTheme="minorHAnsi"/>
          <w:lang w:eastAsia="en-US"/>
        </w:rPr>
        <w:t xml:space="preserve"> de Reglementare în Domeniul Energiei urmăresc respectarea prevederilor prezentului ordin.</w:t>
      </w:r>
    </w:p>
    <w:p w14:paraId="08574BBB" w14:textId="77067E4D" w:rsidR="00F76603" w:rsidRPr="000353C8" w:rsidRDefault="008C4AC3" w:rsidP="00272205">
      <w:pPr>
        <w:spacing w:line="276" w:lineRule="auto"/>
        <w:ind w:left="540" w:hanging="540"/>
        <w:jc w:val="both"/>
        <w:rPr>
          <w:rFonts w:eastAsiaTheme="minorHAnsi"/>
          <w:lang w:eastAsia="en-US"/>
        </w:rPr>
      </w:pPr>
      <w:r w:rsidRPr="000353C8">
        <w:rPr>
          <w:rFonts w:eastAsiaTheme="minorHAnsi"/>
          <w:lang w:eastAsia="en-US"/>
        </w:rPr>
        <w:t xml:space="preserve">Art. </w:t>
      </w:r>
      <w:r w:rsidR="00132160" w:rsidRPr="000353C8">
        <w:rPr>
          <w:rFonts w:eastAsiaTheme="minorHAnsi"/>
          <w:lang w:eastAsia="en-US"/>
        </w:rPr>
        <w:t>5</w:t>
      </w:r>
      <w:r w:rsidRPr="000353C8">
        <w:rPr>
          <w:rFonts w:eastAsiaTheme="minorHAnsi"/>
          <w:lang w:eastAsia="en-US"/>
        </w:rPr>
        <w:t xml:space="preserve">. </w:t>
      </w:r>
      <w:r w:rsidR="004B1F9A" w:rsidRPr="000353C8">
        <w:rPr>
          <w:rFonts w:eastAsiaTheme="minorHAnsi"/>
          <w:lang w:eastAsia="en-US"/>
        </w:rPr>
        <w:t xml:space="preserve">La data intrării în vigoare a prezentului ordin, </w:t>
      </w:r>
      <w:r w:rsidR="00C57019" w:rsidRPr="000353C8">
        <w:rPr>
          <w:rFonts w:eastAsiaTheme="minorHAnsi"/>
          <w:lang w:eastAsia="en-US"/>
        </w:rPr>
        <w:t>Ordinul președintelui Autorității Naționale de Reglementare în</w:t>
      </w:r>
      <w:r w:rsidR="00C57019" w:rsidRPr="000353C8">
        <w:t xml:space="preserve"> Domeniul Energiei nr. </w:t>
      </w:r>
      <w:r w:rsidR="00BB0E8A" w:rsidRPr="000353C8">
        <w:t>28/2023</w:t>
      </w:r>
      <w:r w:rsidR="00C57019" w:rsidRPr="000353C8">
        <w:t xml:space="preserve"> </w:t>
      </w:r>
      <w:r w:rsidR="00BB0E8A" w:rsidRPr="000353C8">
        <w:t xml:space="preserve">privind aprobarea tarifului mediu pentru serviciul de transport al energiei electrice, a componentelor  tarifului de transport de introducere a energiei electrice în rețele (T_G) și de extragere a energiei electrice din rețele (T_L) și a prețului reglementat pentru energia electrică reactivă, practicate de Compania Națională de Transport al Energiei </w:t>
      </w:r>
      <w:r w:rsidR="00BB0E8A" w:rsidRPr="000353C8">
        <w:rPr>
          <w:rFonts w:eastAsiaTheme="minorHAnsi"/>
          <w:lang w:eastAsia="en-US"/>
        </w:rPr>
        <w:t xml:space="preserve">Electrice “Transelectrica” - S.A. </w:t>
      </w:r>
      <w:r w:rsidR="00C57019" w:rsidRPr="000353C8">
        <w:rPr>
          <w:rFonts w:eastAsiaTheme="minorHAnsi"/>
          <w:lang w:eastAsia="en-US"/>
        </w:rPr>
        <w:t xml:space="preserve">, publicat în Monitorul Oficial al României, Partea I, nr. </w:t>
      </w:r>
      <w:r w:rsidR="00BB0E8A" w:rsidRPr="000353C8">
        <w:rPr>
          <w:rFonts w:eastAsiaTheme="minorHAnsi"/>
          <w:lang w:eastAsia="en-US"/>
        </w:rPr>
        <w:t xml:space="preserve">266 </w:t>
      </w:r>
      <w:r w:rsidR="00C57019" w:rsidRPr="000353C8">
        <w:rPr>
          <w:rFonts w:eastAsiaTheme="minorHAnsi"/>
          <w:lang w:eastAsia="en-US"/>
        </w:rPr>
        <w:t xml:space="preserve">din </w:t>
      </w:r>
      <w:r w:rsidR="00BB0E8A" w:rsidRPr="000353C8">
        <w:rPr>
          <w:rFonts w:eastAsiaTheme="minorHAnsi"/>
          <w:lang w:eastAsia="en-US"/>
        </w:rPr>
        <w:t xml:space="preserve">30 martie </w:t>
      </w:r>
      <w:r w:rsidR="00C57019" w:rsidRPr="000353C8">
        <w:rPr>
          <w:rFonts w:eastAsiaTheme="minorHAnsi"/>
          <w:lang w:eastAsia="en-US"/>
        </w:rPr>
        <w:t>202</w:t>
      </w:r>
      <w:r w:rsidR="00BB0E8A" w:rsidRPr="000353C8">
        <w:rPr>
          <w:rFonts w:eastAsiaTheme="minorHAnsi"/>
          <w:lang w:eastAsia="en-US"/>
        </w:rPr>
        <w:t>3</w:t>
      </w:r>
      <w:r w:rsidR="005638BE" w:rsidRPr="000353C8">
        <w:rPr>
          <w:rFonts w:eastAsiaTheme="minorHAnsi"/>
          <w:lang w:eastAsia="en-US"/>
        </w:rPr>
        <w:t>,</w:t>
      </w:r>
      <w:r w:rsidR="000D7D4E" w:rsidRPr="000353C8">
        <w:rPr>
          <w:rFonts w:eastAsiaTheme="minorHAnsi"/>
          <w:lang w:eastAsia="en-US"/>
        </w:rPr>
        <w:t xml:space="preserve"> </w:t>
      </w:r>
      <w:r w:rsidR="004B1F9A" w:rsidRPr="000353C8">
        <w:rPr>
          <w:rFonts w:eastAsiaTheme="minorHAnsi"/>
          <w:lang w:eastAsia="en-US"/>
        </w:rPr>
        <w:t>se abrogă</w:t>
      </w:r>
      <w:r w:rsidR="000D7D4E" w:rsidRPr="000353C8">
        <w:rPr>
          <w:rFonts w:eastAsiaTheme="minorHAnsi"/>
          <w:lang w:eastAsia="en-US"/>
        </w:rPr>
        <w:t xml:space="preserve">. </w:t>
      </w:r>
    </w:p>
    <w:p w14:paraId="2769B508" w14:textId="0100A341" w:rsidR="006E1326" w:rsidRPr="000353C8" w:rsidRDefault="00A416E1" w:rsidP="00272205">
      <w:pPr>
        <w:spacing w:line="276" w:lineRule="auto"/>
        <w:ind w:left="540" w:hanging="540"/>
        <w:jc w:val="both"/>
        <w:rPr>
          <w:rFonts w:eastAsiaTheme="minorHAnsi"/>
          <w:lang w:eastAsia="en-US"/>
        </w:rPr>
      </w:pPr>
      <w:r w:rsidRPr="000353C8">
        <w:rPr>
          <w:rFonts w:eastAsiaTheme="minorHAnsi"/>
          <w:lang w:eastAsia="en-US"/>
        </w:rPr>
        <w:t xml:space="preserve">Art. </w:t>
      </w:r>
      <w:r w:rsidR="00061A8A" w:rsidRPr="000353C8">
        <w:rPr>
          <w:rFonts w:eastAsiaTheme="minorHAnsi"/>
          <w:lang w:eastAsia="en-US"/>
        </w:rPr>
        <w:t>6</w:t>
      </w:r>
      <w:r w:rsidR="003E21D0" w:rsidRPr="000353C8">
        <w:rPr>
          <w:rFonts w:eastAsiaTheme="minorHAnsi"/>
          <w:lang w:eastAsia="en-US"/>
        </w:rPr>
        <w:t>.</w:t>
      </w:r>
      <w:r w:rsidR="00E4324D" w:rsidRPr="000353C8">
        <w:rPr>
          <w:rFonts w:eastAsiaTheme="minorHAnsi"/>
          <w:lang w:eastAsia="en-US"/>
        </w:rPr>
        <w:t xml:space="preserve"> </w:t>
      </w:r>
      <w:r w:rsidRPr="000353C8">
        <w:rPr>
          <w:rFonts w:eastAsiaTheme="minorHAnsi"/>
          <w:lang w:eastAsia="en-US"/>
        </w:rPr>
        <w:t>Prezentul ordin se publică în Monitorul Oficial al României, Partea I</w:t>
      </w:r>
      <w:r w:rsidR="008C4AC3" w:rsidRPr="000353C8">
        <w:rPr>
          <w:rFonts w:eastAsiaTheme="minorHAnsi"/>
          <w:lang w:eastAsia="en-US"/>
        </w:rPr>
        <w:t>,</w:t>
      </w:r>
      <w:r w:rsidRPr="000353C8">
        <w:rPr>
          <w:rFonts w:eastAsiaTheme="minorHAnsi"/>
          <w:lang w:eastAsia="en-US"/>
        </w:rPr>
        <w:t xml:space="preserve"> </w:t>
      </w:r>
      <w:r w:rsidR="009047D7" w:rsidRPr="000353C8">
        <w:rPr>
          <w:rFonts w:eastAsiaTheme="minorHAnsi"/>
          <w:lang w:eastAsia="en-US"/>
        </w:rPr>
        <w:t>și</w:t>
      </w:r>
      <w:r w:rsidRPr="000353C8">
        <w:rPr>
          <w:rFonts w:eastAsiaTheme="minorHAnsi"/>
          <w:lang w:eastAsia="en-US"/>
        </w:rPr>
        <w:t xml:space="preserve"> intră în vigoare la data 1 </w:t>
      </w:r>
      <w:r w:rsidR="008E65CB" w:rsidRPr="000353C8">
        <w:rPr>
          <w:rFonts w:eastAsiaTheme="minorHAnsi"/>
          <w:lang w:eastAsia="en-US"/>
        </w:rPr>
        <w:t>ianuarie 2024</w:t>
      </w:r>
      <w:r w:rsidRPr="000353C8">
        <w:rPr>
          <w:rFonts w:eastAsiaTheme="minorHAnsi"/>
          <w:lang w:eastAsia="en-US"/>
        </w:rPr>
        <w:t>.</w:t>
      </w:r>
    </w:p>
    <w:p w14:paraId="027A2D25" w14:textId="77777777" w:rsidR="00C410C4" w:rsidRPr="000353C8" w:rsidRDefault="00C410C4" w:rsidP="00AC3A99">
      <w:pPr>
        <w:spacing w:before="120" w:after="120" w:line="276" w:lineRule="auto"/>
        <w:ind w:left="540" w:hanging="540"/>
        <w:jc w:val="both"/>
      </w:pPr>
    </w:p>
    <w:p w14:paraId="55F799B2" w14:textId="03A5DDAF" w:rsidR="006E1326" w:rsidRPr="000353C8" w:rsidRDefault="00C1598F" w:rsidP="006E1326">
      <w:pPr>
        <w:pStyle w:val="Corptext"/>
        <w:spacing w:line="360" w:lineRule="auto"/>
        <w:jc w:val="center"/>
        <w:rPr>
          <w:rFonts w:ascii="Times New Roman" w:hAnsi="Times New Roman"/>
          <w:b/>
          <w:lang w:val="ro-RO"/>
        </w:rPr>
      </w:pPr>
      <w:r w:rsidRPr="000353C8">
        <w:rPr>
          <w:rFonts w:ascii="Times New Roman" w:hAnsi="Times New Roman"/>
          <w:b/>
          <w:lang w:val="ro-RO"/>
        </w:rPr>
        <w:t>Președintele</w:t>
      </w:r>
      <w:r w:rsidR="006E1326" w:rsidRPr="000353C8">
        <w:rPr>
          <w:rFonts w:ascii="Times New Roman" w:hAnsi="Times New Roman"/>
          <w:b/>
          <w:lang w:val="ro-RO"/>
        </w:rPr>
        <w:t xml:space="preserve"> </w:t>
      </w:r>
      <w:r w:rsidRPr="000353C8">
        <w:rPr>
          <w:rFonts w:ascii="Times New Roman" w:hAnsi="Times New Roman"/>
          <w:b/>
          <w:lang w:val="ro-RO"/>
        </w:rPr>
        <w:t>Autorității</w:t>
      </w:r>
      <w:r w:rsidR="006E1326" w:rsidRPr="000353C8">
        <w:rPr>
          <w:rFonts w:ascii="Times New Roman" w:hAnsi="Times New Roman"/>
          <w:b/>
          <w:lang w:val="ro-RO"/>
        </w:rPr>
        <w:t xml:space="preserve"> </w:t>
      </w:r>
      <w:r w:rsidRPr="000353C8">
        <w:rPr>
          <w:rFonts w:ascii="Times New Roman" w:hAnsi="Times New Roman"/>
          <w:b/>
          <w:lang w:val="ro-RO"/>
        </w:rPr>
        <w:t>Naționale</w:t>
      </w:r>
      <w:r w:rsidR="006E1326" w:rsidRPr="000353C8">
        <w:rPr>
          <w:rFonts w:ascii="Times New Roman" w:hAnsi="Times New Roman"/>
          <w:b/>
          <w:lang w:val="ro-RO"/>
        </w:rPr>
        <w:t xml:space="preserve"> de Reglementare în Domeniul Energiei </w:t>
      </w:r>
    </w:p>
    <w:p w14:paraId="39A2D096" w14:textId="5F068C02" w:rsidR="00F109BA" w:rsidRDefault="00672FC3" w:rsidP="00D80669">
      <w:pPr>
        <w:spacing w:before="120" w:after="120" w:line="360" w:lineRule="auto"/>
        <w:ind w:left="540" w:hanging="540"/>
        <w:jc w:val="center"/>
        <w:rPr>
          <w:b/>
        </w:rPr>
      </w:pPr>
      <w:r w:rsidRPr="000353C8">
        <w:rPr>
          <w:b/>
        </w:rPr>
        <w:t>George-Sergiu Niculescu</w:t>
      </w:r>
    </w:p>
    <w:p w14:paraId="6B242C2E" w14:textId="77777777" w:rsidR="006210D9" w:rsidRDefault="006210D9" w:rsidP="00D80669">
      <w:pPr>
        <w:spacing w:before="120" w:after="120" w:line="360" w:lineRule="auto"/>
        <w:ind w:left="540" w:hanging="540"/>
        <w:jc w:val="center"/>
        <w:rPr>
          <w:b/>
        </w:rPr>
      </w:pPr>
    </w:p>
    <w:p w14:paraId="25F85281" w14:textId="77777777" w:rsidR="006210D9" w:rsidRDefault="006210D9" w:rsidP="00D80669">
      <w:pPr>
        <w:spacing w:before="120" w:after="120" w:line="360" w:lineRule="auto"/>
        <w:ind w:left="540" w:hanging="540"/>
        <w:jc w:val="center"/>
        <w:rPr>
          <w:b/>
        </w:rPr>
      </w:pPr>
    </w:p>
    <w:p w14:paraId="0C940C92" w14:textId="77777777" w:rsidR="006210D9" w:rsidRDefault="006210D9" w:rsidP="00D80669">
      <w:pPr>
        <w:spacing w:before="120" w:after="120" w:line="360" w:lineRule="auto"/>
        <w:ind w:left="540" w:hanging="540"/>
        <w:jc w:val="center"/>
        <w:rPr>
          <w:b/>
        </w:rPr>
      </w:pPr>
    </w:p>
    <w:p w14:paraId="3B6E165B" w14:textId="77777777" w:rsidR="006210D9" w:rsidRDefault="006210D9" w:rsidP="00D80669">
      <w:pPr>
        <w:spacing w:before="120" w:after="120" w:line="360" w:lineRule="auto"/>
        <w:ind w:left="540" w:hanging="540"/>
        <w:jc w:val="center"/>
        <w:rPr>
          <w:b/>
        </w:rPr>
      </w:pPr>
    </w:p>
    <w:p w14:paraId="3BC9BC64" w14:textId="77777777" w:rsidR="006210D9" w:rsidRDefault="006210D9" w:rsidP="00D80669">
      <w:pPr>
        <w:spacing w:before="120" w:after="120" w:line="360" w:lineRule="auto"/>
        <w:ind w:left="540" w:hanging="540"/>
        <w:jc w:val="center"/>
        <w:rPr>
          <w:b/>
        </w:rPr>
      </w:pPr>
    </w:p>
    <w:p w14:paraId="3AE28045" w14:textId="77777777" w:rsidR="006210D9" w:rsidRDefault="006210D9" w:rsidP="00D80669">
      <w:pPr>
        <w:spacing w:before="120" w:after="120" w:line="360" w:lineRule="auto"/>
        <w:ind w:left="540" w:hanging="540"/>
        <w:jc w:val="center"/>
        <w:rPr>
          <w:b/>
        </w:rPr>
      </w:pPr>
    </w:p>
    <w:p w14:paraId="0EE2C9BA" w14:textId="72C76F48" w:rsidR="008B090F" w:rsidRPr="000353C8" w:rsidRDefault="00EA5961" w:rsidP="008B090F">
      <w:pPr>
        <w:spacing w:line="360" w:lineRule="auto"/>
        <w:jc w:val="right"/>
        <w:rPr>
          <w:b/>
          <w:bCs/>
        </w:rPr>
      </w:pPr>
      <w:r w:rsidRPr="000353C8">
        <w:rPr>
          <w:b/>
          <w:bCs/>
        </w:rPr>
        <w:lastRenderedPageBreak/>
        <w:t>A</w:t>
      </w:r>
      <w:r w:rsidR="008B090F" w:rsidRPr="000353C8">
        <w:rPr>
          <w:b/>
          <w:bCs/>
        </w:rPr>
        <w:t>NEXA</w:t>
      </w:r>
      <w:r w:rsidR="003E0182" w:rsidRPr="000353C8">
        <w:rPr>
          <w:b/>
          <w:bCs/>
        </w:rPr>
        <w:t xml:space="preserve"> </w:t>
      </w:r>
    </w:p>
    <w:p w14:paraId="2D61AF93" w14:textId="38E08342" w:rsidR="008B090F" w:rsidRPr="000353C8" w:rsidRDefault="00027611" w:rsidP="00AE50EC">
      <w:pPr>
        <w:jc w:val="both"/>
        <w:rPr>
          <w:b/>
        </w:rPr>
      </w:pPr>
      <w:r w:rsidRPr="000353C8">
        <w:rPr>
          <w:b/>
        </w:rPr>
        <w:t xml:space="preserve">Tabelul nr. 1 - </w:t>
      </w:r>
      <w:r w:rsidR="00660EF7" w:rsidRPr="000353C8">
        <w:rPr>
          <w:b/>
        </w:rPr>
        <w:t>Tariful medi</w:t>
      </w:r>
      <w:r w:rsidR="00CF39CF" w:rsidRPr="000353C8">
        <w:rPr>
          <w:b/>
        </w:rPr>
        <w:t xml:space="preserve">u pentru serviciul de transport </w:t>
      </w:r>
      <w:r w:rsidRPr="000353C8">
        <w:rPr>
          <w:b/>
        </w:rPr>
        <w:t xml:space="preserve">al energiei electrice </w:t>
      </w:r>
      <w:r w:rsidR="004845D5" w:rsidRPr="000353C8">
        <w:rPr>
          <w:b/>
        </w:rPr>
        <w:t xml:space="preserve">practicat de </w:t>
      </w:r>
      <w:r w:rsidR="00660EF7" w:rsidRPr="000353C8">
        <w:rPr>
          <w:b/>
        </w:rPr>
        <w:t xml:space="preserve"> </w:t>
      </w:r>
      <w:r w:rsidR="004845D5" w:rsidRPr="000353C8">
        <w:rPr>
          <w:b/>
          <w:bCs/>
        </w:rPr>
        <w:t xml:space="preserve">Compania Națională de Transport al Energiei Electrice </w:t>
      </w:r>
      <w:r w:rsidR="004845D5" w:rsidRPr="000353C8">
        <w:rPr>
          <w:b/>
          <w:bCs/>
          <w:lang w:val="fr-FR"/>
        </w:rPr>
        <w:t>“</w:t>
      </w:r>
      <w:r w:rsidR="004845D5" w:rsidRPr="000353C8">
        <w:rPr>
          <w:b/>
          <w:bCs/>
        </w:rPr>
        <w:t>Transelectrica</w:t>
      </w:r>
      <w:r w:rsidR="004845D5" w:rsidRPr="000353C8">
        <w:rPr>
          <w:b/>
          <w:bCs/>
          <w:lang w:val="fr-FR"/>
        </w:rPr>
        <w:t xml:space="preserve">” - </w:t>
      </w:r>
      <w:r w:rsidR="004845D5" w:rsidRPr="000353C8">
        <w:rPr>
          <w:b/>
          <w:bCs/>
        </w:rPr>
        <w:t>S.A.</w:t>
      </w:r>
      <w:r w:rsidR="00542736" w:rsidRPr="000353C8">
        <w:rPr>
          <w:b/>
          <w:bCs/>
        </w:rPr>
        <w:t xml:space="preserve">, </w:t>
      </w:r>
      <w:r w:rsidRPr="000353C8">
        <w:rPr>
          <w:b/>
        </w:rPr>
        <w:t xml:space="preserve">aplicabil </w:t>
      </w:r>
      <w:r w:rsidR="00B36E86" w:rsidRPr="000353C8">
        <w:rPr>
          <w:b/>
        </w:rPr>
        <w:t xml:space="preserve">de la 1 </w:t>
      </w:r>
      <w:r w:rsidR="00765F54" w:rsidRPr="000353C8">
        <w:rPr>
          <w:b/>
        </w:rPr>
        <w:t>ianuarie 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268"/>
        <w:gridCol w:w="2384"/>
        <w:gridCol w:w="1443"/>
        <w:gridCol w:w="1979"/>
      </w:tblGrid>
      <w:tr w:rsidR="000353C8" w:rsidRPr="000353C8" w14:paraId="655CF380" w14:textId="2F3D7175" w:rsidTr="00C87A6F">
        <w:trPr>
          <w:trHeight w:val="330"/>
          <w:jc w:val="center"/>
        </w:trPr>
        <w:tc>
          <w:tcPr>
            <w:tcW w:w="1980" w:type="dxa"/>
          </w:tcPr>
          <w:p w14:paraId="4B06EBFD" w14:textId="7B857C05" w:rsidR="00C87A6F" w:rsidRPr="000353C8" w:rsidRDefault="00C87A6F" w:rsidP="00B10783">
            <w:pPr>
              <w:jc w:val="center"/>
            </w:pPr>
            <w:r w:rsidRPr="000353C8">
              <w:t>Operator economic</w:t>
            </w:r>
          </w:p>
        </w:tc>
        <w:tc>
          <w:tcPr>
            <w:tcW w:w="2268" w:type="dxa"/>
          </w:tcPr>
          <w:p w14:paraId="099F8FE5" w14:textId="0743B1C1" w:rsidR="00C87A6F" w:rsidRPr="000353C8" w:rsidRDefault="00C87A6F" w:rsidP="00B10783">
            <w:pPr>
              <w:jc w:val="center"/>
            </w:pPr>
            <w:bookmarkStart w:id="1" w:name="_Hlk143153005"/>
            <w:r w:rsidRPr="000353C8">
              <w:t>Descriere</w:t>
            </w:r>
          </w:p>
        </w:tc>
        <w:tc>
          <w:tcPr>
            <w:tcW w:w="2384" w:type="dxa"/>
          </w:tcPr>
          <w:p w14:paraId="7407ABF6" w14:textId="4326E286" w:rsidR="00C87A6F" w:rsidRPr="000353C8" w:rsidRDefault="00C87A6F" w:rsidP="00B10783">
            <w:pPr>
              <w:jc w:val="center"/>
            </w:pPr>
            <w:r w:rsidRPr="000353C8">
              <w:t>Tariful aplicabil de la 1 ianuarie 2024 (lei/MWh), din care:</w:t>
            </w:r>
          </w:p>
        </w:tc>
        <w:tc>
          <w:tcPr>
            <w:tcW w:w="1443" w:type="dxa"/>
          </w:tcPr>
          <w:p w14:paraId="15FEB1BA" w14:textId="77777777" w:rsidR="00C87A6F" w:rsidRPr="000353C8" w:rsidRDefault="00C87A6F" w:rsidP="00B10783">
            <w:pPr>
              <w:jc w:val="center"/>
            </w:pPr>
            <w:r w:rsidRPr="000353C8">
              <w:t>Componenta principală</w:t>
            </w:r>
          </w:p>
          <w:p w14:paraId="227654D1" w14:textId="4474EDA0" w:rsidR="00C87A6F" w:rsidRPr="000353C8" w:rsidRDefault="00C87A6F" w:rsidP="00B10783">
            <w:pPr>
              <w:jc w:val="center"/>
            </w:pPr>
            <w:r w:rsidRPr="000353C8">
              <w:t>(lei/MWh)</w:t>
            </w:r>
          </w:p>
        </w:tc>
        <w:tc>
          <w:tcPr>
            <w:tcW w:w="1979" w:type="dxa"/>
          </w:tcPr>
          <w:p w14:paraId="63365A70" w14:textId="2C1AFD5B" w:rsidR="00C87A6F" w:rsidRPr="000353C8" w:rsidRDefault="00C87A6F" w:rsidP="00B10783">
            <w:pPr>
              <w:jc w:val="center"/>
            </w:pPr>
            <w:r w:rsidRPr="000353C8">
              <w:t>Componenta aferentă costurilor suplimentare cu CPT (lei/MWh)</w:t>
            </w:r>
          </w:p>
        </w:tc>
      </w:tr>
      <w:tr w:rsidR="000353C8" w:rsidRPr="000353C8" w14:paraId="10150F3B" w14:textId="373858B9" w:rsidTr="00C87A6F">
        <w:trPr>
          <w:trHeight w:val="755"/>
          <w:jc w:val="center"/>
        </w:trPr>
        <w:tc>
          <w:tcPr>
            <w:tcW w:w="1980" w:type="dxa"/>
          </w:tcPr>
          <w:p w14:paraId="60657B4E" w14:textId="09BCFEA1" w:rsidR="00C87A6F" w:rsidRPr="000353C8" w:rsidRDefault="00C87A6F" w:rsidP="00C87A6F">
            <w:r w:rsidRPr="000353C8">
              <w:t>Compania Națională de Transport al Energiei Electrice “Transelectrica” – S.A.</w:t>
            </w:r>
          </w:p>
        </w:tc>
        <w:tc>
          <w:tcPr>
            <w:tcW w:w="2268" w:type="dxa"/>
            <w:vAlign w:val="center"/>
          </w:tcPr>
          <w:p w14:paraId="3DFA587A" w14:textId="63982F8F" w:rsidR="00C87A6F" w:rsidRPr="000353C8" w:rsidRDefault="00C87A6F" w:rsidP="00C87A6F">
            <w:r w:rsidRPr="000353C8">
              <w:t>Tariful mediu pentru serviciul de transport al energiei electrice</w:t>
            </w:r>
          </w:p>
        </w:tc>
        <w:tc>
          <w:tcPr>
            <w:tcW w:w="2384" w:type="dxa"/>
          </w:tcPr>
          <w:p w14:paraId="719CFC82" w14:textId="77777777" w:rsidR="008C2052" w:rsidRPr="000353C8" w:rsidRDefault="008C2052" w:rsidP="00B10783">
            <w:pPr>
              <w:jc w:val="center"/>
            </w:pPr>
          </w:p>
          <w:p w14:paraId="6523C805" w14:textId="77777777" w:rsidR="008C2052" w:rsidRPr="000353C8" w:rsidRDefault="008C2052" w:rsidP="00B10783">
            <w:pPr>
              <w:jc w:val="center"/>
            </w:pPr>
          </w:p>
          <w:p w14:paraId="03FC08A0" w14:textId="77777777" w:rsidR="008C2052" w:rsidRPr="000353C8" w:rsidRDefault="008C2052" w:rsidP="00B10783">
            <w:pPr>
              <w:jc w:val="center"/>
            </w:pPr>
          </w:p>
          <w:p w14:paraId="3AB014A7" w14:textId="1CF53EDA" w:rsidR="00C87A6F" w:rsidRPr="000353C8" w:rsidRDefault="008C2052" w:rsidP="00B10783">
            <w:pPr>
              <w:jc w:val="center"/>
            </w:pPr>
            <w:r w:rsidRPr="000353C8">
              <w:t>31,67</w:t>
            </w:r>
          </w:p>
        </w:tc>
        <w:tc>
          <w:tcPr>
            <w:tcW w:w="1443" w:type="dxa"/>
          </w:tcPr>
          <w:p w14:paraId="116283FA" w14:textId="77777777" w:rsidR="008C2052" w:rsidRPr="000353C8" w:rsidRDefault="008C2052" w:rsidP="00B10783">
            <w:pPr>
              <w:jc w:val="center"/>
            </w:pPr>
          </w:p>
          <w:p w14:paraId="0EC53974" w14:textId="77777777" w:rsidR="008C2052" w:rsidRPr="000353C8" w:rsidRDefault="008C2052" w:rsidP="00B10783">
            <w:pPr>
              <w:jc w:val="center"/>
            </w:pPr>
          </w:p>
          <w:p w14:paraId="29358904" w14:textId="77777777" w:rsidR="008C2052" w:rsidRPr="000353C8" w:rsidRDefault="008C2052" w:rsidP="00B10783">
            <w:pPr>
              <w:jc w:val="center"/>
            </w:pPr>
          </w:p>
          <w:p w14:paraId="1BE90D64" w14:textId="3E37DF59" w:rsidR="00C87A6F" w:rsidRPr="000353C8" w:rsidRDefault="008C2052" w:rsidP="00B10783">
            <w:pPr>
              <w:jc w:val="center"/>
            </w:pPr>
            <w:r w:rsidRPr="000353C8">
              <w:t>30,41</w:t>
            </w:r>
          </w:p>
        </w:tc>
        <w:tc>
          <w:tcPr>
            <w:tcW w:w="1979" w:type="dxa"/>
          </w:tcPr>
          <w:p w14:paraId="0645E668" w14:textId="77777777" w:rsidR="008C2052" w:rsidRPr="000353C8" w:rsidRDefault="008C2052" w:rsidP="00B10783">
            <w:pPr>
              <w:jc w:val="center"/>
            </w:pPr>
          </w:p>
          <w:p w14:paraId="46592DE0" w14:textId="77777777" w:rsidR="008C2052" w:rsidRPr="000353C8" w:rsidRDefault="008C2052" w:rsidP="00B10783">
            <w:pPr>
              <w:jc w:val="center"/>
            </w:pPr>
          </w:p>
          <w:p w14:paraId="05983211" w14:textId="77777777" w:rsidR="008C2052" w:rsidRPr="000353C8" w:rsidRDefault="008C2052" w:rsidP="00B10783">
            <w:pPr>
              <w:jc w:val="center"/>
            </w:pPr>
          </w:p>
          <w:p w14:paraId="07B0897A" w14:textId="5EB27563" w:rsidR="00C87A6F" w:rsidRPr="000353C8" w:rsidRDefault="008C2052" w:rsidP="00B10783">
            <w:pPr>
              <w:jc w:val="center"/>
            </w:pPr>
            <w:r w:rsidRPr="000353C8">
              <w:t>1,26</w:t>
            </w:r>
          </w:p>
        </w:tc>
      </w:tr>
    </w:tbl>
    <w:bookmarkEnd w:id="1"/>
    <w:p w14:paraId="6896EF77" w14:textId="6235E31E" w:rsidR="008B090F" w:rsidRPr="000353C8" w:rsidRDefault="008B090F" w:rsidP="00CF39CF">
      <w:pPr>
        <w:spacing w:line="360" w:lineRule="auto"/>
        <w:rPr>
          <w:bCs/>
        </w:rPr>
      </w:pPr>
      <w:r w:rsidRPr="000353C8">
        <w:rPr>
          <w:bCs/>
        </w:rPr>
        <w:t>NOT</w:t>
      </w:r>
      <w:r w:rsidR="00AC33B2" w:rsidRPr="000353C8">
        <w:rPr>
          <w:bCs/>
        </w:rPr>
        <w:t>Ă</w:t>
      </w:r>
      <w:r w:rsidRPr="000353C8">
        <w:rPr>
          <w:bCs/>
        </w:rPr>
        <w:t xml:space="preserve">: Tarifele nu </w:t>
      </w:r>
      <w:r w:rsidR="00323CBF" w:rsidRPr="000353C8">
        <w:rPr>
          <w:bCs/>
        </w:rPr>
        <w:t>conțin</w:t>
      </w:r>
      <w:r w:rsidRPr="000353C8">
        <w:rPr>
          <w:bCs/>
        </w:rPr>
        <w:t xml:space="preserve"> taxa pe valoarea adăugată (TVA).</w:t>
      </w:r>
    </w:p>
    <w:p w14:paraId="47B59A66" w14:textId="454BDE32" w:rsidR="00027611" w:rsidRPr="000353C8" w:rsidRDefault="00027611" w:rsidP="00AE50EC">
      <w:pPr>
        <w:jc w:val="both"/>
        <w:rPr>
          <w:b/>
        </w:rPr>
      </w:pPr>
      <w:r w:rsidRPr="000353C8">
        <w:rPr>
          <w:b/>
        </w:rPr>
        <w:t xml:space="preserve">Tabelul nr. 2 – Componenta tarifului de transport de introducere a energiei electrice în rețele (T_G) practicată de </w:t>
      </w:r>
      <w:r w:rsidRPr="000353C8">
        <w:rPr>
          <w:b/>
          <w:bCs/>
        </w:rPr>
        <w:t xml:space="preserve">Compania Națională de Transport al Energiei Electrice </w:t>
      </w:r>
      <w:r w:rsidRPr="000353C8">
        <w:rPr>
          <w:b/>
          <w:bCs/>
          <w:lang w:val="fr-FR"/>
        </w:rPr>
        <w:t>“</w:t>
      </w:r>
      <w:r w:rsidRPr="000353C8">
        <w:rPr>
          <w:b/>
          <w:bCs/>
        </w:rPr>
        <w:t>Transelectrica</w:t>
      </w:r>
      <w:r w:rsidRPr="000353C8">
        <w:rPr>
          <w:b/>
          <w:bCs/>
          <w:lang w:val="fr-FR"/>
        </w:rPr>
        <w:t xml:space="preserve">” - </w:t>
      </w:r>
      <w:r w:rsidRPr="000353C8">
        <w:rPr>
          <w:b/>
          <w:bCs/>
        </w:rPr>
        <w:t xml:space="preserve">S.A., </w:t>
      </w:r>
      <w:r w:rsidRPr="000353C8">
        <w:rPr>
          <w:b/>
        </w:rPr>
        <w:t>aplicabilă de la 1 ianuarie 2024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3543"/>
        <w:gridCol w:w="1558"/>
        <w:gridCol w:w="1418"/>
        <w:gridCol w:w="1554"/>
      </w:tblGrid>
      <w:tr w:rsidR="000353C8" w:rsidRPr="000353C8" w14:paraId="162D8E89" w14:textId="77777777" w:rsidTr="00AE50EC">
        <w:trPr>
          <w:trHeight w:val="330"/>
          <w:jc w:val="center"/>
        </w:trPr>
        <w:tc>
          <w:tcPr>
            <w:tcW w:w="985" w:type="pct"/>
          </w:tcPr>
          <w:p w14:paraId="66BD5E64" w14:textId="789E546C" w:rsidR="00C87A6F" w:rsidRPr="000353C8" w:rsidRDefault="00C87A6F" w:rsidP="00C93D5D">
            <w:pPr>
              <w:jc w:val="center"/>
              <w:rPr>
                <w:sz w:val="22"/>
                <w:szCs w:val="22"/>
              </w:rPr>
            </w:pPr>
            <w:r w:rsidRPr="000353C8">
              <w:rPr>
                <w:sz w:val="22"/>
                <w:szCs w:val="22"/>
              </w:rPr>
              <w:t>Operator economic</w:t>
            </w:r>
          </w:p>
        </w:tc>
        <w:tc>
          <w:tcPr>
            <w:tcW w:w="1762" w:type="pct"/>
          </w:tcPr>
          <w:p w14:paraId="05B260A6" w14:textId="4DFC650C" w:rsidR="00C87A6F" w:rsidRPr="000353C8" w:rsidRDefault="00C87A6F" w:rsidP="00C93D5D">
            <w:pPr>
              <w:jc w:val="center"/>
              <w:rPr>
                <w:sz w:val="22"/>
                <w:szCs w:val="22"/>
              </w:rPr>
            </w:pPr>
            <w:r w:rsidRPr="000353C8">
              <w:rPr>
                <w:sz w:val="22"/>
                <w:szCs w:val="22"/>
              </w:rPr>
              <w:t>Descriere</w:t>
            </w:r>
          </w:p>
        </w:tc>
        <w:tc>
          <w:tcPr>
            <w:tcW w:w="775" w:type="pct"/>
          </w:tcPr>
          <w:p w14:paraId="27327E0C" w14:textId="7985BBE0" w:rsidR="00C87A6F" w:rsidRPr="000353C8" w:rsidRDefault="00C87A6F" w:rsidP="00C93D5D">
            <w:pPr>
              <w:jc w:val="center"/>
              <w:rPr>
                <w:sz w:val="22"/>
                <w:szCs w:val="22"/>
              </w:rPr>
            </w:pPr>
            <w:r w:rsidRPr="000353C8">
              <w:rPr>
                <w:sz w:val="22"/>
                <w:szCs w:val="22"/>
              </w:rPr>
              <w:t>Tariful aplicabil de la 1 ianuarie 2024 (lei/MWh), din care:</w:t>
            </w:r>
          </w:p>
        </w:tc>
        <w:tc>
          <w:tcPr>
            <w:tcW w:w="705" w:type="pct"/>
          </w:tcPr>
          <w:p w14:paraId="571A5F9C" w14:textId="77777777" w:rsidR="00C87A6F" w:rsidRPr="000353C8" w:rsidRDefault="00C87A6F" w:rsidP="00C93D5D">
            <w:pPr>
              <w:jc w:val="center"/>
              <w:rPr>
                <w:sz w:val="22"/>
                <w:szCs w:val="22"/>
              </w:rPr>
            </w:pPr>
            <w:r w:rsidRPr="000353C8">
              <w:rPr>
                <w:sz w:val="22"/>
                <w:szCs w:val="22"/>
              </w:rPr>
              <w:t>Componenta principală</w:t>
            </w:r>
          </w:p>
          <w:p w14:paraId="29D2C7ED" w14:textId="77777777" w:rsidR="00C87A6F" w:rsidRPr="000353C8" w:rsidRDefault="00C87A6F" w:rsidP="00C93D5D">
            <w:pPr>
              <w:jc w:val="center"/>
              <w:rPr>
                <w:sz w:val="22"/>
                <w:szCs w:val="22"/>
              </w:rPr>
            </w:pPr>
            <w:r w:rsidRPr="000353C8">
              <w:rPr>
                <w:sz w:val="22"/>
                <w:szCs w:val="22"/>
              </w:rPr>
              <w:t>(lei/MWh)</w:t>
            </w:r>
          </w:p>
        </w:tc>
        <w:tc>
          <w:tcPr>
            <w:tcW w:w="773" w:type="pct"/>
          </w:tcPr>
          <w:p w14:paraId="164CAA4A" w14:textId="77777777" w:rsidR="00C87A6F" w:rsidRPr="000353C8" w:rsidRDefault="00C87A6F" w:rsidP="00C93D5D">
            <w:pPr>
              <w:jc w:val="center"/>
              <w:rPr>
                <w:sz w:val="22"/>
                <w:szCs w:val="22"/>
              </w:rPr>
            </w:pPr>
            <w:r w:rsidRPr="000353C8">
              <w:rPr>
                <w:sz w:val="22"/>
                <w:szCs w:val="22"/>
              </w:rPr>
              <w:t>Componenta aferentă costurilor suplimentare cu CPT (lei/MWh)</w:t>
            </w:r>
          </w:p>
        </w:tc>
      </w:tr>
      <w:tr w:rsidR="000353C8" w:rsidRPr="000353C8" w14:paraId="0C0EE21E" w14:textId="77777777" w:rsidTr="00AE50EC">
        <w:trPr>
          <w:trHeight w:val="600"/>
          <w:jc w:val="center"/>
        </w:trPr>
        <w:tc>
          <w:tcPr>
            <w:tcW w:w="985" w:type="pct"/>
            <w:vMerge w:val="restart"/>
          </w:tcPr>
          <w:p w14:paraId="456B9752" w14:textId="77777777" w:rsidR="00F97557" w:rsidRPr="000353C8" w:rsidRDefault="00F97557" w:rsidP="00C93D5D">
            <w:pPr>
              <w:rPr>
                <w:sz w:val="22"/>
                <w:szCs w:val="22"/>
              </w:rPr>
            </w:pPr>
          </w:p>
          <w:p w14:paraId="48618D2B" w14:textId="77777777" w:rsidR="00F97557" w:rsidRPr="000353C8" w:rsidRDefault="00F97557" w:rsidP="00C93D5D">
            <w:pPr>
              <w:rPr>
                <w:sz w:val="22"/>
                <w:szCs w:val="22"/>
              </w:rPr>
            </w:pPr>
          </w:p>
          <w:p w14:paraId="5A219DFB" w14:textId="77777777" w:rsidR="00F97557" w:rsidRPr="000353C8" w:rsidRDefault="00F97557" w:rsidP="00C93D5D">
            <w:pPr>
              <w:rPr>
                <w:sz w:val="22"/>
                <w:szCs w:val="22"/>
              </w:rPr>
            </w:pPr>
          </w:p>
          <w:p w14:paraId="3160231B" w14:textId="77777777" w:rsidR="00F97557" w:rsidRPr="000353C8" w:rsidRDefault="00F97557" w:rsidP="00C93D5D">
            <w:pPr>
              <w:rPr>
                <w:sz w:val="22"/>
                <w:szCs w:val="22"/>
              </w:rPr>
            </w:pPr>
          </w:p>
          <w:p w14:paraId="49C52A14" w14:textId="77777777" w:rsidR="00F97557" w:rsidRPr="000353C8" w:rsidRDefault="00F97557" w:rsidP="00C93D5D">
            <w:pPr>
              <w:rPr>
                <w:sz w:val="22"/>
                <w:szCs w:val="22"/>
              </w:rPr>
            </w:pPr>
          </w:p>
          <w:p w14:paraId="19A825B4" w14:textId="77777777" w:rsidR="00F97557" w:rsidRPr="000353C8" w:rsidRDefault="00F97557" w:rsidP="00C93D5D">
            <w:pPr>
              <w:rPr>
                <w:sz w:val="22"/>
                <w:szCs w:val="22"/>
              </w:rPr>
            </w:pPr>
          </w:p>
          <w:p w14:paraId="3F16C397" w14:textId="77777777" w:rsidR="00F97557" w:rsidRPr="000353C8" w:rsidRDefault="00F97557" w:rsidP="00C93D5D">
            <w:pPr>
              <w:rPr>
                <w:sz w:val="22"/>
                <w:szCs w:val="22"/>
              </w:rPr>
            </w:pPr>
          </w:p>
          <w:p w14:paraId="0C4DEA40" w14:textId="77777777" w:rsidR="00F97557" w:rsidRPr="000353C8" w:rsidRDefault="00F97557" w:rsidP="00C93D5D">
            <w:pPr>
              <w:rPr>
                <w:sz w:val="22"/>
                <w:szCs w:val="22"/>
              </w:rPr>
            </w:pPr>
          </w:p>
          <w:p w14:paraId="017BD829" w14:textId="77777777" w:rsidR="00F97557" w:rsidRPr="000353C8" w:rsidRDefault="00F97557" w:rsidP="00C93D5D">
            <w:pPr>
              <w:rPr>
                <w:sz w:val="22"/>
                <w:szCs w:val="22"/>
              </w:rPr>
            </w:pPr>
          </w:p>
          <w:p w14:paraId="7AEC5E62" w14:textId="77777777" w:rsidR="00F97557" w:rsidRPr="000353C8" w:rsidRDefault="00F97557" w:rsidP="00C93D5D">
            <w:pPr>
              <w:rPr>
                <w:sz w:val="22"/>
                <w:szCs w:val="22"/>
              </w:rPr>
            </w:pPr>
          </w:p>
          <w:p w14:paraId="37653F27" w14:textId="77777777" w:rsidR="00F97557" w:rsidRPr="000353C8" w:rsidRDefault="00F97557" w:rsidP="00C93D5D">
            <w:pPr>
              <w:rPr>
                <w:sz w:val="22"/>
                <w:szCs w:val="22"/>
              </w:rPr>
            </w:pPr>
          </w:p>
          <w:p w14:paraId="3253606C" w14:textId="58EDD730" w:rsidR="00C87A6F" w:rsidRPr="000353C8" w:rsidRDefault="00C87A6F" w:rsidP="00C93D5D">
            <w:pPr>
              <w:rPr>
                <w:sz w:val="22"/>
                <w:szCs w:val="22"/>
              </w:rPr>
            </w:pPr>
            <w:r w:rsidRPr="000353C8">
              <w:rPr>
                <w:sz w:val="22"/>
                <w:szCs w:val="22"/>
              </w:rPr>
              <w:t>Compania Națională de Transport al Energiei Electrice “Transelectrica” – S.A.</w:t>
            </w:r>
          </w:p>
        </w:tc>
        <w:tc>
          <w:tcPr>
            <w:tcW w:w="1762" w:type="pct"/>
            <w:vAlign w:val="center"/>
          </w:tcPr>
          <w:p w14:paraId="62D5ABF0" w14:textId="09DB04CA" w:rsidR="00C87A6F" w:rsidRPr="000353C8" w:rsidRDefault="00C87A6F" w:rsidP="00C93D5D">
            <w:pPr>
              <w:rPr>
                <w:sz w:val="22"/>
                <w:szCs w:val="22"/>
              </w:rPr>
            </w:pPr>
            <w:r w:rsidRPr="000353C8">
              <w:rPr>
                <w:sz w:val="22"/>
                <w:szCs w:val="22"/>
              </w:rPr>
              <w:t>Componenta tarifului de transport de introducere a energiei electrice în rețele (T_G), din care:</w:t>
            </w:r>
          </w:p>
        </w:tc>
        <w:tc>
          <w:tcPr>
            <w:tcW w:w="775" w:type="pct"/>
          </w:tcPr>
          <w:p w14:paraId="3A31EF6E" w14:textId="77777777" w:rsidR="00C87A6F" w:rsidRPr="000353C8" w:rsidRDefault="00C87A6F" w:rsidP="00C93D5D">
            <w:pPr>
              <w:jc w:val="center"/>
              <w:rPr>
                <w:sz w:val="22"/>
                <w:szCs w:val="22"/>
              </w:rPr>
            </w:pPr>
          </w:p>
        </w:tc>
        <w:tc>
          <w:tcPr>
            <w:tcW w:w="705" w:type="pct"/>
          </w:tcPr>
          <w:p w14:paraId="28BB0F40" w14:textId="77777777" w:rsidR="00C87A6F" w:rsidRPr="000353C8" w:rsidRDefault="00C87A6F" w:rsidP="00C93D5D">
            <w:pPr>
              <w:jc w:val="center"/>
              <w:rPr>
                <w:sz w:val="22"/>
                <w:szCs w:val="22"/>
              </w:rPr>
            </w:pPr>
          </w:p>
        </w:tc>
        <w:tc>
          <w:tcPr>
            <w:tcW w:w="773" w:type="pct"/>
          </w:tcPr>
          <w:p w14:paraId="2B44DE3F" w14:textId="77777777" w:rsidR="00C87A6F" w:rsidRPr="000353C8" w:rsidRDefault="00C87A6F" w:rsidP="00C93D5D">
            <w:pPr>
              <w:jc w:val="center"/>
              <w:rPr>
                <w:sz w:val="22"/>
                <w:szCs w:val="22"/>
              </w:rPr>
            </w:pPr>
          </w:p>
        </w:tc>
      </w:tr>
      <w:tr w:rsidR="000353C8" w:rsidRPr="000353C8" w14:paraId="04B34C4B" w14:textId="77777777" w:rsidTr="00AE50EC">
        <w:trPr>
          <w:trHeight w:val="600"/>
          <w:jc w:val="center"/>
        </w:trPr>
        <w:tc>
          <w:tcPr>
            <w:tcW w:w="985" w:type="pct"/>
            <w:vMerge/>
          </w:tcPr>
          <w:p w14:paraId="732EC7C1" w14:textId="77777777" w:rsidR="00C87A6F" w:rsidRPr="000353C8" w:rsidRDefault="00C87A6F" w:rsidP="008B6347">
            <w:pPr>
              <w:pStyle w:val="Listparagraf"/>
              <w:numPr>
                <w:ilvl w:val="0"/>
                <w:numId w:val="9"/>
              </w:numPr>
              <w:ind w:left="-2" w:firstLine="0"/>
              <w:rPr>
                <w:bCs/>
                <w:sz w:val="22"/>
                <w:szCs w:val="22"/>
              </w:rPr>
            </w:pPr>
          </w:p>
        </w:tc>
        <w:tc>
          <w:tcPr>
            <w:tcW w:w="1762" w:type="pct"/>
            <w:vAlign w:val="center"/>
          </w:tcPr>
          <w:p w14:paraId="126C383D" w14:textId="43A6DB10" w:rsidR="00C87A6F" w:rsidRPr="000353C8" w:rsidRDefault="00C87A6F" w:rsidP="008B6347">
            <w:pPr>
              <w:pStyle w:val="Listparagraf"/>
              <w:numPr>
                <w:ilvl w:val="0"/>
                <w:numId w:val="9"/>
              </w:numPr>
              <w:ind w:left="-2" w:firstLine="0"/>
              <w:rPr>
                <w:sz w:val="22"/>
                <w:szCs w:val="22"/>
              </w:rPr>
            </w:pPr>
            <w:r w:rsidRPr="000353C8">
              <w:rPr>
                <w:bCs/>
                <w:sz w:val="22"/>
                <w:szCs w:val="22"/>
              </w:rPr>
              <w:t xml:space="preserve">subcomponenta principală TGP </w:t>
            </w:r>
          </w:p>
        </w:tc>
        <w:tc>
          <w:tcPr>
            <w:tcW w:w="775" w:type="pct"/>
          </w:tcPr>
          <w:p w14:paraId="0338D606" w14:textId="77777777" w:rsidR="008C2052" w:rsidRPr="000353C8" w:rsidRDefault="008C2052" w:rsidP="00C93D5D">
            <w:pPr>
              <w:jc w:val="center"/>
              <w:rPr>
                <w:sz w:val="22"/>
                <w:szCs w:val="22"/>
              </w:rPr>
            </w:pPr>
          </w:p>
          <w:p w14:paraId="5CB627B1" w14:textId="6FD2C0BC" w:rsidR="00C87A6F" w:rsidRPr="000353C8" w:rsidRDefault="008C2052" w:rsidP="00C93D5D">
            <w:pPr>
              <w:jc w:val="center"/>
              <w:rPr>
                <w:sz w:val="22"/>
                <w:szCs w:val="22"/>
              </w:rPr>
            </w:pPr>
            <w:r w:rsidRPr="000353C8">
              <w:rPr>
                <w:sz w:val="22"/>
                <w:szCs w:val="22"/>
              </w:rPr>
              <w:t>3,82</w:t>
            </w:r>
          </w:p>
        </w:tc>
        <w:tc>
          <w:tcPr>
            <w:tcW w:w="705" w:type="pct"/>
          </w:tcPr>
          <w:p w14:paraId="1D1F860D" w14:textId="77777777" w:rsidR="008C2052" w:rsidRPr="000353C8" w:rsidRDefault="008C2052" w:rsidP="00C93D5D">
            <w:pPr>
              <w:jc w:val="center"/>
              <w:rPr>
                <w:sz w:val="22"/>
                <w:szCs w:val="22"/>
              </w:rPr>
            </w:pPr>
          </w:p>
          <w:p w14:paraId="531D9F98" w14:textId="3677630C" w:rsidR="00C87A6F" w:rsidRPr="000353C8" w:rsidRDefault="008C2052" w:rsidP="00C93D5D">
            <w:pPr>
              <w:jc w:val="center"/>
              <w:rPr>
                <w:sz w:val="22"/>
                <w:szCs w:val="22"/>
              </w:rPr>
            </w:pPr>
            <w:r w:rsidRPr="000353C8">
              <w:rPr>
                <w:sz w:val="22"/>
                <w:szCs w:val="22"/>
              </w:rPr>
              <w:t>3,35</w:t>
            </w:r>
          </w:p>
        </w:tc>
        <w:tc>
          <w:tcPr>
            <w:tcW w:w="773" w:type="pct"/>
          </w:tcPr>
          <w:p w14:paraId="3B374900" w14:textId="77777777" w:rsidR="008C2052" w:rsidRPr="000353C8" w:rsidRDefault="008C2052" w:rsidP="00C93D5D">
            <w:pPr>
              <w:jc w:val="center"/>
              <w:rPr>
                <w:sz w:val="22"/>
                <w:szCs w:val="22"/>
              </w:rPr>
            </w:pPr>
          </w:p>
          <w:p w14:paraId="32807272" w14:textId="5D665E2A" w:rsidR="00C87A6F" w:rsidRPr="000353C8" w:rsidRDefault="008C2052" w:rsidP="00C93D5D">
            <w:pPr>
              <w:jc w:val="center"/>
              <w:rPr>
                <w:sz w:val="22"/>
                <w:szCs w:val="22"/>
              </w:rPr>
            </w:pPr>
            <w:r w:rsidRPr="000353C8">
              <w:rPr>
                <w:sz w:val="22"/>
                <w:szCs w:val="22"/>
              </w:rPr>
              <w:t>0,47</w:t>
            </w:r>
          </w:p>
        </w:tc>
      </w:tr>
      <w:tr w:rsidR="000353C8" w:rsidRPr="000353C8" w14:paraId="29164B0F" w14:textId="77777777" w:rsidTr="00AE50EC">
        <w:trPr>
          <w:trHeight w:val="600"/>
          <w:jc w:val="center"/>
        </w:trPr>
        <w:tc>
          <w:tcPr>
            <w:tcW w:w="985" w:type="pct"/>
            <w:vMerge/>
          </w:tcPr>
          <w:p w14:paraId="24710B35" w14:textId="77777777" w:rsidR="00C87A6F" w:rsidRPr="000353C8" w:rsidRDefault="00C87A6F" w:rsidP="00C44D44">
            <w:pPr>
              <w:pStyle w:val="Listparagraf"/>
              <w:numPr>
                <w:ilvl w:val="0"/>
                <w:numId w:val="9"/>
              </w:numPr>
              <w:ind w:left="0" w:hanging="2"/>
              <w:jc w:val="both"/>
              <w:rPr>
                <w:bCs/>
                <w:sz w:val="22"/>
                <w:szCs w:val="22"/>
              </w:rPr>
            </w:pPr>
          </w:p>
        </w:tc>
        <w:tc>
          <w:tcPr>
            <w:tcW w:w="1762" w:type="pct"/>
            <w:vAlign w:val="center"/>
          </w:tcPr>
          <w:p w14:paraId="4B8EEB44" w14:textId="16A4B422" w:rsidR="00C87A6F" w:rsidRPr="000353C8" w:rsidRDefault="00C87A6F" w:rsidP="00C44D44">
            <w:pPr>
              <w:pStyle w:val="Listparagraf"/>
              <w:numPr>
                <w:ilvl w:val="0"/>
                <w:numId w:val="9"/>
              </w:numPr>
              <w:ind w:left="0" w:hanging="2"/>
              <w:jc w:val="both"/>
              <w:rPr>
                <w:bCs/>
                <w:sz w:val="22"/>
                <w:szCs w:val="22"/>
              </w:rPr>
            </w:pPr>
            <w:r w:rsidRPr="000353C8">
              <w:rPr>
                <w:bCs/>
                <w:sz w:val="22"/>
                <w:szCs w:val="22"/>
              </w:rPr>
              <w:t>subcomponenta TGT privind CPT aferent tranzitelor suplimentare de energie electrică din rețelele electrice de 110 kV, corespunzător cotei atribuite producătorilor de energie electrică care dețin centrale cu capacitatea instalată mai mare de 5 MW și care introduc energie electrică în  zona de rețea a operatorului de distribuție concesionar Distribuție Energie Oltenia S.A.</w:t>
            </w:r>
          </w:p>
        </w:tc>
        <w:tc>
          <w:tcPr>
            <w:tcW w:w="775" w:type="pct"/>
          </w:tcPr>
          <w:p w14:paraId="063627B3" w14:textId="77777777" w:rsidR="00C87A6F" w:rsidRPr="000353C8" w:rsidRDefault="00C87A6F" w:rsidP="00C44D44">
            <w:pPr>
              <w:jc w:val="center"/>
              <w:rPr>
                <w:sz w:val="22"/>
                <w:szCs w:val="22"/>
              </w:rPr>
            </w:pPr>
          </w:p>
          <w:p w14:paraId="4BFCE488" w14:textId="77777777" w:rsidR="00C87A6F" w:rsidRPr="000353C8" w:rsidRDefault="00C87A6F" w:rsidP="00C44D44">
            <w:pPr>
              <w:jc w:val="center"/>
              <w:rPr>
                <w:sz w:val="22"/>
                <w:szCs w:val="22"/>
              </w:rPr>
            </w:pPr>
          </w:p>
          <w:p w14:paraId="61D5D2A4" w14:textId="77777777" w:rsidR="00C87A6F" w:rsidRPr="000353C8" w:rsidRDefault="00C87A6F" w:rsidP="00C44D44">
            <w:pPr>
              <w:jc w:val="center"/>
              <w:rPr>
                <w:sz w:val="22"/>
                <w:szCs w:val="22"/>
              </w:rPr>
            </w:pPr>
          </w:p>
          <w:p w14:paraId="60B85693" w14:textId="77777777" w:rsidR="00C87A6F" w:rsidRPr="000353C8" w:rsidRDefault="00C87A6F" w:rsidP="00C44D44">
            <w:pPr>
              <w:jc w:val="center"/>
              <w:rPr>
                <w:sz w:val="22"/>
                <w:szCs w:val="22"/>
              </w:rPr>
            </w:pPr>
          </w:p>
          <w:p w14:paraId="44E4783A" w14:textId="45B81EC7" w:rsidR="00C87A6F" w:rsidRPr="000353C8" w:rsidRDefault="008C2052" w:rsidP="00C44D44">
            <w:pPr>
              <w:jc w:val="center"/>
              <w:rPr>
                <w:sz w:val="22"/>
                <w:szCs w:val="22"/>
              </w:rPr>
            </w:pPr>
            <w:r w:rsidRPr="000353C8">
              <w:rPr>
                <w:sz w:val="22"/>
                <w:szCs w:val="22"/>
              </w:rPr>
              <w:t>2,53</w:t>
            </w:r>
          </w:p>
        </w:tc>
        <w:tc>
          <w:tcPr>
            <w:tcW w:w="705" w:type="pct"/>
          </w:tcPr>
          <w:p w14:paraId="2A580226" w14:textId="77777777" w:rsidR="00C87A6F" w:rsidRPr="000353C8" w:rsidRDefault="00C87A6F" w:rsidP="00C44D44">
            <w:pPr>
              <w:jc w:val="center"/>
              <w:rPr>
                <w:sz w:val="22"/>
                <w:szCs w:val="22"/>
              </w:rPr>
            </w:pPr>
          </w:p>
          <w:p w14:paraId="683A1B0F" w14:textId="77777777" w:rsidR="00C87A6F" w:rsidRPr="000353C8" w:rsidRDefault="00C87A6F" w:rsidP="00C44D44">
            <w:pPr>
              <w:jc w:val="center"/>
              <w:rPr>
                <w:sz w:val="22"/>
                <w:szCs w:val="22"/>
              </w:rPr>
            </w:pPr>
          </w:p>
          <w:p w14:paraId="11DD4242" w14:textId="77777777" w:rsidR="00C87A6F" w:rsidRPr="000353C8" w:rsidRDefault="00C87A6F" w:rsidP="00C44D44">
            <w:pPr>
              <w:jc w:val="center"/>
              <w:rPr>
                <w:sz w:val="22"/>
                <w:szCs w:val="22"/>
              </w:rPr>
            </w:pPr>
          </w:p>
          <w:p w14:paraId="5B40E711" w14:textId="77777777" w:rsidR="00C87A6F" w:rsidRPr="000353C8" w:rsidRDefault="00C87A6F" w:rsidP="00C44D44">
            <w:pPr>
              <w:jc w:val="center"/>
              <w:rPr>
                <w:sz w:val="22"/>
                <w:szCs w:val="22"/>
              </w:rPr>
            </w:pPr>
          </w:p>
          <w:p w14:paraId="0BE531D3" w14:textId="1ADE3FC3" w:rsidR="00C87A6F" w:rsidRPr="000353C8" w:rsidRDefault="00C87A6F" w:rsidP="00C44D44">
            <w:pPr>
              <w:jc w:val="center"/>
              <w:rPr>
                <w:sz w:val="22"/>
                <w:szCs w:val="22"/>
              </w:rPr>
            </w:pPr>
            <w:r w:rsidRPr="000353C8">
              <w:rPr>
                <w:sz w:val="22"/>
                <w:szCs w:val="22"/>
              </w:rPr>
              <w:t>-</w:t>
            </w:r>
          </w:p>
        </w:tc>
        <w:tc>
          <w:tcPr>
            <w:tcW w:w="773" w:type="pct"/>
          </w:tcPr>
          <w:p w14:paraId="28668E47" w14:textId="77777777" w:rsidR="00C87A6F" w:rsidRPr="000353C8" w:rsidRDefault="00C87A6F" w:rsidP="00C44D44">
            <w:pPr>
              <w:jc w:val="center"/>
              <w:rPr>
                <w:sz w:val="22"/>
                <w:szCs w:val="22"/>
              </w:rPr>
            </w:pPr>
          </w:p>
          <w:p w14:paraId="4B475CB2" w14:textId="77777777" w:rsidR="00C87A6F" w:rsidRPr="000353C8" w:rsidRDefault="00C87A6F" w:rsidP="00C44D44">
            <w:pPr>
              <w:jc w:val="center"/>
              <w:rPr>
                <w:sz w:val="22"/>
                <w:szCs w:val="22"/>
              </w:rPr>
            </w:pPr>
          </w:p>
          <w:p w14:paraId="432B0952" w14:textId="77777777" w:rsidR="00C87A6F" w:rsidRPr="000353C8" w:rsidRDefault="00C87A6F" w:rsidP="00C44D44">
            <w:pPr>
              <w:jc w:val="center"/>
              <w:rPr>
                <w:sz w:val="22"/>
                <w:szCs w:val="22"/>
              </w:rPr>
            </w:pPr>
          </w:p>
          <w:p w14:paraId="284167C4" w14:textId="77777777" w:rsidR="00C87A6F" w:rsidRPr="000353C8" w:rsidRDefault="00C87A6F" w:rsidP="00C44D44">
            <w:pPr>
              <w:jc w:val="center"/>
              <w:rPr>
                <w:sz w:val="22"/>
                <w:szCs w:val="22"/>
              </w:rPr>
            </w:pPr>
          </w:p>
          <w:p w14:paraId="72B51C94" w14:textId="60B2039C" w:rsidR="00C87A6F" w:rsidRPr="000353C8" w:rsidRDefault="00C87A6F" w:rsidP="00C44D44">
            <w:pPr>
              <w:jc w:val="center"/>
              <w:rPr>
                <w:sz w:val="22"/>
                <w:szCs w:val="22"/>
              </w:rPr>
            </w:pPr>
            <w:r w:rsidRPr="000353C8">
              <w:rPr>
                <w:sz w:val="22"/>
                <w:szCs w:val="22"/>
              </w:rPr>
              <w:t>-</w:t>
            </w:r>
          </w:p>
        </w:tc>
      </w:tr>
      <w:tr w:rsidR="000353C8" w:rsidRPr="000353C8" w14:paraId="57A0749D" w14:textId="77777777" w:rsidTr="00AE50EC">
        <w:trPr>
          <w:trHeight w:val="696"/>
          <w:jc w:val="center"/>
        </w:trPr>
        <w:tc>
          <w:tcPr>
            <w:tcW w:w="985" w:type="pct"/>
            <w:vMerge/>
          </w:tcPr>
          <w:p w14:paraId="49CFA3DF" w14:textId="77777777" w:rsidR="00C87A6F" w:rsidRPr="000353C8" w:rsidRDefault="00C87A6F" w:rsidP="00C44D44">
            <w:pPr>
              <w:jc w:val="both"/>
              <w:rPr>
                <w:bCs/>
                <w:sz w:val="22"/>
                <w:szCs w:val="22"/>
              </w:rPr>
            </w:pPr>
          </w:p>
        </w:tc>
        <w:tc>
          <w:tcPr>
            <w:tcW w:w="1762" w:type="pct"/>
            <w:vAlign w:val="center"/>
          </w:tcPr>
          <w:p w14:paraId="46740ED3" w14:textId="1479AF29" w:rsidR="00C87A6F" w:rsidRPr="000353C8" w:rsidRDefault="00C87A6F" w:rsidP="00C44D44">
            <w:pPr>
              <w:jc w:val="both"/>
              <w:rPr>
                <w:bCs/>
                <w:sz w:val="22"/>
                <w:szCs w:val="22"/>
              </w:rPr>
            </w:pPr>
            <w:r w:rsidRPr="000353C8">
              <w:rPr>
                <w:bCs/>
                <w:sz w:val="22"/>
                <w:szCs w:val="22"/>
              </w:rPr>
              <w:t xml:space="preserve"> -</w:t>
            </w:r>
            <w:r w:rsidRPr="000353C8">
              <w:rPr>
                <w:bCs/>
                <w:sz w:val="22"/>
                <w:szCs w:val="22"/>
              </w:rPr>
              <w:tab/>
              <w:t>subcomponenta TGT privind CPT aferent tranzitelor suplimentare de energie electrică din rețelele electrice de 110 kV, corespunzător cotei atribuite producătorilor de energie electrică care dețin centrale cu capacitatea instalată mai mare de 5 MW și care introduc energie electrică în  zona de rețea a operatorului de distribuție concesionar Re</w:t>
            </w:r>
            <w:r w:rsidR="00B92010" w:rsidRPr="000353C8">
              <w:rPr>
                <w:bCs/>
                <w:sz w:val="22"/>
                <w:szCs w:val="22"/>
              </w:rPr>
              <w:t>t</w:t>
            </w:r>
            <w:r w:rsidRPr="000353C8">
              <w:rPr>
                <w:bCs/>
                <w:sz w:val="22"/>
                <w:szCs w:val="22"/>
              </w:rPr>
              <w:t>ele Electrică Dobrogea</w:t>
            </w:r>
            <w:r w:rsidR="00B92010" w:rsidRPr="000353C8">
              <w:rPr>
                <w:bCs/>
                <w:sz w:val="22"/>
                <w:szCs w:val="22"/>
              </w:rPr>
              <w:t xml:space="preserve"> S.A.</w:t>
            </w:r>
            <w:r w:rsidRPr="000353C8">
              <w:rPr>
                <w:bCs/>
                <w:sz w:val="22"/>
                <w:szCs w:val="22"/>
              </w:rPr>
              <w:t xml:space="preserve"> (denumire anterioară E – Distribuție Dobrogea S.A.).</w:t>
            </w:r>
          </w:p>
        </w:tc>
        <w:tc>
          <w:tcPr>
            <w:tcW w:w="775" w:type="pct"/>
          </w:tcPr>
          <w:p w14:paraId="24663FD0" w14:textId="77777777" w:rsidR="00C87A6F" w:rsidRPr="000353C8" w:rsidRDefault="00C87A6F" w:rsidP="00C44D44">
            <w:pPr>
              <w:jc w:val="center"/>
              <w:rPr>
                <w:sz w:val="22"/>
                <w:szCs w:val="22"/>
              </w:rPr>
            </w:pPr>
          </w:p>
          <w:p w14:paraId="1371D6CD" w14:textId="77777777" w:rsidR="00C87A6F" w:rsidRPr="000353C8" w:rsidRDefault="00C87A6F" w:rsidP="00C44D44">
            <w:pPr>
              <w:jc w:val="center"/>
              <w:rPr>
                <w:sz w:val="22"/>
                <w:szCs w:val="22"/>
              </w:rPr>
            </w:pPr>
          </w:p>
          <w:p w14:paraId="67601F1F" w14:textId="77777777" w:rsidR="00C87A6F" w:rsidRPr="000353C8" w:rsidRDefault="00C87A6F" w:rsidP="00C44D44">
            <w:pPr>
              <w:jc w:val="center"/>
              <w:rPr>
                <w:sz w:val="22"/>
                <w:szCs w:val="22"/>
              </w:rPr>
            </w:pPr>
          </w:p>
          <w:p w14:paraId="4B949328" w14:textId="77777777" w:rsidR="00C87A6F" w:rsidRPr="000353C8" w:rsidRDefault="00C87A6F" w:rsidP="00C44D44">
            <w:pPr>
              <w:jc w:val="center"/>
              <w:rPr>
                <w:sz w:val="22"/>
                <w:szCs w:val="22"/>
              </w:rPr>
            </w:pPr>
          </w:p>
          <w:p w14:paraId="6D698ECA" w14:textId="4BB5F4CF" w:rsidR="00C87A6F" w:rsidRPr="000353C8" w:rsidRDefault="008C2052" w:rsidP="00C44D44">
            <w:pPr>
              <w:jc w:val="center"/>
              <w:rPr>
                <w:sz w:val="22"/>
                <w:szCs w:val="22"/>
              </w:rPr>
            </w:pPr>
            <w:r w:rsidRPr="000353C8">
              <w:rPr>
                <w:sz w:val="22"/>
                <w:szCs w:val="22"/>
              </w:rPr>
              <w:t>3,95</w:t>
            </w:r>
          </w:p>
        </w:tc>
        <w:tc>
          <w:tcPr>
            <w:tcW w:w="705" w:type="pct"/>
          </w:tcPr>
          <w:p w14:paraId="6E3DBDA2" w14:textId="77777777" w:rsidR="00C87A6F" w:rsidRPr="000353C8" w:rsidRDefault="00C87A6F" w:rsidP="00C44D44">
            <w:pPr>
              <w:jc w:val="center"/>
              <w:rPr>
                <w:sz w:val="22"/>
                <w:szCs w:val="22"/>
              </w:rPr>
            </w:pPr>
          </w:p>
          <w:p w14:paraId="24D8A9D6" w14:textId="77777777" w:rsidR="00C87A6F" w:rsidRPr="000353C8" w:rsidRDefault="00C87A6F" w:rsidP="00C44D44">
            <w:pPr>
              <w:jc w:val="center"/>
              <w:rPr>
                <w:sz w:val="22"/>
                <w:szCs w:val="22"/>
              </w:rPr>
            </w:pPr>
          </w:p>
          <w:p w14:paraId="1D18EE3F" w14:textId="77777777" w:rsidR="00C87A6F" w:rsidRPr="000353C8" w:rsidRDefault="00C87A6F" w:rsidP="00C44D44">
            <w:pPr>
              <w:jc w:val="center"/>
              <w:rPr>
                <w:sz w:val="22"/>
                <w:szCs w:val="22"/>
              </w:rPr>
            </w:pPr>
          </w:p>
          <w:p w14:paraId="4C5C08B6" w14:textId="77777777" w:rsidR="00C87A6F" w:rsidRPr="000353C8" w:rsidRDefault="00C87A6F" w:rsidP="00C44D44">
            <w:pPr>
              <w:jc w:val="center"/>
              <w:rPr>
                <w:sz w:val="22"/>
                <w:szCs w:val="22"/>
              </w:rPr>
            </w:pPr>
          </w:p>
          <w:p w14:paraId="12F8AB0B" w14:textId="6D96C6F8" w:rsidR="00C87A6F" w:rsidRPr="000353C8" w:rsidRDefault="00C87A6F" w:rsidP="00C44D44">
            <w:pPr>
              <w:jc w:val="center"/>
              <w:rPr>
                <w:sz w:val="22"/>
                <w:szCs w:val="22"/>
              </w:rPr>
            </w:pPr>
            <w:r w:rsidRPr="000353C8">
              <w:rPr>
                <w:sz w:val="22"/>
                <w:szCs w:val="22"/>
              </w:rPr>
              <w:t>-</w:t>
            </w:r>
          </w:p>
          <w:p w14:paraId="2192856C" w14:textId="77777777" w:rsidR="00C87A6F" w:rsidRPr="000353C8" w:rsidRDefault="00C87A6F" w:rsidP="00C44D44">
            <w:pPr>
              <w:jc w:val="center"/>
              <w:rPr>
                <w:sz w:val="22"/>
                <w:szCs w:val="22"/>
              </w:rPr>
            </w:pPr>
          </w:p>
          <w:p w14:paraId="0597C8EF" w14:textId="3F16269C" w:rsidR="00C87A6F" w:rsidRPr="000353C8" w:rsidRDefault="00C87A6F" w:rsidP="00C44D44">
            <w:pPr>
              <w:jc w:val="center"/>
              <w:rPr>
                <w:sz w:val="22"/>
                <w:szCs w:val="22"/>
              </w:rPr>
            </w:pPr>
          </w:p>
        </w:tc>
        <w:tc>
          <w:tcPr>
            <w:tcW w:w="773" w:type="pct"/>
          </w:tcPr>
          <w:p w14:paraId="6701C481" w14:textId="77777777" w:rsidR="00C87A6F" w:rsidRPr="000353C8" w:rsidRDefault="00C87A6F" w:rsidP="00C44D44">
            <w:pPr>
              <w:jc w:val="center"/>
              <w:rPr>
                <w:sz w:val="22"/>
                <w:szCs w:val="22"/>
              </w:rPr>
            </w:pPr>
          </w:p>
          <w:p w14:paraId="2A1BFE86" w14:textId="77777777" w:rsidR="00C87A6F" w:rsidRPr="000353C8" w:rsidRDefault="00C87A6F" w:rsidP="00C44D44">
            <w:pPr>
              <w:jc w:val="center"/>
              <w:rPr>
                <w:sz w:val="22"/>
                <w:szCs w:val="22"/>
              </w:rPr>
            </w:pPr>
          </w:p>
          <w:p w14:paraId="15C9258B" w14:textId="77777777" w:rsidR="00C87A6F" w:rsidRPr="000353C8" w:rsidRDefault="00C87A6F" w:rsidP="00C44D44">
            <w:pPr>
              <w:jc w:val="center"/>
              <w:rPr>
                <w:sz w:val="22"/>
                <w:szCs w:val="22"/>
              </w:rPr>
            </w:pPr>
          </w:p>
          <w:p w14:paraId="79B91D41" w14:textId="77777777" w:rsidR="00C87A6F" w:rsidRPr="000353C8" w:rsidRDefault="00C87A6F" w:rsidP="00C44D44">
            <w:pPr>
              <w:jc w:val="center"/>
              <w:rPr>
                <w:sz w:val="22"/>
                <w:szCs w:val="22"/>
              </w:rPr>
            </w:pPr>
          </w:p>
          <w:p w14:paraId="2B041B85" w14:textId="703699D9" w:rsidR="00C87A6F" w:rsidRPr="000353C8" w:rsidRDefault="00C87A6F" w:rsidP="00C44D44">
            <w:pPr>
              <w:jc w:val="center"/>
              <w:rPr>
                <w:sz w:val="22"/>
                <w:szCs w:val="22"/>
              </w:rPr>
            </w:pPr>
            <w:r w:rsidRPr="000353C8">
              <w:rPr>
                <w:sz w:val="22"/>
                <w:szCs w:val="22"/>
              </w:rPr>
              <w:t>-</w:t>
            </w:r>
          </w:p>
        </w:tc>
      </w:tr>
    </w:tbl>
    <w:p w14:paraId="46BC2E3F" w14:textId="3CE2E906" w:rsidR="00982969" w:rsidRPr="000353C8" w:rsidRDefault="005A17F8" w:rsidP="00DC59CC">
      <w:pPr>
        <w:spacing w:line="360" w:lineRule="auto"/>
        <w:rPr>
          <w:lang w:val="en-US"/>
        </w:rPr>
      </w:pPr>
      <w:r w:rsidRPr="000353C8">
        <w:rPr>
          <w:lang w:val="en-US"/>
        </w:rPr>
        <w:t>NOTĂ: Tarifele nu conțin taxa pe valoarea adăugată (TVA).</w:t>
      </w:r>
    </w:p>
    <w:p w14:paraId="2D5B1B8A" w14:textId="761B27A5" w:rsidR="00C177C5" w:rsidRPr="000353C8" w:rsidRDefault="00C177C5" w:rsidP="00C177C5">
      <w:pPr>
        <w:spacing w:line="276" w:lineRule="auto"/>
        <w:jc w:val="both"/>
        <w:rPr>
          <w:b/>
        </w:rPr>
      </w:pPr>
      <w:r w:rsidRPr="000353C8">
        <w:rPr>
          <w:b/>
        </w:rPr>
        <w:lastRenderedPageBreak/>
        <w:t xml:space="preserve">Tabelul nr. 3 – Componenta tarifului de transport de extragere a energiei electrice în rețele (T_L) practicată de </w:t>
      </w:r>
      <w:r w:rsidRPr="000353C8">
        <w:rPr>
          <w:b/>
          <w:bCs/>
        </w:rPr>
        <w:t xml:space="preserve">Compania Națională de Transport al Energiei Electrice </w:t>
      </w:r>
      <w:r w:rsidRPr="000353C8">
        <w:rPr>
          <w:b/>
          <w:bCs/>
          <w:lang w:val="fr-FR"/>
        </w:rPr>
        <w:t>“</w:t>
      </w:r>
      <w:r w:rsidRPr="000353C8">
        <w:rPr>
          <w:b/>
          <w:bCs/>
        </w:rPr>
        <w:t>Transelectrica</w:t>
      </w:r>
      <w:r w:rsidRPr="000353C8">
        <w:rPr>
          <w:b/>
          <w:bCs/>
          <w:lang w:val="fr-FR"/>
        </w:rPr>
        <w:t xml:space="preserve">” - </w:t>
      </w:r>
      <w:r w:rsidRPr="000353C8">
        <w:rPr>
          <w:b/>
          <w:bCs/>
        </w:rPr>
        <w:t xml:space="preserve">S.A., </w:t>
      </w:r>
      <w:r w:rsidRPr="000353C8">
        <w:rPr>
          <w:b/>
        </w:rPr>
        <w:t>aplicabilă de la 1 ianuarie 2024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2268"/>
        <w:gridCol w:w="1844"/>
        <w:gridCol w:w="1701"/>
        <w:gridCol w:w="1836"/>
      </w:tblGrid>
      <w:tr w:rsidR="000353C8" w:rsidRPr="000353C8" w14:paraId="435514BD" w14:textId="77777777" w:rsidTr="008809B6">
        <w:trPr>
          <w:trHeight w:val="330"/>
          <w:jc w:val="center"/>
        </w:trPr>
        <w:tc>
          <w:tcPr>
            <w:tcW w:w="1196" w:type="pct"/>
          </w:tcPr>
          <w:p w14:paraId="597FF0B1" w14:textId="7E1237FB" w:rsidR="00AE50EC" w:rsidRPr="000353C8" w:rsidRDefault="00AE50EC" w:rsidP="00AE50EC">
            <w:pPr>
              <w:spacing w:line="360" w:lineRule="auto"/>
              <w:jc w:val="center"/>
            </w:pPr>
            <w:r w:rsidRPr="000353C8">
              <w:t>Operator economic</w:t>
            </w:r>
          </w:p>
        </w:tc>
        <w:tc>
          <w:tcPr>
            <w:tcW w:w="1128" w:type="pct"/>
          </w:tcPr>
          <w:p w14:paraId="6DC5DBCB" w14:textId="31064B35" w:rsidR="00AE50EC" w:rsidRPr="000353C8" w:rsidRDefault="00AE50EC" w:rsidP="00AE50EC">
            <w:pPr>
              <w:spacing w:line="360" w:lineRule="auto"/>
              <w:jc w:val="center"/>
            </w:pPr>
            <w:r w:rsidRPr="000353C8">
              <w:t>Descriere</w:t>
            </w:r>
          </w:p>
        </w:tc>
        <w:tc>
          <w:tcPr>
            <w:tcW w:w="917" w:type="pct"/>
          </w:tcPr>
          <w:p w14:paraId="5A8DFDB8" w14:textId="77777777" w:rsidR="00AE50EC" w:rsidRPr="000353C8" w:rsidRDefault="00AE50EC" w:rsidP="00AE50EC">
            <w:pPr>
              <w:spacing w:line="360" w:lineRule="auto"/>
            </w:pPr>
            <w:r w:rsidRPr="000353C8">
              <w:t>Tariful aplicabil de la 1 ianuarie 2024 (lei/MWh), din care:</w:t>
            </w:r>
          </w:p>
        </w:tc>
        <w:tc>
          <w:tcPr>
            <w:tcW w:w="846" w:type="pct"/>
          </w:tcPr>
          <w:p w14:paraId="144B692B" w14:textId="77777777" w:rsidR="00AE50EC" w:rsidRPr="000353C8" w:rsidRDefault="00AE50EC" w:rsidP="00AE50EC">
            <w:pPr>
              <w:spacing w:line="360" w:lineRule="auto"/>
            </w:pPr>
            <w:r w:rsidRPr="000353C8">
              <w:t>Componenta principală</w:t>
            </w:r>
          </w:p>
          <w:p w14:paraId="2C0E4A9F" w14:textId="77777777" w:rsidR="00AE50EC" w:rsidRPr="000353C8" w:rsidRDefault="00AE50EC" w:rsidP="00AE50EC">
            <w:pPr>
              <w:spacing w:line="360" w:lineRule="auto"/>
            </w:pPr>
            <w:r w:rsidRPr="000353C8">
              <w:t>(lei/MWh)</w:t>
            </w:r>
          </w:p>
        </w:tc>
        <w:tc>
          <w:tcPr>
            <w:tcW w:w="913" w:type="pct"/>
          </w:tcPr>
          <w:p w14:paraId="3B5191D9" w14:textId="77777777" w:rsidR="00AE50EC" w:rsidRPr="000353C8" w:rsidRDefault="00AE50EC" w:rsidP="00AE50EC">
            <w:pPr>
              <w:spacing w:line="360" w:lineRule="auto"/>
            </w:pPr>
            <w:r w:rsidRPr="000353C8">
              <w:t>Componenta aferentă costurilor suplimentare cu CPT (lei/MWh)</w:t>
            </w:r>
          </w:p>
        </w:tc>
      </w:tr>
      <w:tr w:rsidR="000353C8" w:rsidRPr="000353C8" w14:paraId="7CFDF8E8" w14:textId="77777777" w:rsidTr="008809B6">
        <w:trPr>
          <w:trHeight w:val="1404"/>
          <w:jc w:val="center"/>
        </w:trPr>
        <w:tc>
          <w:tcPr>
            <w:tcW w:w="1196" w:type="pct"/>
          </w:tcPr>
          <w:p w14:paraId="1B79F8C9" w14:textId="1BFA8CED" w:rsidR="00AE50EC" w:rsidRPr="000353C8" w:rsidRDefault="00AE50EC" w:rsidP="00AE50EC">
            <w:pPr>
              <w:spacing w:line="360" w:lineRule="auto"/>
            </w:pPr>
            <w:r w:rsidRPr="000353C8">
              <w:t>Compania Națională de Transport al Energiei Electrice “Transelectrica” – S.A.</w:t>
            </w:r>
          </w:p>
        </w:tc>
        <w:tc>
          <w:tcPr>
            <w:tcW w:w="1128" w:type="pct"/>
            <w:vAlign w:val="center"/>
          </w:tcPr>
          <w:p w14:paraId="5DFAD5C4" w14:textId="1C41983C" w:rsidR="00AE50EC" w:rsidRPr="000353C8" w:rsidRDefault="00AE50EC" w:rsidP="00AE50EC">
            <w:pPr>
              <w:spacing w:line="360" w:lineRule="auto"/>
            </w:pPr>
            <w:r w:rsidRPr="000353C8">
              <w:t xml:space="preserve">Componenta tarifului de transport de extragere a energiei electrice în rețele (T_L) </w:t>
            </w:r>
          </w:p>
        </w:tc>
        <w:tc>
          <w:tcPr>
            <w:tcW w:w="917" w:type="pct"/>
          </w:tcPr>
          <w:p w14:paraId="461E40E6" w14:textId="77777777" w:rsidR="008C2052" w:rsidRPr="000353C8" w:rsidRDefault="008C2052" w:rsidP="00AE50EC">
            <w:pPr>
              <w:spacing w:line="360" w:lineRule="auto"/>
              <w:jc w:val="center"/>
            </w:pPr>
          </w:p>
          <w:p w14:paraId="23C8A793" w14:textId="77777777" w:rsidR="008C2052" w:rsidRPr="000353C8" w:rsidRDefault="008C2052" w:rsidP="00AE50EC">
            <w:pPr>
              <w:spacing w:line="360" w:lineRule="auto"/>
              <w:jc w:val="center"/>
            </w:pPr>
          </w:p>
          <w:p w14:paraId="7AECF25B" w14:textId="63D16B6C" w:rsidR="00AE50EC" w:rsidRPr="000353C8" w:rsidRDefault="008C2052" w:rsidP="00AE50EC">
            <w:pPr>
              <w:spacing w:line="360" w:lineRule="auto"/>
              <w:jc w:val="center"/>
            </w:pPr>
            <w:r w:rsidRPr="000353C8">
              <w:t>27,72</w:t>
            </w:r>
          </w:p>
        </w:tc>
        <w:tc>
          <w:tcPr>
            <w:tcW w:w="846" w:type="pct"/>
          </w:tcPr>
          <w:p w14:paraId="595E3013" w14:textId="77777777" w:rsidR="008C2052" w:rsidRPr="000353C8" w:rsidRDefault="008C2052" w:rsidP="00AE50EC">
            <w:pPr>
              <w:spacing w:line="360" w:lineRule="auto"/>
              <w:jc w:val="center"/>
            </w:pPr>
          </w:p>
          <w:p w14:paraId="48CC4346" w14:textId="77777777" w:rsidR="008C2052" w:rsidRPr="000353C8" w:rsidRDefault="008C2052" w:rsidP="00AE50EC">
            <w:pPr>
              <w:spacing w:line="360" w:lineRule="auto"/>
              <w:jc w:val="center"/>
            </w:pPr>
          </w:p>
          <w:p w14:paraId="249CCA5A" w14:textId="0D672392" w:rsidR="00AE50EC" w:rsidRPr="000353C8" w:rsidRDefault="008C2052" w:rsidP="00AE50EC">
            <w:pPr>
              <w:spacing w:line="360" w:lineRule="auto"/>
              <w:jc w:val="center"/>
            </w:pPr>
            <w:r w:rsidRPr="000353C8">
              <w:t>0,78</w:t>
            </w:r>
          </w:p>
        </w:tc>
        <w:tc>
          <w:tcPr>
            <w:tcW w:w="913" w:type="pct"/>
          </w:tcPr>
          <w:p w14:paraId="5B36CB8A" w14:textId="77777777" w:rsidR="008C2052" w:rsidRPr="000353C8" w:rsidRDefault="008C2052" w:rsidP="00AE50EC">
            <w:pPr>
              <w:spacing w:line="360" w:lineRule="auto"/>
              <w:jc w:val="center"/>
            </w:pPr>
          </w:p>
          <w:p w14:paraId="7AE386DF" w14:textId="77777777" w:rsidR="008C2052" w:rsidRPr="000353C8" w:rsidRDefault="008C2052" w:rsidP="00AE50EC">
            <w:pPr>
              <w:spacing w:line="360" w:lineRule="auto"/>
              <w:jc w:val="center"/>
            </w:pPr>
          </w:p>
          <w:p w14:paraId="25B07179" w14:textId="602B5EDF" w:rsidR="00AE50EC" w:rsidRPr="000353C8" w:rsidRDefault="008C2052" w:rsidP="00AE50EC">
            <w:pPr>
              <w:spacing w:line="360" w:lineRule="auto"/>
              <w:jc w:val="center"/>
            </w:pPr>
            <w:r w:rsidRPr="000353C8">
              <w:t>26,94</w:t>
            </w:r>
          </w:p>
        </w:tc>
      </w:tr>
    </w:tbl>
    <w:p w14:paraId="0934634D" w14:textId="75FCDBCB" w:rsidR="00E107F9" w:rsidRPr="000353C8" w:rsidRDefault="005A17F8" w:rsidP="00DC59CC">
      <w:pPr>
        <w:spacing w:line="360" w:lineRule="auto"/>
        <w:rPr>
          <w:lang w:val="en-US"/>
        </w:rPr>
      </w:pPr>
      <w:r w:rsidRPr="000353C8">
        <w:rPr>
          <w:lang w:val="en-US"/>
        </w:rPr>
        <w:t>NOTĂ: Tarifele nu conțin taxa pe valoarea adăugată (TVA).</w:t>
      </w:r>
    </w:p>
    <w:p w14:paraId="52C253F6" w14:textId="041BF13E" w:rsidR="00E107F9" w:rsidRPr="000353C8" w:rsidRDefault="00E107F9" w:rsidP="00DC59CC">
      <w:pPr>
        <w:spacing w:line="360" w:lineRule="auto"/>
        <w:rPr>
          <w:b/>
          <w:bCs/>
          <w:lang w:val="en-US"/>
        </w:rPr>
      </w:pPr>
    </w:p>
    <w:p w14:paraId="3F028814" w14:textId="5F2B35B7" w:rsidR="00E107F9" w:rsidRPr="000353C8" w:rsidRDefault="00E107F9" w:rsidP="00DC59CC">
      <w:pPr>
        <w:spacing w:line="360" w:lineRule="auto"/>
        <w:rPr>
          <w:b/>
          <w:bCs/>
          <w:lang w:val="en-US"/>
        </w:rPr>
      </w:pPr>
    </w:p>
    <w:p w14:paraId="1B69CAE9" w14:textId="77777777" w:rsidR="00672FC3" w:rsidRPr="000353C8" w:rsidRDefault="00672FC3" w:rsidP="00DC59CC">
      <w:pPr>
        <w:spacing w:line="360" w:lineRule="auto"/>
        <w:rPr>
          <w:b/>
          <w:bCs/>
          <w:lang w:val="en-US"/>
        </w:rPr>
      </w:pPr>
    </w:p>
    <w:p w14:paraId="644E080F" w14:textId="77777777" w:rsidR="00672FC3" w:rsidRPr="000353C8" w:rsidRDefault="00672FC3" w:rsidP="00DC59CC">
      <w:pPr>
        <w:spacing w:line="360" w:lineRule="auto"/>
        <w:rPr>
          <w:b/>
          <w:bCs/>
          <w:lang w:val="en-US"/>
        </w:rPr>
      </w:pPr>
    </w:p>
    <w:p w14:paraId="061C7B87" w14:textId="77777777" w:rsidR="00672FC3" w:rsidRPr="000353C8" w:rsidRDefault="00672FC3" w:rsidP="00DC59CC">
      <w:pPr>
        <w:spacing w:line="360" w:lineRule="auto"/>
        <w:rPr>
          <w:b/>
          <w:bCs/>
          <w:lang w:val="en-US"/>
        </w:rPr>
      </w:pPr>
    </w:p>
    <w:p w14:paraId="7206E3F1" w14:textId="77777777" w:rsidR="00672FC3" w:rsidRPr="000353C8" w:rsidRDefault="00672FC3" w:rsidP="00DC59CC">
      <w:pPr>
        <w:spacing w:line="360" w:lineRule="auto"/>
        <w:rPr>
          <w:b/>
          <w:bCs/>
          <w:lang w:val="en-US"/>
        </w:rPr>
      </w:pPr>
    </w:p>
    <w:p w14:paraId="3F266F1B" w14:textId="77777777" w:rsidR="00672FC3" w:rsidRPr="000353C8" w:rsidRDefault="00672FC3" w:rsidP="00DC59CC">
      <w:pPr>
        <w:spacing w:line="360" w:lineRule="auto"/>
        <w:rPr>
          <w:b/>
          <w:bCs/>
          <w:lang w:val="en-US"/>
        </w:rPr>
      </w:pPr>
    </w:p>
    <w:p w14:paraId="38B4A67C" w14:textId="77777777" w:rsidR="00672FC3" w:rsidRPr="000353C8" w:rsidRDefault="00672FC3" w:rsidP="00DC59CC">
      <w:pPr>
        <w:spacing w:line="360" w:lineRule="auto"/>
        <w:rPr>
          <w:b/>
          <w:bCs/>
          <w:lang w:val="en-US"/>
        </w:rPr>
      </w:pPr>
    </w:p>
    <w:p w14:paraId="5ED37C51" w14:textId="77777777" w:rsidR="00672FC3" w:rsidRPr="000353C8" w:rsidRDefault="00672FC3" w:rsidP="00DC59CC">
      <w:pPr>
        <w:spacing w:line="360" w:lineRule="auto"/>
        <w:rPr>
          <w:b/>
          <w:bCs/>
          <w:lang w:val="en-US"/>
        </w:rPr>
      </w:pPr>
    </w:p>
    <w:p w14:paraId="44345D29" w14:textId="77777777" w:rsidR="00672FC3" w:rsidRPr="000353C8" w:rsidRDefault="00672FC3" w:rsidP="00DC59CC">
      <w:pPr>
        <w:spacing w:line="360" w:lineRule="auto"/>
        <w:rPr>
          <w:b/>
          <w:bCs/>
          <w:lang w:val="en-US"/>
        </w:rPr>
      </w:pPr>
    </w:p>
    <w:p w14:paraId="58AF29D1" w14:textId="77777777" w:rsidR="00672FC3" w:rsidRPr="000353C8" w:rsidRDefault="00672FC3" w:rsidP="00DC59CC">
      <w:pPr>
        <w:spacing w:line="360" w:lineRule="auto"/>
        <w:rPr>
          <w:b/>
          <w:bCs/>
          <w:lang w:val="en-US"/>
        </w:rPr>
      </w:pPr>
    </w:p>
    <w:p w14:paraId="13F66EC6" w14:textId="77777777" w:rsidR="00672FC3" w:rsidRPr="000353C8" w:rsidRDefault="00672FC3" w:rsidP="00DC59CC">
      <w:pPr>
        <w:spacing w:line="360" w:lineRule="auto"/>
        <w:rPr>
          <w:b/>
          <w:bCs/>
          <w:lang w:val="en-US"/>
        </w:rPr>
      </w:pPr>
    </w:p>
    <w:p w14:paraId="71028BD0" w14:textId="77777777" w:rsidR="00672FC3" w:rsidRPr="000353C8" w:rsidRDefault="00672FC3" w:rsidP="00DC59CC">
      <w:pPr>
        <w:spacing w:line="360" w:lineRule="auto"/>
        <w:rPr>
          <w:b/>
          <w:bCs/>
          <w:lang w:val="en-US"/>
        </w:rPr>
      </w:pPr>
    </w:p>
    <w:p w14:paraId="57F4016F" w14:textId="77777777" w:rsidR="00672FC3" w:rsidRPr="000353C8" w:rsidRDefault="00672FC3" w:rsidP="00DC59CC">
      <w:pPr>
        <w:spacing w:line="360" w:lineRule="auto"/>
        <w:rPr>
          <w:b/>
          <w:bCs/>
          <w:lang w:val="en-US"/>
        </w:rPr>
      </w:pPr>
    </w:p>
    <w:p w14:paraId="48AB049C" w14:textId="77777777" w:rsidR="00672FC3" w:rsidRPr="000353C8" w:rsidRDefault="00672FC3" w:rsidP="00DC59CC">
      <w:pPr>
        <w:spacing w:line="360" w:lineRule="auto"/>
        <w:rPr>
          <w:b/>
          <w:bCs/>
          <w:lang w:val="en-US"/>
        </w:rPr>
      </w:pPr>
    </w:p>
    <w:p w14:paraId="23AF8E4F" w14:textId="77777777" w:rsidR="00672FC3" w:rsidRPr="000353C8" w:rsidRDefault="00672FC3" w:rsidP="00DC59CC">
      <w:pPr>
        <w:spacing w:line="360" w:lineRule="auto"/>
        <w:rPr>
          <w:b/>
          <w:bCs/>
          <w:lang w:val="en-US"/>
        </w:rPr>
      </w:pPr>
    </w:p>
    <w:p w14:paraId="2B2BC441" w14:textId="77777777" w:rsidR="00672FC3" w:rsidRPr="000353C8" w:rsidRDefault="00672FC3" w:rsidP="00DC59CC">
      <w:pPr>
        <w:spacing w:line="360" w:lineRule="auto"/>
        <w:rPr>
          <w:b/>
          <w:bCs/>
          <w:lang w:val="en-US"/>
        </w:rPr>
      </w:pPr>
    </w:p>
    <w:p w14:paraId="394786EE" w14:textId="77777777" w:rsidR="00672FC3" w:rsidRPr="000353C8" w:rsidRDefault="00672FC3" w:rsidP="00DC59CC">
      <w:pPr>
        <w:spacing w:line="360" w:lineRule="auto"/>
        <w:rPr>
          <w:b/>
          <w:bCs/>
          <w:lang w:val="en-US"/>
        </w:rPr>
      </w:pPr>
    </w:p>
    <w:p w14:paraId="72019326" w14:textId="77777777" w:rsidR="00672FC3" w:rsidRPr="000353C8" w:rsidRDefault="00672FC3" w:rsidP="00DC59CC">
      <w:pPr>
        <w:spacing w:line="360" w:lineRule="auto"/>
        <w:rPr>
          <w:b/>
          <w:bCs/>
          <w:lang w:val="en-US"/>
        </w:rPr>
      </w:pPr>
    </w:p>
    <w:p w14:paraId="0EE22C1A" w14:textId="77777777" w:rsidR="00672FC3" w:rsidRPr="000353C8" w:rsidRDefault="00672FC3" w:rsidP="00DC59CC">
      <w:pPr>
        <w:spacing w:line="360" w:lineRule="auto"/>
        <w:rPr>
          <w:b/>
          <w:bCs/>
          <w:lang w:val="en-US"/>
        </w:rPr>
      </w:pPr>
    </w:p>
    <w:p w14:paraId="67C071E9" w14:textId="77777777" w:rsidR="00672FC3" w:rsidRPr="000353C8" w:rsidRDefault="00672FC3" w:rsidP="00DC59CC">
      <w:pPr>
        <w:spacing w:line="360" w:lineRule="auto"/>
        <w:rPr>
          <w:b/>
          <w:bCs/>
          <w:lang w:val="en-US"/>
        </w:rPr>
      </w:pPr>
    </w:p>
    <w:p w14:paraId="4BBAD468" w14:textId="77777777" w:rsidR="00672FC3" w:rsidRPr="000353C8" w:rsidRDefault="00672FC3" w:rsidP="00DC59CC">
      <w:pPr>
        <w:spacing w:line="360" w:lineRule="auto"/>
        <w:rPr>
          <w:b/>
          <w:bCs/>
          <w:lang w:val="en-US"/>
        </w:rPr>
      </w:pPr>
    </w:p>
    <w:p w14:paraId="3E43FFA1" w14:textId="77777777" w:rsidR="00672FC3" w:rsidRPr="000353C8" w:rsidRDefault="00672FC3" w:rsidP="00DC59CC">
      <w:pPr>
        <w:spacing w:line="360" w:lineRule="auto"/>
        <w:rPr>
          <w:b/>
          <w:bCs/>
          <w:lang w:val="en-US"/>
        </w:rPr>
      </w:pPr>
    </w:p>
    <w:sectPr w:rsidR="00672FC3" w:rsidRPr="000353C8" w:rsidSect="00982969">
      <w:footerReference w:type="even" r:id="rId11"/>
      <w:footerReference w:type="default" r:id="rId12"/>
      <w:headerReference w:type="first" r:id="rId13"/>
      <w:pgSz w:w="11907" w:h="16840" w:code="9"/>
      <w:pgMar w:top="674" w:right="709"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236F6" w14:textId="77777777" w:rsidR="00CA2561" w:rsidRDefault="00CA2561">
      <w:r>
        <w:separator/>
      </w:r>
    </w:p>
  </w:endnote>
  <w:endnote w:type="continuationSeparator" w:id="0">
    <w:p w14:paraId="55E6A802" w14:textId="77777777" w:rsidR="00CA2561" w:rsidRDefault="00CA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R">
    <w:altName w:val="Times New Roman"/>
    <w:panose1 w:val="00000000000000000000"/>
    <w:charset w:val="00"/>
    <w:family w:val="auto"/>
    <w:notTrueType/>
    <w:pitch w:val="variable"/>
    <w:sig w:usb0="00000003" w:usb1="00000000" w:usb2="00000000" w:usb3="00000000" w:csb0="00000001" w:csb1="00000000"/>
  </w:font>
  <w:font w:name="ArialUpR">
    <w:altName w:val="Times New Roman"/>
    <w:charset w:val="00"/>
    <w:family w:val="auto"/>
    <w:pitch w:val="variable"/>
    <w:sig w:usb0="00000003" w:usb1="00000000" w:usb2="00000000" w:usb3="00000000" w:csb0="00000001" w:csb1="00000000"/>
  </w:font>
  <w:font w:name="EUAlbertina">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66BB" w14:textId="6C957AC9" w:rsidR="00487065" w:rsidRDefault="00487065" w:rsidP="00487065">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5D6EBF">
      <w:rPr>
        <w:rStyle w:val="Numrdepagin"/>
        <w:noProof/>
      </w:rPr>
      <w:t>3</w:t>
    </w:r>
    <w:r>
      <w:rPr>
        <w:rStyle w:val="Numrdepagin"/>
      </w:rPr>
      <w:fldChar w:fldCharType="end"/>
    </w:r>
  </w:p>
  <w:p w14:paraId="18C3F81E" w14:textId="77777777" w:rsidR="00487065" w:rsidRDefault="0048706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996821"/>
      <w:docPartObj>
        <w:docPartGallery w:val="Page Numbers (Bottom of Page)"/>
        <w:docPartUnique/>
      </w:docPartObj>
    </w:sdtPr>
    <w:sdtEndPr>
      <w:rPr>
        <w:noProof/>
      </w:rPr>
    </w:sdtEndPr>
    <w:sdtContent>
      <w:p w14:paraId="0DC9901E" w14:textId="091B30BB" w:rsidR="005D6EBF" w:rsidRDefault="005D6EBF">
        <w:pPr>
          <w:pStyle w:val="Subsol"/>
          <w:jc w:val="right"/>
        </w:pPr>
        <w:r w:rsidRPr="00E4027C">
          <w:fldChar w:fldCharType="begin"/>
        </w:r>
        <w:r w:rsidRPr="00E4027C">
          <w:instrText xml:space="preserve"> PAGE   \* MERGEFORMAT </w:instrText>
        </w:r>
        <w:r w:rsidRPr="00E4027C">
          <w:fldChar w:fldCharType="separate"/>
        </w:r>
        <w:r w:rsidRPr="00E4027C">
          <w:rPr>
            <w:noProof/>
          </w:rPr>
          <w:t>2</w:t>
        </w:r>
        <w:r w:rsidRPr="00E4027C">
          <w:rPr>
            <w:noProof/>
          </w:rPr>
          <w:fldChar w:fldCharType="end"/>
        </w:r>
      </w:p>
    </w:sdtContent>
  </w:sdt>
  <w:p w14:paraId="24E48040" w14:textId="77777777" w:rsidR="00487065" w:rsidRDefault="00487065">
    <w:pPr>
      <w:pStyle w:val="Subsol"/>
      <w:tabs>
        <w:tab w:val="right" w:pos="9972"/>
      </w:tabs>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00BEB" w14:textId="77777777" w:rsidR="00CA2561" w:rsidRDefault="00CA2561">
      <w:r>
        <w:separator/>
      </w:r>
    </w:p>
  </w:footnote>
  <w:footnote w:type="continuationSeparator" w:id="0">
    <w:p w14:paraId="6C852720" w14:textId="77777777" w:rsidR="00CA2561" w:rsidRDefault="00CA2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83044" w14:textId="77777777" w:rsidR="00487065" w:rsidRDefault="00705034" w:rsidP="00487065">
    <w:pPr>
      <w:rPr>
        <w:noProof/>
      </w:rPr>
    </w:pPr>
    <w:r>
      <w:rPr>
        <w:noProof/>
        <w:lang w:eastAsia="ro-RO"/>
      </w:rPr>
      <mc:AlternateContent>
        <mc:Choice Requires="wps">
          <w:drawing>
            <wp:anchor distT="0" distB="0" distL="114300" distR="114300" simplePos="0" relativeHeight="251658240" behindDoc="0" locked="0" layoutInCell="1" allowOverlap="1" wp14:anchorId="55F98D82" wp14:editId="61B690FC">
              <wp:simplePos x="0" y="0"/>
              <wp:positionH relativeFrom="column">
                <wp:posOffset>979805</wp:posOffset>
              </wp:positionH>
              <wp:positionV relativeFrom="paragraph">
                <wp:posOffset>46990</wp:posOffset>
              </wp:positionV>
              <wp:extent cx="5084445" cy="901700"/>
              <wp:effectExtent l="0" t="0" r="317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4445" cy="90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5E81D7" w14:textId="77777777" w:rsidR="00487065" w:rsidRDefault="00487065" w:rsidP="00487065">
                          <w:pPr>
                            <w:pStyle w:val="Titlu6"/>
                            <w:numPr>
                              <w:ilvl w:val="0"/>
                              <w:numId w:val="0"/>
                            </w:numPr>
                            <w:spacing w:after="20"/>
                            <w:rPr>
                              <w:rFonts w:ascii="Arial" w:hAnsi="Arial"/>
                              <w:b/>
                              <w:spacing w:val="60"/>
                              <w:sz w:val="28"/>
                              <w:lang w:val="fr-FR"/>
                            </w:rPr>
                          </w:pPr>
                          <w:r>
                            <w:rPr>
                              <w:rFonts w:ascii="Arial" w:hAnsi="Arial"/>
                              <w:b/>
                              <w:spacing w:val="60"/>
                              <w:sz w:val="28"/>
                              <w:lang w:val="fr-FR"/>
                            </w:rPr>
                            <w:t>ANRE</w:t>
                          </w:r>
                        </w:p>
                        <w:p w14:paraId="3EA7F10B" w14:textId="77777777" w:rsidR="00487065" w:rsidRDefault="00487065" w:rsidP="00487065">
                          <w:pPr>
                            <w:rPr>
                              <w:b/>
                              <w:bCs/>
                              <w:spacing w:val="20"/>
                              <w:sz w:val="20"/>
                              <w:lang w:val="fr-FR"/>
                            </w:rPr>
                          </w:pPr>
                          <w:r>
                            <w:rPr>
                              <w:b/>
                              <w:bCs/>
                              <w:spacing w:val="20"/>
                              <w:sz w:val="20"/>
                              <w:lang w:val="fr-FR"/>
                            </w:rPr>
                            <w:t>Autoritatea Na</w:t>
                          </w:r>
                          <w:r>
                            <w:rPr>
                              <w:b/>
                              <w:bCs/>
                              <w:spacing w:val="20"/>
                              <w:sz w:val="20"/>
                            </w:rPr>
                            <w:t>ţională de Reglementare în domeniul Energiei</w:t>
                          </w:r>
                        </w:p>
                        <w:p w14:paraId="4BD707F7" w14:textId="77777777" w:rsidR="00487065" w:rsidRDefault="00487065" w:rsidP="00487065">
                          <w:pPr>
                            <w:rPr>
                              <w:spacing w:val="56"/>
                              <w:sz w:val="18"/>
                              <w:lang w:val="fr-FR"/>
                            </w:rPr>
                          </w:pPr>
                          <w:r>
                            <w:rPr>
                              <w:spacing w:val="56"/>
                              <w:sz w:val="18"/>
                              <w:lang w:val="fr-FR"/>
                            </w:rPr>
                            <w:t xml:space="preserve">str. </w:t>
                          </w:r>
                          <w:r>
                            <w:rPr>
                              <w:spacing w:val="40"/>
                              <w:sz w:val="18"/>
                              <w:lang w:val="fr-FR"/>
                            </w:rPr>
                            <w:t>Constantin Nacu</w:t>
                          </w:r>
                          <w:r>
                            <w:rPr>
                              <w:spacing w:val="56"/>
                              <w:sz w:val="18"/>
                              <w:lang w:val="fr-FR"/>
                            </w:rPr>
                            <w:t xml:space="preserve"> nr.3, </w:t>
                          </w:r>
                          <w:r>
                            <w:rPr>
                              <w:spacing w:val="40"/>
                              <w:sz w:val="18"/>
                              <w:lang w:val="fr-FR"/>
                            </w:rPr>
                            <w:t>RO</w:t>
                          </w:r>
                          <w:r>
                            <w:rPr>
                              <w:rFonts w:cs="Arial"/>
                              <w:b/>
                              <w:spacing w:val="40"/>
                            </w:rPr>
                            <w:sym w:font="Symbol" w:char="F02D"/>
                          </w:r>
                          <w:r>
                            <w:rPr>
                              <w:spacing w:val="40"/>
                              <w:sz w:val="18"/>
                              <w:lang w:val="fr-FR"/>
                            </w:rPr>
                            <w:t>020995</w:t>
                          </w:r>
                          <w:r>
                            <w:rPr>
                              <w:spacing w:val="56"/>
                              <w:sz w:val="18"/>
                              <w:lang w:val="fr-FR"/>
                            </w:rPr>
                            <w:t xml:space="preserve"> </w:t>
                          </w:r>
                          <w:r>
                            <w:rPr>
                              <w:spacing w:val="40"/>
                              <w:sz w:val="18"/>
                              <w:lang w:val="fr-FR"/>
                            </w:rPr>
                            <w:t>Bucureşti</w:t>
                          </w:r>
                          <w:r>
                            <w:rPr>
                              <w:spacing w:val="56"/>
                              <w:sz w:val="18"/>
                              <w:lang w:val="fr-FR"/>
                            </w:rPr>
                            <w:t xml:space="preserve"> </w:t>
                          </w:r>
                          <w:r>
                            <w:rPr>
                              <w:spacing w:val="40"/>
                              <w:sz w:val="18"/>
                              <w:lang w:val="fr-FR"/>
                            </w:rPr>
                            <w:t>37,</w:t>
                          </w:r>
                          <w:r>
                            <w:rPr>
                              <w:spacing w:val="56"/>
                              <w:sz w:val="18"/>
                              <w:lang w:val="fr-FR"/>
                            </w:rPr>
                            <w:t xml:space="preserve"> </w:t>
                          </w:r>
                          <w:r>
                            <w:rPr>
                              <w:spacing w:val="40"/>
                              <w:sz w:val="18"/>
                              <w:lang w:val="fr-FR"/>
                            </w:rPr>
                            <w:t>România</w:t>
                          </w:r>
                        </w:p>
                        <w:p w14:paraId="135967D3" w14:textId="77777777" w:rsidR="00487065" w:rsidRDefault="00487065" w:rsidP="00487065">
                          <w:pPr>
                            <w:rPr>
                              <w:sz w:val="18"/>
                            </w:rPr>
                          </w:pPr>
                          <w:r>
                            <w:rPr>
                              <w:sz w:val="18"/>
                            </w:rPr>
                            <w:t>Tel: +(4021) 311 22 44, Fax: +(4021) 312 43 65, http:// www.anre.ro,  e-mail: anre@anre.ro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98D82" id="_x0000_t202" coordsize="21600,21600" o:spt="202" path="m,l,21600r21600,l21600,xe">
              <v:stroke joinstyle="miter"/>
              <v:path gradientshapeok="t" o:connecttype="rect"/>
            </v:shapetype>
            <v:shape id="Text Box 2" o:spid="_x0000_s1026" type="#_x0000_t202" style="position:absolute;margin-left:77.15pt;margin-top:3.7pt;width:400.35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" stroked="f">
              <v:textbox>
                <w:txbxContent>
                  <w:p w14:paraId="425E81D7" w14:textId="77777777" w:rsidR="00487065" w:rsidRDefault="00487065" w:rsidP="00487065">
                    <w:pPr>
                      <w:pStyle w:val="Heading6"/>
                      <w:numPr>
                        <w:ilvl w:val="0"/>
                        <w:numId w:val="0"/>
                      </w:numPr>
                      <w:spacing w:after="20"/>
                      <w:rPr>
                        <w:rFonts w:ascii="Arial" w:hAnsi="Arial"/>
                        <w:b/>
                        <w:spacing w:val="60"/>
                        <w:sz w:val="28"/>
                        <w:lang w:val="fr-FR"/>
                      </w:rPr>
                    </w:pPr>
                    <w:r>
                      <w:rPr>
                        <w:rFonts w:ascii="Arial" w:hAnsi="Arial"/>
                        <w:b/>
                        <w:spacing w:val="60"/>
                        <w:sz w:val="28"/>
                        <w:lang w:val="fr-FR"/>
                      </w:rPr>
                      <w:t>ANRE</w:t>
                    </w:r>
                  </w:p>
                  <w:p w14:paraId="3EA7F10B" w14:textId="77777777" w:rsidR="00487065" w:rsidRDefault="00487065" w:rsidP="00487065">
                    <w:pPr>
                      <w:rPr>
                        <w:b/>
                        <w:bCs/>
                        <w:spacing w:val="20"/>
                        <w:sz w:val="20"/>
                        <w:lang w:val="fr-FR"/>
                      </w:rPr>
                    </w:pPr>
                    <w:r>
                      <w:rPr>
                        <w:b/>
                        <w:bCs/>
                        <w:spacing w:val="20"/>
                        <w:sz w:val="20"/>
                        <w:lang w:val="fr-FR"/>
                      </w:rPr>
                      <w:t>Autoritatea Na</w:t>
                    </w:r>
                    <w:r>
                      <w:rPr>
                        <w:b/>
                        <w:bCs/>
                        <w:spacing w:val="20"/>
                        <w:sz w:val="20"/>
                      </w:rPr>
                      <w:t>ţională de Reglementare în domeniul Energiei</w:t>
                    </w:r>
                  </w:p>
                  <w:p w14:paraId="4BD707F7" w14:textId="77777777" w:rsidR="00487065" w:rsidRDefault="00487065" w:rsidP="00487065">
                    <w:pPr>
                      <w:rPr>
                        <w:spacing w:val="56"/>
                        <w:sz w:val="18"/>
                        <w:lang w:val="fr-FR"/>
                      </w:rPr>
                    </w:pPr>
                    <w:r>
                      <w:rPr>
                        <w:spacing w:val="56"/>
                        <w:sz w:val="18"/>
                        <w:lang w:val="fr-FR"/>
                      </w:rPr>
                      <w:t xml:space="preserve">str. </w:t>
                    </w:r>
                    <w:r>
                      <w:rPr>
                        <w:spacing w:val="40"/>
                        <w:sz w:val="18"/>
                        <w:lang w:val="fr-FR"/>
                      </w:rPr>
                      <w:t>Constantin Nacu</w:t>
                    </w:r>
                    <w:r>
                      <w:rPr>
                        <w:spacing w:val="56"/>
                        <w:sz w:val="18"/>
                        <w:lang w:val="fr-FR"/>
                      </w:rPr>
                      <w:t xml:space="preserve"> nr.3, </w:t>
                    </w:r>
                    <w:r>
                      <w:rPr>
                        <w:spacing w:val="40"/>
                        <w:sz w:val="18"/>
                        <w:lang w:val="fr-FR"/>
                      </w:rPr>
                      <w:t>RO</w:t>
                    </w:r>
                    <w:r>
                      <w:rPr>
                        <w:rFonts w:cs="Arial"/>
                        <w:b/>
                        <w:spacing w:val="40"/>
                      </w:rPr>
                      <w:sym w:font="Symbol" w:char="F02D"/>
                    </w:r>
                    <w:r>
                      <w:rPr>
                        <w:spacing w:val="40"/>
                        <w:sz w:val="18"/>
                        <w:lang w:val="fr-FR"/>
                      </w:rPr>
                      <w:t>020995</w:t>
                    </w:r>
                    <w:r>
                      <w:rPr>
                        <w:spacing w:val="56"/>
                        <w:sz w:val="18"/>
                        <w:lang w:val="fr-FR"/>
                      </w:rPr>
                      <w:t xml:space="preserve"> </w:t>
                    </w:r>
                    <w:r>
                      <w:rPr>
                        <w:spacing w:val="40"/>
                        <w:sz w:val="18"/>
                        <w:lang w:val="fr-FR"/>
                      </w:rPr>
                      <w:t>Bucureşti</w:t>
                    </w:r>
                    <w:r>
                      <w:rPr>
                        <w:spacing w:val="56"/>
                        <w:sz w:val="18"/>
                        <w:lang w:val="fr-FR"/>
                      </w:rPr>
                      <w:t xml:space="preserve"> </w:t>
                    </w:r>
                    <w:r>
                      <w:rPr>
                        <w:spacing w:val="40"/>
                        <w:sz w:val="18"/>
                        <w:lang w:val="fr-FR"/>
                      </w:rPr>
                      <w:t>37,</w:t>
                    </w:r>
                    <w:r>
                      <w:rPr>
                        <w:spacing w:val="56"/>
                        <w:sz w:val="18"/>
                        <w:lang w:val="fr-FR"/>
                      </w:rPr>
                      <w:t xml:space="preserve"> </w:t>
                    </w:r>
                    <w:r>
                      <w:rPr>
                        <w:spacing w:val="40"/>
                        <w:sz w:val="18"/>
                        <w:lang w:val="fr-FR"/>
                      </w:rPr>
                      <w:t>România</w:t>
                    </w:r>
                  </w:p>
                  <w:p w14:paraId="135967D3" w14:textId="77777777" w:rsidR="00487065" w:rsidRDefault="00487065" w:rsidP="00487065">
                    <w:pPr>
                      <w:rPr>
                        <w:sz w:val="18"/>
                      </w:rPr>
                    </w:pPr>
                    <w:r>
                      <w:rPr>
                        <w:sz w:val="18"/>
                      </w:rPr>
                      <w:t>Tel: +(4021) 311 22 44, Fax: +(4021) 312 43 65, http:// www.anre.ro,  e-mail: anre@anre.ro</w:t>
                    </w:r>
                  </w:p>
                </w:txbxContent>
              </v:textbox>
            </v:shape>
          </w:pict>
        </mc:Fallback>
      </mc:AlternateContent>
    </w:r>
  </w:p>
  <w:p w14:paraId="17108E7A" w14:textId="77777777" w:rsidR="00487065" w:rsidRDefault="00705034" w:rsidP="00487065">
    <w:pPr>
      <w:rPr>
        <w:noProof/>
      </w:rPr>
    </w:pPr>
    <w:r>
      <w:rPr>
        <w:noProof/>
        <w:lang w:eastAsia="ro-RO"/>
      </w:rPr>
      <w:drawing>
        <wp:anchor distT="0" distB="0" distL="114300" distR="114300" simplePos="0" relativeHeight="251657216" behindDoc="0" locked="0" layoutInCell="1" allowOverlap="1" wp14:anchorId="33E50ECE" wp14:editId="7575C6F4">
          <wp:simplePos x="0" y="0"/>
          <wp:positionH relativeFrom="column">
            <wp:posOffset>114300</wp:posOffset>
          </wp:positionH>
          <wp:positionV relativeFrom="paragraph">
            <wp:posOffset>87630</wp:posOffset>
          </wp:positionV>
          <wp:extent cx="731520" cy="640080"/>
          <wp:effectExtent l="0" t="0" r="0" b="0"/>
          <wp:wrapNone/>
          <wp:docPr id="1" name="Imagine 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3695D7" w14:textId="77777777" w:rsidR="00487065" w:rsidRDefault="00487065" w:rsidP="00487065"/>
  <w:p w14:paraId="561F49CC" w14:textId="77777777" w:rsidR="00487065" w:rsidRPr="005A5419" w:rsidRDefault="00487065" w:rsidP="00487065">
    <w:pPr>
      <w:pStyle w:val="Titlu6"/>
      <w:spacing w:after="80"/>
      <w:rPr>
        <w:rFonts w:ascii="Arial" w:hAnsi="Arial"/>
        <w:lang w:val="fr-FR"/>
      </w:rPr>
    </w:pPr>
  </w:p>
  <w:p w14:paraId="095EF825" w14:textId="77777777" w:rsidR="00487065" w:rsidRPr="005A5419" w:rsidRDefault="00487065" w:rsidP="00487065">
    <w:pPr>
      <w:pStyle w:val="Textnotdesubsol"/>
      <w:rPr>
        <w:rFonts w:ascii="Arial" w:hAnsi="Arial"/>
        <w:lang w:val="fr-FR"/>
      </w:rPr>
    </w:pPr>
  </w:p>
  <w:p w14:paraId="1B625F89" w14:textId="77777777" w:rsidR="00487065" w:rsidRDefault="0048706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91801"/>
    <w:multiLevelType w:val="hybridMultilevel"/>
    <w:tmpl w:val="7F5434CC"/>
    <w:lvl w:ilvl="0" w:tplc="F4921E9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11F7C"/>
    <w:multiLevelType w:val="hybridMultilevel"/>
    <w:tmpl w:val="96302D96"/>
    <w:lvl w:ilvl="0" w:tplc="342CEDA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014FF"/>
    <w:multiLevelType w:val="hybridMultilevel"/>
    <w:tmpl w:val="6B4824E4"/>
    <w:lvl w:ilvl="0" w:tplc="38240A04">
      <w:start w:val="2"/>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4642040B"/>
    <w:multiLevelType w:val="hybridMultilevel"/>
    <w:tmpl w:val="589A9D4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7967F44"/>
    <w:multiLevelType w:val="hybridMultilevel"/>
    <w:tmpl w:val="63E825DE"/>
    <w:lvl w:ilvl="0" w:tplc="AF34EB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7995B48"/>
    <w:multiLevelType w:val="hybridMultilevel"/>
    <w:tmpl w:val="957428B2"/>
    <w:lvl w:ilvl="0" w:tplc="C17EAA6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306E08"/>
    <w:multiLevelType w:val="hybridMultilevel"/>
    <w:tmpl w:val="195C40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F1968BE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48719E"/>
    <w:multiLevelType w:val="hybridMultilevel"/>
    <w:tmpl w:val="BB7E6FE8"/>
    <w:lvl w:ilvl="0" w:tplc="E93AD2A0">
      <w:start w:val="12"/>
      <w:numFmt w:val="bullet"/>
      <w:lvlText w:val="-"/>
      <w:lvlJc w:val="left"/>
      <w:pPr>
        <w:ind w:left="720" w:hanging="360"/>
      </w:pPr>
      <w:rPr>
        <w:rFonts w:ascii="Times New Roman" w:eastAsia="Batang"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CBC0752"/>
    <w:multiLevelType w:val="multilevel"/>
    <w:tmpl w:val="2CE47902"/>
    <w:lvl w:ilvl="0">
      <w:start w:val="1"/>
      <w:numFmt w:val="decimal"/>
      <w:pStyle w:val="Titlu1"/>
      <w:lvlText w:val="%1"/>
      <w:lvlJc w:val="left"/>
      <w:pPr>
        <w:tabs>
          <w:tab w:val="num" w:pos="432"/>
        </w:tabs>
        <w:ind w:left="432" w:hanging="432"/>
      </w:pPr>
      <w:rPr>
        <w:rFonts w:hint="default"/>
      </w:rPr>
    </w:lvl>
    <w:lvl w:ilvl="1">
      <w:start w:val="1"/>
      <w:numFmt w:val="decimal"/>
      <w:pStyle w:val="Titlu2"/>
      <w:lvlText w:val="%1.%2"/>
      <w:lvlJc w:val="left"/>
      <w:pPr>
        <w:tabs>
          <w:tab w:val="num" w:pos="576"/>
        </w:tabs>
        <w:ind w:left="576" w:hanging="576"/>
      </w:pPr>
      <w:rPr>
        <w:rFonts w:hint="default"/>
      </w:rPr>
    </w:lvl>
    <w:lvl w:ilvl="2">
      <w:start w:val="1"/>
      <w:numFmt w:val="decimal"/>
      <w:pStyle w:val="Titlu3"/>
      <w:lvlText w:val="%1.%2.%3"/>
      <w:lvlJc w:val="left"/>
      <w:pPr>
        <w:tabs>
          <w:tab w:val="num" w:pos="720"/>
        </w:tabs>
        <w:ind w:left="720" w:hanging="720"/>
      </w:pPr>
      <w:rPr>
        <w:rFonts w:hint="default"/>
      </w:rPr>
    </w:lvl>
    <w:lvl w:ilvl="3">
      <w:start w:val="1"/>
      <w:numFmt w:val="decimal"/>
      <w:pStyle w:val="Titlu4"/>
      <w:lvlText w:val="%1.%2.%3.%4"/>
      <w:lvlJc w:val="left"/>
      <w:pPr>
        <w:tabs>
          <w:tab w:val="num" w:pos="864"/>
        </w:tabs>
        <w:ind w:left="864" w:hanging="864"/>
      </w:pPr>
      <w:rPr>
        <w:rFonts w:hint="default"/>
      </w:rPr>
    </w:lvl>
    <w:lvl w:ilvl="4">
      <w:start w:val="1"/>
      <w:numFmt w:val="decimal"/>
      <w:pStyle w:val="Titlu5"/>
      <w:lvlText w:val="%1.%2.%3.%4.%5"/>
      <w:lvlJc w:val="left"/>
      <w:pPr>
        <w:tabs>
          <w:tab w:val="num" w:pos="1080"/>
        </w:tabs>
        <w:ind w:left="1008" w:hanging="1008"/>
      </w:pPr>
      <w:rPr>
        <w:rFonts w:hint="default"/>
      </w:rPr>
    </w:lvl>
    <w:lvl w:ilvl="5">
      <w:start w:val="1"/>
      <w:numFmt w:val="decimal"/>
      <w:pStyle w:val="Titlu6"/>
      <w:lvlText w:val="(%6)"/>
      <w:lvlJc w:val="left"/>
      <w:pPr>
        <w:tabs>
          <w:tab w:val="num" w:pos="1277"/>
        </w:tabs>
        <w:ind w:left="1277" w:hanging="567"/>
      </w:pPr>
      <w:rPr>
        <w:rFonts w:hint="default"/>
      </w:rPr>
    </w:lvl>
    <w:lvl w:ilvl="6">
      <w:start w:val="1"/>
      <w:numFmt w:val="lowerRoman"/>
      <w:pStyle w:val="Titlu7"/>
      <w:lvlText w:val="(%7)"/>
      <w:lvlJc w:val="left"/>
      <w:pPr>
        <w:tabs>
          <w:tab w:val="num" w:pos="1288"/>
        </w:tabs>
        <w:ind w:left="1135" w:hanging="567"/>
      </w:pPr>
      <w:rPr>
        <w:rFonts w:hint="default"/>
      </w:rPr>
    </w:lvl>
    <w:lvl w:ilvl="7">
      <w:start w:val="1"/>
      <w:numFmt w:val="decimalZero"/>
      <w:pStyle w:val="Titlu8"/>
      <w:lvlText w:val="(%8)"/>
      <w:lvlJc w:val="left"/>
      <w:pPr>
        <w:tabs>
          <w:tab w:val="num" w:pos="1701"/>
        </w:tabs>
        <w:ind w:left="1701" w:hanging="567"/>
      </w:pPr>
      <w:rPr>
        <w:rFonts w:hint="default"/>
      </w:rPr>
    </w:lvl>
    <w:lvl w:ilvl="8">
      <w:start w:val="1"/>
      <w:numFmt w:val="decimal"/>
      <w:pStyle w:val="Titlu9"/>
      <w:lvlText w:val="%1.%2.%3.%4.%5.%6.%7.%8.%9"/>
      <w:lvlJc w:val="left"/>
      <w:pPr>
        <w:tabs>
          <w:tab w:val="num" w:pos="1584"/>
        </w:tabs>
        <w:ind w:left="1584" w:hanging="1584"/>
      </w:pPr>
      <w:rPr>
        <w:rFonts w:hint="default"/>
      </w:rPr>
    </w:lvl>
  </w:abstractNum>
  <w:num w:numId="1" w16cid:durableId="604307854">
    <w:abstractNumId w:val="8"/>
  </w:num>
  <w:num w:numId="2" w16cid:durableId="1641107172">
    <w:abstractNumId w:val="6"/>
  </w:num>
  <w:num w:numId="3" w16cid:durableId="1144472949">
    <w:abstractNumId w:val="1"/>
  </w:num>
  <w:num w:numId="4" w16cid:durableId="1935744914">
    <w:abstractNumId w:val="0"/>
  </w:num>
  <w:num w:numId="5" w16cid:durableId="1616674103">
    <w:abstractNumId w:val="4"/>
  </w:num>
  <w:num w:numId="6" w16cid:durableId="1901943251">
    <w:abstractNumId w:val="2"/>
  </w:num>
  <w:num w:numId="7" w16cid:durableId="1570991769">
    <w:abstractNumId w:val="3"/>
  </w:num>
  <w:num w:numId="8" w16cid:durableId="1446272675">
    <w:abstractNumId w:val="7"/>
  </w:num>
  <w:num w:numId="9" w16cid:durableId="2091077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84C"/>
    <w:rsid w:val="000004DC"/>
    <w:rsid w:val="00003CBD"/>
    <w:rsid w:val="00003FFA"/>
    <w:rsid w:val="00004A8A"/>
    <w:rsid w:val="0000566C"/>
    <w:rsid w:val="00005AF4"/>
    <w:rsid w:val="0001098B"/>
    <w:rsid w:val="00010ED7"/>
    <w:rsid w:val="00010EDA"/>
    <w:rsid w:val="000155FE"/>
    <w:rsid w:val="00016271"/>
    <w:rsid w:val="0002075F"/>
    <w:rsid w:val="000209C6"/>
    <w:rsid w:val="00023337"/>
    <w:rsid w:val="00023B71"/>
    <w:rsid w:val="00023F2F"/>
    <w:rsid w:val="00024A86"/>
    <w:rsid w:val="000268BC"/>
    <w:rsid w:val="00027234"/>
    <w:rsid w:val="00027611"/>
    <w:rsid w:val="000353C8"/>
    <w:rsid w:val="00036CEB"/>
    <w:rsid w:val="00036D2F"/>
    <w:rsid w:val="000407A9"/>
    <w:rsid w:val="00040937"/>
    <w:rsid w:val="00041103"/>
    <w:rsid w:val="00041D17"/>
    <w:rsid w:val="000421B2"/>
    <w:rsid w:val="00043CE9"/>
    <w:rsid w:val="000442D6"/>
    <w:rsid w:val="000505F8"/>
    <w:rsid w:val="000522D7"/>
    <w:rsid w:val="000541DA"/>
    <w:rsid w:val="00054554"/>
    <w:rsid w:val="00054CC5"/>
    <w:rsid w:val="00057D00"/>
    <w:rsid w:val="0006162F"/>
    <w:rsid w:val="00061A8A"/>
    <w:rsid w:val="00062C46"/>
    <w:rsid w:val="00067A92"/>
    <w:rsid w:val="00067F6F"/>
    <w:rsid w:val="00071507"/>
    <w:rsid w:val="00073240"/>
    <w:rsid w:val="000740F5"/>
    <w:rsid w:val="00074793"/>
    <w:rsid w:val="000826B2"/>
    <w:rsid w:val="0008561D"/>
    <w:rsid w:val="00085F88"/>
    <w:rsid w:val="00087473"/>
    <w:rsid w:val="00087F7B"/>
    <w:rsid w:val="000901AF"/>
    <w:rsid w:val="00090451"/>
    <w:rsid w:val="0009130D"/>
    <w:rsid w:val="00091A89"/>
    <w:rsid w:val="00093397"/>
    <w:rsid w:val="000934B1"/>
    <w:rsid w:val="00095A95"/>
    <w:rsid w:val="00096A84"/>
    <w:rsid w:val="000A01FF"/>
    <w:rsid w:val="000A059B"/>
    <w:rsid w:val="000A330F"/>
    <w:rsid w:val="000A34DB"/>
    <w:rsid w:val="000A3DAE"/>
    <w:rsid w:val="000A44B1"/>
    <w:rsid w:val="000A497E"/>
    <w:rsid w:val="000A5C5E"/>
    <w:rsid w:val="000B1231"/>
    <w:rsid w:val="000B1618"/>
    <w:rsid w:val="000B2273"/>
    <w:rsid w:val="000B2804"/>
    <w:rsid w:val="000B28FC"/>
    <w:rsid w:val="000B4D8A"/>
    <w:rsid w:val="000B4F7C"/>
    <w:rsid w:val="000B6B74"/>
    <w:rsid w:val="000B72F1"/>
    <w:rsid w:val="000C061D"/>
    <w:rsid w:val="000C26B6"/>
    <w:rsid w:val="000C3549"/>
    <w:rsid w:val="000C3CC6"/>
    <w:rsid w:val="000C78BB"/>
    <w:rsid w:val="000D061F"/>
    <w:rsid w:val="000D1D15"/>
    <w:rsid w:val="000D3250"/>
    <w:rsid w:val="000D6869"/>
    <w:rsid w:val="000D7D4E"/>
    <w:rsid w:val="000E01E1"/>
    <w:rsid w:val="000E11A4"/>
    <w:rsid w:val="000E236B"/>
    <w:rsid w:val="000E69A6"/>
    <w:rsid w:val="000F0337"/>
    <w:rsid w:val="000F0C7C"/>
    <w:rsid w:val="000F12D5"/>
    <w:rsid w:val="000F2D71"/>
    <w:rsid w:val="000F6868"/>
    <w:rsid w:val="000F6FFB"/>
    <w:rsid w:val="000F7C2E"/>
    <w:rsid w:val="001008EA"/>
    <w:rsid w:val="0010134A"/>
    <w:rsid w:val="00102710"/>
    <w:rsid w:val="00106A64"/>
    <w:rsid w:val="00106F56"/>
    <w:rsid w:val="001078AF"/>
    <w:rsid w:val="00114B29"/>
    <w:rsid w:val="00115EC0"/>
    <w:rsid w:val="00117EBE"/>
    <w:rsid w:val="00122BCD"/>
    <w:rsid w:val="0012329E"/>
    <w:rsid w:val="00124C33"/>
    <w:rsid w:val="0012612C"/>
    <w:rsid w:val="001262B2"/>
    <w:rsid w:val="00126917"/>
    <w:rsid w:val="00126995"/>
    <w:rsid w:val="00130AD3"/>
    <w:rsid w:val="00132160"/>
    <w:rsid w:val="00132FF2"/>
    <w:rsid w:val="001330D1"/>
    <w:rsid w:val="0014473A"/>
    <w:rsid w:val="00145089"/>
    <w:rsid w:val="001500F7"/>
    <w:rsid w:val="001527A0"/>
    <w:rsid w:val="001536C8"/>
    <w:rsid w:val="001545A4"/>
    <w:rsid w:val="00154A98"/>
    <w:rsid w:val="00154E38"/>
    <w:rsid w:val="00155F84"/>
    <w:rsid w:val="0015629A"/>
    <w:rsid w:val="0016009C"/>
    <w:rsid w:val="001602F2"/>
    <w:rsid w:val="001606BC"/>
    <w:rsid w:val="00160F68"/>
    <w:rsid w:val="00162304"/>
    <w:rsid w:val="00163B4B"/>
    <w:rsid w:val="00165FCC"/>
    <w:rsid w:val="00167991"/>
    <w:rsid w:val="00167BEB"/>
    <w:rsid w:val="0017039B"/>
    <w:rsid w:val="0017051A"/>
    <w:rsid w:val="001708FC"/>
    <w:rsid w:val="00173055"/>
    <w:rsid w:val="00174889"/>
    <w:rsid w:val="001753EF"/>
    <w:rsid w:val="00176AB2"/>
    <w:rsid w:val="00177976"/>
    <w:rsid w:val="00177F9D"/>
    <w:rsid w:val="00180063"/>
    <w:rsid w:val="00180E16"/>
    <w:rsid w:val="00184314"/>
    <w:rsid w:val="00184439"/>
    <w:rsid w:val="00185D65"/>
    <w:rsid w:val="00187491"/>
    <w:rsid w:val="00191191"/>
    <w:rsid w:val="0019290D"/>
    <w:rsid w:val="00192C28"/>
    <w:rsid w:val="00194295"/>
    <w:rsid w:val="001963EC"/>
    <w:rsid w:val="00196501"/>
    <w:rsid w:val="00196BB5"/>
    <w:rsid w:val="00196CF6"/>
    <w:rsid w:val="001A08E4"/>
    <w:rsid w:val="001A0AB3"/>
    <w:rsid w:val="001A0BD4"/>
    <w:rsid w:val="001A149D"/>
    <w:rsid w:val="001A27E8"/>
    <w:rsid w:val="001A2851"/>
    <w:rsid w:val="001A5626"/>
    <w:rsid w:val="001A5764"/>
    <w:rsid w:val="001A6783"/>
    <w:rsid w:val="001A72C4"/>
    <w:rsid w:val="001B0E07"/>
    <w:rsid w:val="001B1FBB"/>
    <w:rsid w:val="001B35CF"/>
    <w:rsid w:val="001B6FBF"/>
    <w:rsid w:val="001B7525"/>
    <w:rsid w:val="001B7AFC"/>
    <w:rsid w:val="001C0161"/>
    <w:rsid w:val="001C3011"/>
    <w:rsid w:val="001C5D17"/>
    <w:rsid w:val="001C6A83"/>
    <w:rsid w:val="001C7206"/>
    <w:rsid w:val="001C7B83"/>
    <w:rsid w:val="001D2B9C"/>
    <w:rsid w:val="001D469B"/>
    <w:rsid w:val="001D5BEF"/>
    <w:rsid w:val="001D66DD"/>
    <w:rsid w:val="001D6C91"/>
    <w:rsid w:val="001E18B1"/>
    <w:rsid w:val="001E2864"/>
    <w:rsid w:val="001E326D"/>
    <w:rsid w:val="001E4BA7"/>
    <w:rsid w:val="001E63FD"/>
    <w:rsid w:val="001E65F2"/>
    <w:rsid w:val="001E6A1F"/>
    <w:rsid w:val="001F4338"/>
    <w:rsid w:val="001F4879"/>
    <w:rsid w:val="001F6DFE"/>
    <w:rsid w:val="001F7D9A"/>
    <w:rsid w:val="00201993"/>
    <w:rsid w:val="00203A60"/>
    <w:rsid w:val="00203A96"/>
    <w:rsid w:val="00207675"/>
    <w:rsid w:val="002100F9"/>
    <w:rsid w:val="0021031F"/>
    <w:rsid w:val="00211C98"/>
    <w:rsid w:val="00213068"/>
    <w:rsid w:val="0021317A"/>
    <w:rsid w:val="00216101"/>
    <w:rsid w:val="002216B1"/>
    <w:rsid w:val="00224148"/>
    <w:rsid w:val="00225742"/>
    <w:rsid w:val="00226414"/>
    <w:rsid w:val="00227A59"/>
    <w:rsid w:val="0023018B"/>
    <w:rsid w:val="00231226"/>
    <w:rsid w:val="0023163F"/>
    <w:rsid w:val="00232A61"/>
    <w:rsid w:val="00232EC8"/>
    <w:rsid w:val="00233B31"/>
    <w:rsid w:val="002345B0"/>
    <w:rsid w:val="0023475F"/>
    <w:rsid w:val="00235FAE"/>
    <w:rsid w:val="00236073"/>
    <w:rsid w:val="00236E1B"/>
    <w:rsid w:val="002405A8"/>
    <w:rsid w:val="002410F3"/>
    <w:rsid w:val="00242776"/>
    <w:rsid w:val="00244EB8"/>
    <w:rsid w:val="002454A0"/>
    <w:rsid w:val="00246895"/>
    <w:rsid w:val="00250FA4"/>
    <w:rsid w:val="002539D8"/>
    <w:rsid w:val="00254057"/>
    <w:rsid w:val="00255681"/>
    <w:rsid w:val="00255ED1"/>
    <w:rsid w:val="0025723C"/>
    <w:rsid w:val="00257F8F"/>
    <w:rsid w:val="00261737"/>
    <w:rsid w:val="002628A6"/>
    <w:rsid w:val="0026332D"/>
    <w:rsid w:val="00263F18"/>
    <w:rsid w:val="0026410E"/>
    <w:rsid w:val="002656EC"/>
    <w:rsid w:val="00265B22"/>
    <w:rsid w:val="0026638C"/>
    <w:rsid w:val="00267207"/>
    <w:rsid w:val="0027032D"/>
    <w:rsid w:val="00271377"/>
    <w:rsid w:val="00272205"/>
    <w:rsid w:val="00272916"/>
    <w:rsid w:val="00272C05"/>
    <w:rsid w:val="00274C50"/>
    <w:rsid w:val="0027504B"/>
    <w:rsid w:val="0027646A"/>
    <w:rsid w:val="00281067"/>
    <w:rsid w:val="002812E7"/>
    <w:rsid w:val="00281A09"/>
    <w:rsid w:val="002843E3"/>
    <w:rsid w:val="002844AF"/>
    <w:rsid w:val="00284BA6"/>
    <w:rsid w:val="00290C7E"/>
    <w:rsid w:val="00291937"/>
    <w:rsid w:val="00291CF2"/>
    <w:rsid w:val="002926E9"/>
    <w:rsid w:val="0029598F"/>
    <w:rsid w:val="00295A57"/>
    <w:rsid w:val="002966D1"/>
    <w:rsid w:val="002A219D"/>
    <w:rsid w:val="002A22E6"/>
    <w:rsid w:val="002A30F1"/>
    <w:rsid w:val="002A7CF2"/>
    <w:rsid w:val="002B2520"/>
    <w:rsid w:val="002B2797"/>
    <w:rsid w:val="002B2A2D"/>
    <w:rsid w:val="002C014F"/>
    <w:rsid w:val="002C6947"/>
    <w:rsid w:val="002D28E4"/>
    <w:rsid w:val="002D5830"/>
    <w:rsid w:val="002E256F"/>
    <w:rsid w:val="002E2FE8"/>
    <w:rsid w:val="002E3071"/>
    <w:rsid w:val="002E5300"/>
    <w:rsid w:val="002E6F3E"/>
    <w:rsid w:val="002E7D59"/>
    <w:rsid w:val="002F2920"/>
    <w:rsid w:val="002F2C5A"/>
    <w:rsid w:val="002F346D"/>
    <w:rsid w:val="002F3DEC"/>
    <w:rsid w:val="002F5517"/>
    <w:rsid w:val="002F60BA"/>
    <w:rsid w:val="002F74B3"/>
    <w:rsid w:val="002F74CF"/>
    <w:rsid w:val="00301870"/>
    <w:rsid w:val="00301A3F"/>
    <w:rsid w:val="00301FC4"/>
    <w:rsid w:val="003044B1"/>
    <w:rsid w:val="00305976"/>
    <w:rsid w:val="00306033"/>
    <w:rsid w:val="00306F6E"/>
    <w:rsid w:val="00307EE8"/>
    <w:rsid w:val="00310285"/>
    <w:rsid w:val="003122A1"/>
    <w:rsid w:val="00313110"/>
    <w:rsid w:val="00321AAD"/>
    <w:rsid w:val="00323059"/>
    <w:rsid w:val="00323CBF"/>
    <w:rsid w:val="003278B7"/>
    <w:rsid w:val="00333340"/>
    <w:rsid w:val="00334486"/>
    <w:rsid w:val="00334878"/>
    <w:rsid w:val="003362E3"/>
    <w:rsid w:val="003373A0"/>
    <w:rsid w:val="0033790D"/>
    <w:rsid w:val="0034017D"/>
    <w:rsid w:val="0034093B"/>
    <w:rsid w:val="00341A4C"/>
    <w:rsid w:val="00343619"/>
    <w:rsid w:val="0034435E"/>
    <w:rsid w:val="003443BB"/>
    <w:rsid w:val="0034505E"/>
    <w:rsid w:val="00350358"/>
    <w:rsid w:val="00351CEE"/>
    <w:rsid w:val="003540F9"/>
    <w:rsid w:val="00354F7D"/>
    <w:rsid w:val="003569C1"/>
    <w:rsid w:val="00356F07"/>
    <w:rsid w:val="003658A6"/>
    <w:rsid w:val="00365B8A"/>
    <w:rsid w:val="00367277"/>
    <w:rsid w:val="0037000D"/>
    <w:rsid w:val="0037051A"/>
    <w:rsid w:val="00372879"/>
    <w:rsid w:val="0037722F"/>
    <w:rsid w:val="00377B27"/>
    <w:rsid w:val="003805DB"/>
    <w:rsid w:val="003837A8"/>
    <w:rsid w:val="00383B06"/>
    <w:rsid w:val="00384A6B"/>
    <w:rsid w:val="0038714C"/>
    <w:rsid w:val="00394EBA"/>
    <w:rsid w:val="0039672E"/>
    <w:rsid w:val="003A1518"/>
    <w:rsid w:val="003A1823"/>
    <w:rsid w:val="003A7715"/>
    <w:rsid w:val="003B17D5"/>
    <w:rsid w:val="003B2345"/>
    <w:rsid w:val="003B4C78"/>
    <w:rsid w:val="003B646E"/>
    <w:rsid w:val="003B6B82"/>
    <w:rsid w:val="003B6E18"/>
    <w:rsid w:val="003B7B22"/>
    <w:rsid w:val="003C026F"/>
    <w:rsid w:val="003C13A5"/>
    <w:rsid w:val="003C399D"/>
    <w:rsid w:val="003C48C4"/>
    <w:rsid w:val="003C4FD8"/>
    <w:rsid w:val="003C7207"/>
    <w:rsid w:val="003D0111"/>
    <w:rsid w:val="003D0BDA"/>
    <w:rsid w:val="003D1296"/>
    <w:rsid w:val="003D5432"/>
    <w:rsid w:val="003D5DAD"/>
    <w:rsid w:val="003E0182"/>
    <w:rsid w:val="003E21D0"/>
    <w:rsid w:val="003E285F"/>
    <w:rsid w:val="003E4626"/>
    <w:rsid w:val="003E6950"/>
    <w:rsid w:val="003E7606"/>
    <w:rsid w:val="003F1CD9"/>
    <w:rsid w:val="003F2E58"/>
    <w:rsid w:val="003F5271"/>
    <w:rsid w:val="003F62E9"/>
    <w:rsid w:val="003F65D7"/>
    <w:rsid w:val="00401E90"/>
    <w:rsid w:val="00403089"/>
    <w:rsid w:val="004044D0"/>
    <w:rsid w:val="00405381"/>
    <w:rsid w:val="004058BF"/>
    <w:rsid w:val="004059EF"/>
    <w:rsid w:val="00405A29"/>
    <w:rsid w:val="00411B01"/>
    <w:rsid w:val="00412101"/>
    <w:rsid w:val="00414572"/>
    <w:rsid w:val="0041570C"/>
    <w:rsid w:val="004158A4"/>
    <w:rsid w:val="00417F60"/>
    <w:rsid w:val="00420F2B"/>
    <w:rsid w:val="0042150F"/>
    <w:rsid w:val="00423370"/>
    <w:rsid w:val="004242B6"/>
    <w:rsid w:val="00425599"/>
    <w:rsid w:val="004303E7"/>
    <w:rsid w:val="0043064E"/>
    <w:rsid w:val="0043138D"/>
    <w:rsid w:val="004336D3"/>
    <w:rsid w:val="004339D7"/>
    <w:rsid w:val="00435AD1"/>
    <w:rsid w:val="004366FB"/>
    <w:rsid w:val="00437A75"/>
    <w:rsid w:val="00440CE6"/>
    <w:rsid w:val="00440E0B"/>
    <w:rsid w:val="00442547"/>
    <w:rsid w:val="0044346D"/>
    <w:rsid w:val="00445265"/>
    <w:rsid w:val="004457FA"/>
    <w:rsid w:val="00445BF8"/>
    <w:rsid w:val="00446B36"/>
    <w:rsid w:val="00453138"/>
    <w:rsid w:val="004533A5"/>
    <w:rsid w:val="004576DD"/>
    <w:rsid w:val="00457E17"/>
    <w:rsid w:val="00461C63"/>
    <w:rsid w:val="00462D81"/>
    <w:rsid w:val="004639B3"/>
    <w:rsid w:val="00463F7A"/>
    <w:rsid w:val="00466FA0"/>
    <w:rsid w:val="00467CAE"/>
    <w:rsid w:val="00476C75"/>
    <w:rsid w:val="00482BE8"/>
    <w:rsid w:val="00482F70"/>
    <w:rsid w:val="004833C7"/>
    <w:rsid w:val="004845D5"/>
    <w:rsid w:val="004861F3"/>
    <w:rsid w:val="00486FED"/>
    <w:rsid w:val="00487065"/>
    <w:rsid w:val="004871DF"/>
    <w:rsid w:val="004905DD"/>
    <w:rsid w:val="00490E18"/>
    <w:rsid w:val="00491999"/>
    <w:rsid w:val="004939CE"/>
    <w:rsid w:val="00496963"/>
    <w:rsid w:val="004A186D"/>
    <w:rsid w:val="004A1C4E"/>
    <w:rsid w:val="004A2B29"/>
    <w:rsid w:val="004A354B"/>
    <w:rsid w:val="004A46B8"/>
    <w:rsid w:val="004A4D06"/>
    <w:rsid w:val="004A61CD"/>
    <w:rsid w:val="004A78DA"/>
    <w:rsid w:val="004A7B91"/>
    <w:rsid w:val="004B1F9A"/>
    <w:rsid w:val="004B3256"/>
    <w:rsid w:val="004B35FB"/>
    <w:rsid w:val="004B4EAE"/>
    <w:rsid w:val="004B6DE3"/>
    <w:rsid w:val="004B7E3D"/>
    <w:rsid w:val="004C2437"/>
    <w:rsid w:val="004C24F7"/>
    <w:rsid w:val="004C58A4"/>
    <w:rsid w:val="004D2DED"/>
    <w:rsid w:val="004D41EF"/>
    <w:rsid w:val="004D5661"/>
    <w:rsid w:val="004D5AE2"/>
    <w:rsid w:val="004E24AF"/>
    <w:rsid w:val="004E4134"/>
    <w:rsid w:val="004E7BEA"/>
    <w:rsid w:val="004F1485"/>
    <w:rsid w:val="004F1D12"/>
    <w:rsid w:val="004F282A"/>
    <w:rsid w:val="004F2F58"/>
    <w:rsid w:val="004F3622"/>
    <w:rsid w:val="004F61A4"/>
    <w:rsid w:val="004F6A2C"/>
    <w:rsid w:val="00500277"/>
    <w:rsid w:val="00504ECC"/>
    <w:rsid w:val="00505860"/>
    <w:rsid w:val="00510E36"/>
    <w:rsid w:val="00513BA3"/>
    <w:rsid w:val="00513E33"/>
    <w:rsid w:val="00514BBB"/>
    <w:rsid w:val="005152DE"/>
    <w:rsid w:val="00516FC5"/>
    <w:rsid w:val="005219B9"/>
    <w:rsid w:val="00523D3D"/>
    <w:rsid w:val="005243A7"/>
    <w:rsid w:val="00525583"/>
    <w:rsid w:val="00525A4A"/>
    <w:rsid w:val="00526634"/>
    <w:rsid w:val="0052704A"/>
    <w:rsid w:val="0053057D"/>
    <w:rsid w:val="00530802"/>
    <w:rsid w:val="00532589"/>
    <w:rsid w:val="00533767"/>
    <w:rsid w:val="00534301"/>
    <w:rsid w:val="005409C6"/>
    <w:rsid w:val="00541121"/>
    <w:rsid w:val="00542736"/>
    <w:rsid w:val="00542C4A"/>
    <w:rsid w:val="00544A0F"/>
    <w:rsid w:val="00544B72"/>
    <w:rsid w:val="00545ABA"/>
    <w:rsid w:val="005516CA"/>
    <w:rsid w:val="0055185F"/>
    <w:rsid w:val="00553150"/>
    <w:rsid w:val="0055318C"/>
    <w:rsid w:val="005531E7"/>
    <w:rsid w:val="005546B7"/>
    <w:rsid w:val="00554A76"/>
    <w:rsid w:val="005551E6"/>
    <w:rsid w:val="005552D6"/>
    <w:rsid w:val="00556286"/>
    <w:rsid w:val="005638BE"/>
    <w:rsid w:val="00564717"/>
    <w:rsid w:val="00565FAB"/>
    <w:rsid w:val="00566DC6"/>
    <w:rsid w:val="0057027D"/>
    <w:rsid w:val="00575698"/>
    <w:rsid w:val="005761B2"/>
    <w:rsid w:val="00577BA2"/>
    <w:rsid w:val="005800D3"/>
    <w:rsid w:val="0058086F"/>
    <w:rsid w:val="00581953"/>
    <w:rsid w:val="00582169"/>
    <w:rsid w:val="00583DEE"/>
    <w:rsid w:val="005854D6"/>
    <w:rsid w:val="00585659"/>
    <w:rsid w:val="005859DE"/>
    <w:rsid w:val="00585FBD"/>
    <w:rsid w:val="00587FD6"/>
    <w:rsid w:val="00591AA1"/>
    <w:rsid w:val="00592300"/>
    <w:rsid w:val="00593943"/>
    <w:rsid w:val="00594711"/>
    <w:rsid w:val="00594F0E"/>
    <w:rsid w:val="00597A07"/>
    <w:rsid w:val="005A17F8"/>
    <w:rsid w:val="005A1BB1"/>
    <w:rsid w:val="005A246D"/>
    <w:rsid w:val="005A583E"/>
    <w:rsid w:val="005B007D"/>
    <w:rsid w:val="005B01FD"/>
    <w:rsid w:val="005B1897"/>
    <w:rsid w:val="005B190B"/>
    <w:rsid w:val="005B736F"/>
    <w:rsid w:val="005B7483"/>
    <w:rsid w:val="005C0034"/>
    <w:rsid w:val="005C0F89"/>
    <w:rsid w:val="005D043E"/>
    <w:rsid w:val="005D128B"/>
    <w:rsid w:val="005D2FE2"/>
    <w:rsid w:val="005D6EBF"/>
    <w:rsid w:val="005E02FA"/>
    <w:rsid w:val="005E264A"/>
    <w:rsid w:val="005E29F3"/>
    <w:rsid w:val="005E4B26"/>
    <w:rsid w:val="005E7DF0"/>
    <w:rsid w:val="005F6436"/>
    <w:rsid w:val="005F6684"/>
    <w:rsid w:val="005F6A18"/>
    <w:rsid w:val="005F6B5D"/>
    <w:rsid w:val="00600101"/>
    <w:rsid w:val="006003BD"/>
    <w:rsid w:val="00601391"/>
    <w:rsid w:val="00602BF1"/>
    <w:rsid w:val="0060350E"/>
    <w:rsid w:val="006106A1"/>
    <w:rsid w:val="006107EC"/>
    <w:rsid w:val="00612EAF"/>
    <w:rsid w:val="00613583"/>
    <w:rsid w:val="00616815"/>
    <w:rsid w:val="00616BA8"/>
    <w:rsid w:val="0061783F"/>
    <w:rsid w:val="00620A3B"/>
    <w:rsid w:val="006210D9"/>
    <w:rsid w:val="00621422"/>
    <w:rsid w:val="0062197E"/>
    <w:rsid w:val="0062201E"/>
    <w:rsid w:val="00622517"/>
    <w:rsid w:val="006233E7"/>
    <w:rsid w:val="00625356"/>
    <w:rsid w:val="00627B0D"/>
    <w:rsid w:val="00630D16"/>
    <w:rsid w:val="0063276C"/>
    <w:rsid w:val="0063430F"/>
    <w:rsid w:val="00634787"/>
    <w:rsid w:val="00635288"/>
    <w:rsid w:val="00635378"/>
    <w:rsid w:val="006371A0"/>
    <w:rsid w:val="006377CA"/>
    <w:rsid w:val="00644206"/>
    <w:rsid w:val="00645427"/>
    <w:rsid w:val="006454CC"/>
    <w:rsid w:val="00645F89"/>
    <w:rsid w:val="006474DA"/>
    <w:rsid w:val="00651243"/>
    <w:rsid w:val="006519B0"/>
    <w:rsid w:val="0065247B"/>
    <w:rsid w:val="00655708"/>
    <w:rsid w:val="00655709"/>
    <w:rsid w:val="0065598E"/>
    <w:rsid w:val="006570DD"/>
    <w:rsid w:val="00657374"/>
    <w:rsid w:val="0065760F"/>
    <w:rsid w:val="00660EF7"/>
    <w:rsid w:val="00660FE8"/>
    <w:rsid w:val="006619BE"/>
    <w:rsid w:val="00662F12"/>
    <w:rsid w:val="00663AFE"/>
    <w:rsid w:val="00665834"/>
    <w:rsid w:val="0066681F"/>
    <w:rsid w:val="00666AEC"/>
    <w:rsid w:val="006727ED"/>
    <w:rsid w:val="00672FC3"/>
    <w:rsid w:val="006802C5"/>
    <w:rsid w:val="00681584"/>
    <w:rsid w:val="006818DF"/>
    <w:rsid w:val="00682274"/>
    <w:rsid w:val="00683972"/>
    <w:rsid w:val="006843A5"/>
    <w:rsid w:val="00686342"/>
    <w:rsid w:val="00687331"/>
    <w:rsid w:val="006902B0"/>
    <w:rsid w:val="006914D1"/>
    <w:rsid w:val="00695192"/>
    <w:rsid w:val="006971D1"/>
    <w:rsid w:val="006A196C"/>
    <w:rsid w:val="006B19EC"/>
    <w:rsid w:val="006B218D"/>
    <w:rsid w:val="006B3D38"/>
    <w:rsid w:val="006B3DAB"/>
    <w:rsid w:val="006B53CB"/>
    <w:rsid w:val="006B69A0"/>
    <w:rsid w:val="006B6CE1"/>
    <w:rsid w:val="006B6EC6"/>
    <w:rsid w:val="006B745A"/>
    <w:rsid w:val="006C02AB"/>
    <w:rsid w:val="006C1A2E"/>
    <w:rsid w:val="006C30EB"/>
    <w:rsid w:val="006D2E79"/>
    <w:rsid w:val="006D7B92"/>
    <w:rsid w:val="006E0FCE"/>
    <w:rsid w:val="006E1326"/>
    <w:rsid w:val="006E2442"/>
    <w:rsid w:val="006E292B"/>
    <w:rsid w:val="006E3149"/>
    <w:rsid w:val="006E34E9"/>
    <w:rsid w:val="006E37D2"/>
    <w:rsid w:val="006E4536"/>
    <w:rsid w:val="006E5D72"/>
    <w:rsid w:val="006E6BC2"/>
    <w:rsid w:val="006E6E52"/>
    <w:rsid w:val="006F01DC"/>
    <w:rsid w:val="006F1C5A"/>
    <w:rsid w:val="006F622C"/>
    <w:rsid w:val="00700CAC"/>
    <w:rsid w:val="00702CFA"/>
    <w:rsid w:val="00704422"/>
    <w:rsid w:val="00704A76"/>
    <w:rsid w:val="00705034"/>
    <w:rsid w:val="007061E3"/>
    <w:rsid w:val="00707237"/>
    <w:rsid w:val="0070755D"/>
    <w:rsid w:val="00710AE7"/>
    <w:rsid w:val="007124DC"/>
    <w:rsid w:val="0071278A"/>
    <w:rsid w:val="0071727F"/>
    <w:rsid w:val="00721C0A"/>
    <w:rsid w:val="00723FF7"/>
    <w:rsid w:val="00724A60"/>
    <w:rsid w:val="007251E9"/>
    <w:rsid w:val="007269FD"/>
    <w:rsid w:val="00730CAE"/>
    <w:rsid w:val="00731333"/>
    <w:rsid w:val="00731720"/>
    <w:rsid w:val="00733568"/>
    <w:rsid w:val="00734DBF"/>
    <w:rsid w:val="007356E5"/>
    <w:rsid w:val="0075106E"/>
    <w:rsid w:val="007542D5"/>
    <w:rsid w:val="007542E8"/>
    <w:rsid w:val="0075558B"/>
    <w:rsid w:val="00756028"/>
    <w:rsid w:val="00756D9B"/>
    <w:rsid w:val="00760042"/>
    <w:rsid w:val="007615AD"/>
    <w:rsid w:val="00761A31"/>
    <w:rsid w:val="007642B8"/>
    <w:rsid w:val="00765F54"/>
    <w:rsid w:val="007667A8"/>
    <w:rsid w:val="00767BB9"/>
    <w:rsid w:val="00771E9D"/>
    <w:rsid w:val="00771F80"/>
    <w:rsid w:val="007736DA"/>
    <w:rsid w:val="007755C9"/>
    <w:rsid w:val="007761F4"/>
    <w:rsid w:val="00777EE8"/>
    <w:rsid w:val="00782F35"/>
    <w:rsid w:val="007840A6"/>
    <w:rsid w:val="00790599"/>
    <w:rsid w:val="00790C4E"/>
    <w:rsid w:val="00791246"/>
    <w:rsid w:val="00791C47"/>
    <w:rsid w:val="007959F8"/>
    <w:rsid w:val="00795F8A"/>
    <w:rsid w:val="00797170"/>
    <w:rsid w:val="00797341"/>
    <w:rsid w:val="007A18EB"/>
    <w:rsid w:val="007A3FF2"/>
    <w:rsid w:val="007A533D"/>
    <w:rsid w:val="007A7750"/>
    <w:rsid w:val="007B229C"/>
    <w:rsid w:val="007B2E09"/>
    <w:rsid w:val="007B39FC"/>
    <w:rsid w:val="007B468A"/>
    <w:rsid w:val="007B481A"/>
    <w:rsid w:val="007B5465"/>
    <w:rsid w:val="007B608B"/>
    <w:rsid w:val="007B642D"/>
    <w:rsid w:val="007C4DEB"/>
    <w:rsid w:val="007C551F"/>
    <w:rsid w:val="007D35EB"/>
    <w:rsid w:val="007D4DD6"/>
    <w:rsid w:val="007D66D9"/>
    <w:rsid w:val="007D6841"/>
    <w:rsid w:val="007D73FD"/>
    <w:rsid w:val="007E0AEF"/>
    <w:rsid w:val="007E1B1D"/>
    <w:rsid w:val="007E3C46"/>
    <w:rsid w:val="007E74CC"/>
    <w:rsid w:val="007F4543"/>
    <w:rsid w:val="007F52C0"/>
    <w:rsid w:val="007F60A3"/>
    <w:rsid w:val="007F6714"/>
    <w:rsid w:val="007F7A5E"/>
    <w:rsid w:val="008015C6"/>
    <w:rsid w:val="00802131"/>
    <w:rsid w:val="00802A39"/>
    <w:rsid w:val="008042C4"/>
    <w:rsid w:val="00804E6F"/>
    <w:rsid w:val="00806744"/>
    <w:rsid w:val="00806DCE"/>
    <w:rsid w:val="00816840"/>
    <w:rsid w:val="00820EB5"/>
    <w:rsid w:val="008217C3"/>
    <w:rsid w:val="0082433B"/>
    <w:rsid w:val="0082688B"/>
    <w:rsid w:val="00827657"/>
    <w:rsid w:val="0083091B"/>
    <w:rsid w:val="00831142"/>
    <w:rsid w:val="00831995"/>
    <w:rsid w:val="00832125"/>
    <w:rsid w:val="008329D6"/>
    <w:rsid w:val="0083374A"/>
    <w:rsid w:val="00833B4B"/>
    <w:rsid w:val="0083472F"/>
    <w:rsid w:val="00835EA3"/>
    <w:rsid w:val="00836F8E"/>
    <w:rsid w:val="008374EE"/>
    <w:rsid w:val="00840571"/>
    <w:rsid w:val="00842E18"/>
    <w:rsid w:val="00844293"/>
    <w:rsid w:val="008456FA"/>
    <w:rsid w:val="00846026"/>
    <w:rsid w:val="008462D5"/>
    <w:rsid w:val="0085136B"/>
    <w:rsid w:val="00851D1F"/>
    <w:rsid w:val="00852D0E"/>
    <w:rsid w:val="00852D79"/>
    <w:rsid w:val="00857511"/>
    <w:rsid w:val="008576DA"/>
    <w:rsid w:val="00860DAC"/>
    <w:rsid w:val="00863747"/>
    <w:rsid w:val="00865567"/>
    <w:rsid w:val="0086598E"/>
    <w:rsid w:val="0086607C"/>
    <w:rsid w:val="00870C98"/>
    <w:rsid w:val="0087115B"/>
    <w:rsid w:val="00871CBC"/>
    <w:rsid w:val="00873539"/>
    <w:rsid w:val="00873633"/>
    <w:rsid w:val="008743C7"/>
    <w:rsid w:val="0087518B"/>
    <w:rsid w:val="00876E2C"/>
    <w:rsid w:val="008809B6"/>
    <w:rsid w:val="00882BC3"/>
    <w:rsid w:val="0088484C"/>
    <w:rsid w:val="00892413"/>
    <w:rsid w:val="00894E82"/>
    <w:rsid w:val="00896D1A"/>
    <w:rsid w:val="00896EC5"/>
    <w:rsid w:val="008A085D"/>
    <w:rsid w:val="008A11D1"/>
    <w:rsid w:val="008A6384"/>
    <w:rsid w:val="008A7065"/>
    <w:rsid w:val="008A7288"/>
    <w:rsid w:val="008A733E"/>
    <w:rsid w:val="008A76F1"/>
    <w:rsid w:val="008A7DE2"/>
    <w:rsid w:val="008B090F"/>
    <w:rsid w:val="008B32CD"/>
    <w:rsid w:val="008B6347"/>
    <w:rsid w:val="008B6AA0"/>
    <w:rsid w:val="008B7659"/>
    <w:rsid w:val="008B7D3A"/>
    <w:rsid w:val="008C05E3"/>
    <w:rsid w:val="008C0A09"/>
    <w:rsid w:val="008C132D"/>
    <w:rsid w:val="008C2052"/>
    <w:rsid w:val="008C2E21"/>
    <w:rsid w:val="008C3E9E"/>
    <w:rsid w:val="008C4AC3"/>
    <w:rsid w:val="008C6737"/>
    <w:rsid w:val="008C765E"/>
    <w:rsid w:val="008D1D9C"/>
    <w:rsid w:val="008D1E91"/>
    <w:rsid w:val="008D2E39"/>
    <w:rsid w:val="008D5B92"/>
    <w:rsid w:val="008E221B"/>
    <w:rsid w:val="008E37A5"/>
    <w:rsid w:val="008E3AC5"/>
    <w:rsid w:val="008E3B19"/>
    <w:rsid w:val="008E46C8"/>
    <w:rsid w:val="008E4F42"/>
    <w:rsid w:val="008E52BC"/>
    <w:rsid w:val="008E65CB"/>
    <w:rsid w:val="008E72DD"/>
    <w:rsid w:val="008E752C"/>
    <w:rsid w:val="008F47ED"/>
    <w:rsid w:val="008F5134"/>
    <w:rsid w:val="008F64A2"/>
    <w:rsid w:val="008F75B0"/>
    <w:rsid w:val="008F7E21"/>
    <w:rsid w:val="00901298"/>
    <w:rsid w:val="00902711"/>
    <w:rsid w:val="00902D7B"/>
    <w:rsid w:val="00903B99"/>
    <w:rsid w:val="009047D7"/>
    <w:rsid w:val="00907641"/>
    <w:rsid w:val="00907F16"/>
    <w:rsid w:val="009119E2"/>
    <w:rsid w:val="00912701"/>
    <w:rsid w:val="0091310E"/>
    <w:rsid w:val="00914F75"/>
    <w:rsid w:val="00916633"/>
    <w:rsid w:val="009223E0"/>
    <w:rsid w:val="00922D5C"/>
    <w:rsid w:val="00927020"/>
    <w:rsid w:val="009278D7"/>
    <w:rsid w:val="009319F7"/>
    <w:rsid w:val="00940E66"/>
    <w:rsid w:val="00941AAB"/>
    <w:rsid w:val="009438B1"/>
    <w:rsid w:val="00943A89"/>
    <w:rsid w:val="009464BA"/>
    <w:rsid w:val="00947126"/>
    <w:rsid w:val="00947E11"/>
    <w:rsid w:val="00950F79"/>
    <w:rsid w:val="009519CF"/>
    <w:rsid w:val="00952A23"/>
    <w:rsid w:val="009532C2"/>
    <w:rsid w:val="00954BF9"/>
    <w:rsid w:val="00957826"/>
    <w:rsid w:val="0095798D"/>
    <w:rsid w:val="009606BC"/>
    <w:rsid w:val="009610FD"/>
    <w:rsid w:val="009627F6"/>
    <w:rsid w:val="0096424E"/>
    <w:rsid w:val="00966071"/>
    <w:rsid w:val="00966AFF"/>
    <w:rsid w:val="00966D03"/>
    <w:rsid w:val="00970B98"/>
    <w:rsid w:val="00973368"/>
    <w:rsid w:val="009744D0"/>
    <w:rsid w:val="009757FE"/>
    <w:rsid w:val="009776DE"/>
    <w:rsid w:val="00982485"/>
    <w:rsid w:val="00982969"/>
    <w:rsid w:val="009829BB"/>
    <w:rsid w:val="00982B96"/>
    <w:rsid w:val="00983218"/>
    <w:rsid w:val="00986A3A"/>
    <w:rsid w:val="009901EB"/>
    <w:rsid w:val="00991E90"/>
    <w:rsid w:val="00993BFF"/>
    <w:rsid w:val="00994471"/>
    <w:rsid w:val="00995D4A"/>
    <w:rsid w:val="00995E78"/>
    <w:rsid w:val="009A1477"/>
    <w:rsid w:val="009A3C48"/>
    <w:rsid w:val="009A3D54"/>
    <w:rsid w:val="009A6B6C"/>
    <w:rsid w:val="009B0A6E"/>
    <w:rsid w:val="009B1873"/>
    <w:rsid w:val="009B261E"/>
    <w:rsid w:val="009B4262"/>
    <w:rsid w:val="009B42B5"/>
    <w:rsid w:val="009B5D5D"/>
    <w:rsid w:val="009C1AB9"/>
    <w:rsid w:val="009C255A"/>
    <w:rsid w:val="009C33E3"/>
    <w:rsid w:val="009C4604"/>
    <w:rsid w:val="009C4D43"/>
    <w:rsid w:val="009C4D8C"/>
    <w:rsid w:val="009C4EED"/>
    <w:rsid w:val="009C761F"/>
    <w:rsid w:val="009D09AF"/>
    <w:rsid w:val="009D18DF"/>
    <w:rsid w:val="009D27DA"/>
    <w:rsid w:val="009D2F18"/>
    <w:rsid w:val="009E12E7"/>
    <w:rsid w:val="009E3EB7"/>
    <w:rsid w:val="009E69AF"/>
    <w:rsid w:val="009E6A4F"/>
    <w:rsid w:val="009E6EE1"/>
    <w:rsid w:val="009E7F08"/>
    <w:rsid w:val="009F0177"/>
    <w:rsid w:val="009F13BB"/>
    <w:rsid w:val="009F1D64"/>
    <w:rsid w:val="009F2C38"/>
    <w:rsid w:val="009F5980"/>
    <w:rsid w:val="009F7A66"/>
    <w:rsid w:val="00A01369"/>
    <w:rsid w:val="00A02A06"/>
    <w:rsid w:val="00A042C8"/>
    <w:rsid w:val="00A06C69"/>
    <w:rsid w:val="00A06D4A"/>
    <w:rsid w:val="00A10418"/>
    <w:rsid w:val="00A105E2"/>
    <w:rsid w:val="00A11BB6"/>
    <w:rsid w:val="00A14CC0"/>
    <w:rsid w:val="00A23616"/>
    <w:rsid w:val="00A248F8"/>
    <w:rsid w:val="00A25B22"/>
    <w:rsid w:val="00A27F2D"/>
    <w:rsid w:val="00A30583"/>
    <w:rsid w:val="00A322A5"/>
    <w:rsid w:val="00A32C76"/>
    <w:rsid w:val="00A34B8E"/>
    <w:rsid w:val="00A416E1"/>
    <w:rsid w:val="00A432C9"/>
    <w:rsid w:val="00A43F02"/>
    <w:rsid w:val="00A43FA2"/>
    <w:rsid w:val="00A44DD5"/>
    <w:rsid w:val="00A456E8"/>
    <w:rsid w:val="00A45AC7"/>
    <w:rsid w:val="00A46D21"/>
    <w:rsid w:val="00A47070"/>
    <w:rsid w:val="00A50375"/>
    <w:rsid w:val="00A50432"/>
    <w:rsid w:val="00A516D8"/>
    <w:rsid w:val="00A55357"/>
    <w:rsid w:val="00A55366"/>
    <w:rsid w:val="00A5678D"/>
    <w:rsid w:val="00A60439"/>
    <w:rsid w:val="00A643BD"/>
    <w:rsid w:val="00A646CF"/>
    <w:rsid w:val="00A64999"/>
    <w:rsid w:val="00A649A2"/>
    <w:rsid w:val="00A7051E"/>
    <w:rsid w:val="00A71B57"/>
    <w:rsid w:val="00A72786"/>
    <w:rsid w:val="00A72BA4"/>
    <w:rsid w:val="00A73CDE"/>
    <w:rsid w:val="00A75247"/>
    <w:rsid w:val="00A76F06"/>
    <w:rsid w:val="00A77AAE"/>
    <w:rsid w:val="00A80BB5"/>
    <w:rsid w:val="00A842CF"/>
    <w:rsid w:val="00A84823"/>
    <w:rsid w:val="00A850E7"/>
    <w:rsid w:val="00A851FC"/>
    <w:rsid w:val="00A86D21"/>
    <w:rsid w:val="00A87271"/>
    <w:rsid w:val="00A940A2"/>
    <w:rsid w:val="00A96AAD"/>
    <w:rsid w:val="00A97129"/>
    <w:rsid w:val="00AA1FC4"/>
    <w:rsid w:val="00AA225D"/>
    <w:rsid w:val="00AA268B"/>
    <w:rsid w:val="00AA3714"/>
    <w:rsid w:val="00AA4642"/>
    <w:rsid w:val="00AA6107"/>
    <w:rsid w:val="00AA6ACC"/>
    <w:rsid w:val="00AB2AF4"/>
    <w:rsid w:val="00AB635B"/>
    <w:rsid w:val="00AC0F1F"/>
    <w:rsid w:val="00AC1252"/>
    <w:rsid w:val="00AC2FFE"/>
    <w:rsid w:val="00AC30BE"/>
    <w:rsid w:val="00AC33B2"/>
    <w:rsid w:val="00AC3A99"/>
    <w:rsid w:val="00AC4F34"/>
    <w:rsid w:val="00AC7F4C"/>
    <w:rsid w:val="00AD0CC4"/>
    <w:rsid w:val="00AD0EA8"/>
    <w:rsid w:val="00AD4615"/>
    <w:rsid w:val="00AD4EDD"/>
    <w:rsid w:val="00AD503F"/>
    <w:rsid w:val="00AD566A"/>
    <w:rsid w:val="00AD65C3"/>
    <w:rsid w:val="00AD7B43"/>
    <w:rsid w:val="00AE0AE1"/>
    <w:rsid w:val="00AE1258"/>
    <w:rsid w:val="00AE1348"/>
    <w:rsid w:val="00AE1BB5"/>
    <w:rsid w:val="00AE3C93"/>
    <w:rsid w:val="00AE50EC"/>
    <w:rsid w:val="00AE56C2"/>
    <w:rsid w:val="00AE790D"/>
    <w:rsid w:val="00AE7A60"/>
    <w:rsid w:val="00AF17F5"/>
    <w:rsid w:val="00AF3151"/>
    <w:rsid w:val="00AF36F2"/>
    <w:rsid w:val="00AF404A"/>
    <w:rsid w:val="00AF4530"/>
    <w:rsid w:val="00AF453F"/>
    <w:rsid w:val="00AF49D2"/>
    <w:rsid w:val="00AF638F"/>
    <w:rsid w:val="00B00498"/>
    <w:rsid w:val="00B00E94"/>
    <w:rsid w:val="00B02816"/>
    <w:rsid w:val="00B030D2"/>
    <w:rsid w:val="00B032E9"/>
    <w:rsid w:val="00B04AC2"/>
    <w:rsid w:val="00B04BB7"/>
    <w:rsid w:val="00B04CA5"/>
    <w:rsid w:val="00B04D63"/>
    <w:rsid w:val="00B06754"/>
    <w:rsid w:val="00B074EA"/>
    <w:rsid w:val="00B077CF"/>
    <w:rsid w:val="00B0794A"/>
    <w:rsid w:val="00B10165"/>
    <w:rsid w:val="00B10783"/>
    <w:rsid w:val="00B10863"/>
    <w:rsid w:val="00B12C4F"/>
    <w:rsid w:val="00B12EF6"/>
    <w:rsid w:val="00B157A0"/>
    <w:rsid w:val="00B20575"/>
    <w:rsid w:val="00B21615"/>
    <w:rsid w:val="00B22062"/>
    <w:rsid w:val="00B221A0"/>
    <w:rsid w:val="00B22792"/>
    <w:rsid w:val="00B23276"/>
    <w:rsid w:val="00B24BBF"/>
    <w:rsid w:val="00B257E5"/>
    <w:rsid w:val="00B25CAD"/>
    <w:rsid w:val="00B268BB"/>
    <w:rsid w:val="00B26CF7"/>
    <w:rsid w:val="00B276E6"/>
    <w:rsid w:val="00B31D49"/>
    <w:rsid w:val="00B34911"/>
    <w:rsid w:val="00B36E86"/>
    <w:rsid w:val="00B37ACE"/>
    <w:rsid w:val="00B37E2B"/>
    <w:rsid w:val="00B4015B"/>
    <w:rsid w:val="00B401CD"/>
    <w:rsid w:val="00B40AC2"/>
    <w:rsid w:val="00B40AF5"/>
    <w:rsid w:val="00B40ED5"/>
    <w:rsid w:val="00B433AD"/>
    <w:rsid w:val="00B43C25"/>
    <w:rsid w:val="00B43F7B"/>
    <w:rsid w:val="00B463A9"/>
    <w:rsid w:val="00B52573"/>
    <w:rsid w:val="00B52682"/>
    <w:rsid w:val="00B53FDF"/>
    <w:rsid w:val="00B542FA"/>
    <w:rsid w:val="00B5593D"/>
    <w:rsid w:val="00B55C34"/>
    <w:rsid w:val="00B56280"/>
    <w:rsid w:val="00B56ECA"/>
    <w:rsid w:val="00B56EEE"/>
    <w:rsid w:val="00B57351"/>
    <w:rsid w:val="00B603B6"/>
    <w:rsid w:val="00B660CC"/>
    <w:rsid w:val="00B70075"/>
    <w:rsid w:val="00B71AC9"/>
    <w:rsid w:val="00B727BE"/>
    <w:rsid w:val="00B738BF"/>
    <w:rsid w:val="00B75239"/>
    <w:rsid w:val="00B752A9"/>
    <w:rsid w:val="00B7576D"/>
    <w:rsid w:val="00B81FA6"/>
    <w:rsid w:val="00B82725"/>
    <w:rsid w:val="00B827EE"/>
    <w:rsid w:val="00B82A9C"/>
    <w:rsid w:val="00B82E6E"/>
    <w:rsid w:val="00B83220"/>
    <w:rsid w:val="00B832B2"/>
    <w:rsid w:val="00B8396B"/>
    <w:rsid w:val="00B85AE3"/>
    <w:rsid w:val="00B86839"/>
    <w:rsid w:val="00B92010"/>
    <w:rsid w:val="00B92D5B"/>
    <w:rsid w:val="00B95C26"/>
    <w:rsid w:val="00B9602F"/>
    <w:rsid w:val="00BA1F59"/>
    <w:rsid w:val="00BA2FFF"/>
    <w:rsid w:val="00BA67CB"/>
    <w:rsid w:val="00BA7BF8"/>
    <w:rsid w:val="00BB0E8A"/>
    <w:rsid w:val="00BB1D86"/>
    <w:rsid w:val="00BB290E"/>
    <w:rsid w:val="00BB5D9A"/>
    <w:rsid w:val="00BB66E4"/>
    <w:rsid w:val="00BC20A5"/>
    <w:rsid w:val="00BC2875"/>
    <w:rsid w:val="00BC347B"/>
    <w:rsid w:val="00BC4982"/>
    <w:rsid w:val="00BC59B0"/>
    <w:rsid w:val="00BC7B26"/>
    <w:rsid w:val="00BD17FC"/>
    <w:rsid w:val="00BD261F"/>
    <w:rsid w:val="00BD3E73"/>
    <w:rsid w:val="00BD4105"/>
    <w:rsid w:val="00BD5823"/>
    <w:rsid w:val="00BE160B"/>
    <w:rsid w:val="00BE3563"/>
    <w:rsid w:val="00BE4527"/>
    <w:rsid w:val="00BE48C4"/>
    <w:rsid w:val="00BE55A9"/>
    <w:rsid w:val="00BE5B35"/>
    <w:rsid w:val="00BF2BED"/>
    <w:rsid w:val="00BF2CBC"/>
    <w:rsid w:val="00BF6079"/>
    <w:rsid w:val="00BF6657"/>
    <w:rsid w:val="00BF694C"/>
    <w:rsid w:val="00C01FC6"/>
    <w:rsid w:val="00C0227C"/>
    <w:rsid w:val="00C02DCE"/>
    <w:rsid w:val="00C03410"/>
    <w:rsid w:val="00C04B4F"/>
    <w:rsid w:val="00C04E59"/>
    <w:rsid w:val="00C05746"/>
    <w:rsid w:val="00C0647B"/>
    <w:rsid w:val="00C116B0"/>
    <w:rsid w:val="00C14AE3"/>
    <w:rsid w:val="00C15549"/>
    <w:rsid w:val="00C1598F"/>
    <w:rsid w:val="00C16F53"/>
    <w:rsid w:val="00C1735F"/>
    <w:rsid w:val="00C1756F"/>
    <w:rsid w:val="00C177C5"/>
    <w:rsid w:val="00C17A4E"/>
    <w:rsid w:val="00C20190"/>
    <w:rsid w:val="00C21405"/>
    <w:rsid w:val="00C24627"/>
    <w:rsid w:val="00C24DD4"/>
    <w:rsid w:val="00C26975"/>
    <w:rsid w:val="00C26C6B"/>
    <w:rsid w:val="00C30631"/>
    <w:rsid w:val="00C31886"/>
    <w:rsid w:val="00C32A2F"/>
    <w:rsid w:val="00C332A7"/>
    <w:rsid w:val="00C35382"/>
    <w:rsid w:val="00C369F2"/>
    <w:rsid w:val="00C410C4"/>
    <w:rsid w:val="00C411E1"/>
    <w:rsid w:val="00C41DE9"/>
    <w:rsid w:val="00C42AC6"/>
    <w:rsid w:val="00C42BC1"/>
    <w:rsid w:val="00C42F20"/>
    <w:rsid w:val="00C43791"/>
    <w:rsid w:val="00C43C96"/>
    <w:rsid w:val="00C44C9C"/>
    <w:rsid w:val="00C44D44"/>
    <w:rsid w:val="00C46EE9"/>
    <w:rsid w:val="00C55221"/>
    <w:rsid w:val="00C55E53"/>
    <w:rsid w:val="00C56D4E"/>
    <w:rsid w:val="00C56ED7"/>
    <w:rsid w:val="00C57019"/>
    <w:rsid w:val="00C574FF"/>
    <w:rsid w:val="00C57B65"/>
    <w:rsid w:val="00C57CF2"/>
    <w:rsid w:val="00C57FA3"/>
    <w:rsid w:val="00C619FF"/>
    <w:rsid w:val="00C623FF"/>
    <w:rsid w:val="00C62423"/>
    <w:rsid w:val="00C6533F"/>
    <w:rsid w:val="00C65BD1"/>
    <w:rsid w:val="00C666EA"/>
    <w:rsid w:val="00C67DD9"/>
    <w:rsid w:val="00C702F8"/>
    <w:rsid w:val="00C70A9F"/>
    <w:rsid w:val="00C70BEE"/>
    <w:rsid w:val="00C75D7F"/>
    <w:rsid w:val="00C76722"/>
    <w:rsid w:val="00C7743E"/>
    <w:rsid w:val="00C77E8E"/>
    <w:rsid w:val="00C80458"/>
    <w:rsid w:val="00C87A6F"/>
    <w:rsid w:val="00C91909"/>
    <w:rsid w:val="00C91CBD"/>
    <w:rsid w:val="00C943E7"/>
    <w:rsid w:val="00CA0B0B"/>
    <w:rsid w:val="00CA105A"/>
    <w:rsid w:val="00CA2561"/>
    <w:rsid w:val="00CA27B9"/>
    <w:rsid w:val="00CA3440"/>
    <w:rsid w:val="00CA61B3"/>
    <w:rsid w:val="00CA7E3E"/>
    <w:rsid w:val="00CB0CD6"/>
    <w:rsid w:val="00CB1119"/>
    <w:rsid w:val="00CB2879"/>
    <w:rsid w:val="00CB479B"/>
    <w:rsid w:val="00CB571A"/>
    <w:rsid w:val="00CB7C6F"/>
    <w:rsid w:val="00CC0E1D"/>
    <w:rsid w:val="00CC63C7"/>
    <w:rsid w:val="00CC7AA1"/>
    <w:rsid w:val="00CD279B"/>
    <w:rsid w:val="00CD303C"/>
    <w:rsid w:val="00CD3B78"/>
    <w:rsid w:val="00CD573B"/>
    <w:rsid w:val="00CD5DFC"/>
    <w:rsid w:val="00CD6880"/>
    <w:rsid w:val="00CE101C"/>
    <w:rsid w:val="00CE6F97"/>
    <w:rsid w:val="00CF0612"/>
    <w:rsid w:val="00CF39CF"/>
    <w:rsid w:val="00CF4A0C"/>
    <w:rsid w:val="00CF56B8"/>
    <w:rsid w:val="00CF5AE9"/>
    <w:rsid w:val="00D0096B"/>
    <w:rsid w:val="00D0129F"/>
    <w:rsid w:val="00D01A7D"/>
    <w:rsid w:val="00D04674"/>
    <w:rsid w:val="00D05A64"/>
    <w:rsid w:val="00D05D6A"/>
    <w:rsid w:val="00D11CBC"/>
    <w:rsid w:val="00D12131"/>
    <w:rsid w:val="00D14798"/>
    <w:rsid w:val="00D209E8"/>
    <w:rsid w:val="00D21A9F"/>
    <w:rsid w:val="00D23CA8"/>
    <w:rsid w:val="00D278D7"/>
    <w:rsid w:val="00D30487"/>
    <w:rsid w:val="00D30600"/>
    <w:rsid w:val="00D30E12"/>
    <w:rsid w:val="00D310CC"/>
    <w:rsid w:val="00D3245B"/>
    <w:rsid w:val="00D32886"/>
    <w:rsid w:val="00D33104"/>
    <w:rsid w:val="00D342B4"/>
    <w:rsid w:val="00D37AE7"/>
    <w:rsid w:val="00D407CF"/>
    <w:rsid w:val="00D40D4A"/>
    <w:rsid w:val="00D40F27"/>
    <w:rsid w:val="00D43208"/>
    <w:rsid w:val="00D4606A"/>
    <w:rsid w:val="00D46A73"/>
    <w:rsid w:val="00D46AFA"/>
    <w:rsid w:val="00D46C17"/>
    <w:rsid w:val="00D53955"/>
    <w:rsid w:val="00D53CB9"/>
    <w:rsid w:val="00D55427"/>
    <w:rsid w:val="00D55AF7"/>
    <w:rsid w:val="00D561C9"/>
    <w:rsid w:val="00D5621C"/>
    <w:rsid w:val="00D60A02"/>
    <w:rsid w:val="00D62CD5"/>
    <w:rsid w:val="00D64A0A"/>
    <w:rsid w:val="00D66136"/>
    <w:rsid w:val="00D7052A"/>
    <w:rsid w:val="00D70F0E"/>
    <w:rsid w:val="00D73AB5"/>
    <w:rsid w:val="00D751E8"/>
    <w:rsid w:val="00D80669"/>
    <w:rsid w:val="00D809CC"/>
    <w:rsid w:val="00D82B38"/>
    <w:rsid w:val="00D85A3B"/>
    <w:rsid w:val="00D8697E"/>
    <w:rsid w:val="00D9010A"/>
    <w:rsid w:val="00D92468"/>
    <w:rsid w:val="00D951FA"/>
    <w:rsid w:val="00D95BDC"/>
    <w:rsid w:val="00DA1DBE"/>
    <w:rsid w:val="00DA1F6D"/>
    <w:rsid w:val="00DA1F9F"/>
    <w:rsid w:val="00DA2114"/>
    <w:rsid w:val="00DA551B"/>
    <w:rsid w:val="00DA65BB"/>
    <w:rsid w:val="00DA697E"/>
    <w:rsid w:val="00DA745B"/>
    <w:rsid w:val="00DA767C"/>
    <w:rsid w:val="00DB1524"/>
    <w:rsid w:val="00DB18F5"/>
    <w:rsid w:val="00DB198F"/>
    <w:rsid w:val="00DB4F12"/>
    <w:rsid w:val="00DB5E5F"/>
    <w:rsid w:val="00DC162D"/>
    <w:rsid w:val="00DC50C2"/>
    <w:rsid w:val="00DC59CC"/>
    <w:rsid w:val="00DC77D0"/>
    <w:rsid w:val="00DC7E03"/>
    <w:rsid w:val="00DD165E"/>
    <w:rsid w:val="00DD193A"/>
    <w:rsid w:val="00DD26BA"/>
    <w:rsid w:val="00DD2B11"/>
    <w:rsid w:val="00DD544B"/>
    <w:rsid w:val="00DD6F31"/>
    <w:rsid w:val="00DD7257"/>
    <w:rsid w:val="00DD7E23"/>
    <w:rsid w:val="00DE20FD"/>
    <w:rsid w:val="00DE4A2A"/>
    <w:rsid w:val="00DE55F8"/>
    <w:rsid w:val="00DE7E34"/>
    <w:rsid w:val="00DF2D01"/>
    <w:rsid w:val="00DF34A2"/>
    <w:rsid w:val="00DF4231"/>
    <w:rsid w:val="00E0051E"/>
    <w:rsid w:val="00E00600"/>
    <w:rsid w:val="00E006D2"/>
    <w:rsid w:val="00E01C32"/>
    <w:rsid w:val="00E01DA0"/>
    <w:rsid w:val="00E03DBC"/>
    <w:rsid w:val="00E0445A"/>
    <w:rsid w:val="00E04E34"/>
    <w:rsid w:val="00E06051"/>
    <w:rsid w:val="00E107F9"/>
    <w:rsid w:val="00E1134D"/>
    <w:rsid w:val="00E11D8B"/>
    <w:rsid w:val="00E122DB"/>
    <w:rsid w:val="00E1312C"/>
    <w:rsid w:val="00E17405"/>
    <w:rsid w:val="00E210B2"/>
    <w:rsid w:val="00E21E50"/>
    <w:rsid w:val="00E23555"/>
    <w:rsid w:val="00E3075F"/>
    <w:rsid w:val="00E32F18"/>
    <w:rsid w:val="00E3649B"/>
    <w:rsid w:val="00E364A5"/>
    <w:rsid w:val="00E36675"/>
    <w:rsid w:val="00E4027C"/>
    <w:rsid w:val="00E40502"/>
    <w:rsid w:val="00E41FAE"/>
    <w:rsid w:val="00E4282F"/>
    <w:rsid w:val="00E42D50"/>
    <w:rsid w:val="00E4324D"/>
    <w:rsid w:val="00E432DC"/>
    <w:rsid w:val="00E45686"/>
    <w:rsid w:val="00E45A07"/>
    <w:rsid w:val="00E46ADF"/>
    <w:rsid w:val="00E46E99"/>
    <w:rsid w:val="00E47BA7"/>
    <w:rsid w:val="00E47FB8"/>
    <w:rsid w:val="00E50782"/>
    <w:rsid w:val="00E521DB"/>
    <w:rsid w:val="00E5330C"/>
    <w:rsid w:val="00E53DCB"/>
    <w:rsid w:val="00E5511E"/>
    <w:rsid w:val="00E570A2"/>
    <w:rsid w:val="00E62472"/>
    <w:rsid w:val="00E6255D"/>
    <w:rsid w:val="00E63A74"/>
    <w:rsid w:val="00E6476D"/>
    <w:rsid w:val="00E64F03"/>
    <w:rsid w:val="00E6599B"/>
    <w:rsid w:val="00E67F43"/>
    <w:rsid w:val="00E7033D"/>
    <w:rsid w:val="00E71298"/>
    <w:rsid w:val="00E73930"/>
    <w:rsid w:val="00E73A0C"/>
    <w:rsid w:val="00E75FA8"/>
    <w:rsid w:val="00E761F0"/>
    <w:rsid w:val="00E802C1"/>
    <w:rsid w:val="00E8530C"/>
    <w:rsid w:val="00E85722"/>
    <w:rsid w:val="00E859AB"/>
    <w:rsid w:val="00E86B4F"/>
    <w:rsid w:val="00E91304"/>
    <w:rsid w:val="00E93BF9"/>
    <w:rsid w:val="00E95B8F"/>
    <w:rsid w:val="00E960AB"/>
    <w:rsid w:val="00EA0A11"/>
    <w:rsid w:val="00EA122B"/>
    <w:rsid w:val="00EA320A"/>
    <w:rsid w:val="00EA32EE"/>
    <w:rsid w:val="00EA33B9"/>
    <w:rsid w:val="00EA532B"/>
    <w:rsid w:val="00EA5961"/>
    <w:rsid w:val="00EA64BC"/>
    <w:rsid w:val="00EA67BF"/>
    <w:rsid w:val="00EA6A0F"/>
    <w:rsid w:val="00EA6B2B"/>
    <w:rsid w:val="00EA76CB"/>
    <w:rsid w:val="00EA79E1"/>
    <w:rsid w:val="00EB2317"/>
    <w:rsid w:val="00EB3950"/>
    <w:rsid w:val="00EB49AB"/>
    <w:rsid w:val="00EB6292"/>
    <w:rsid w:val="00EC636D"/>
    <w:rsid w:val="00EC7340"/>
    <w:rsid w:val="00ED0581"/>
    <w:rsid w:val="00ED223F"/>
    <w:rsid w:val="00ED2C1C"/>
    <w:rsid w:val="00ED3862"/>
    <w:rsid w:val="00ED6707"/>
    <w:rsid w:val="00EE1B80"/>
    <w:rsid w:val="00EE424C"/>
    <w:rsid w:val="00EE5BF2"/>
    <w:rsid w:val="00EE7E65"/>
    <w:rsid w:val="00EF0A6F"/>
    <w:rsid w:val="00EF0C09"/>
    <w:rsid w:val="00EF23F1"/>
    <w:rsid w:val="00EF29C7"/>
    <w:rsid w:val="00EF46AF"/>
    <w:rsid w:val="00EF5B39"/>
    <w:rsid w:val="00EF5E69"/>
    <w:rsid w:val="00F00D9C"/>
    <w:rsid w:val="00F00F95"/>
    <w:rsid w:val="00F02A6B"/>
    <w:rsid w:val="00F02D6B"/>
    <w:rsid w:val="00F109BA"/>
    <w:rsid w:val="00F13697"/>
    <w:rsid w:val="00F15524"/>
    <w:rsid w:val="00F15FDE"/>
    <w:rsid w:val="00F163D1"/>
    <w:rsid w:val="00F21142"/>
    <w:rsid w:val="00F21CE4"/>
    <w:rsid w:val="00F23DD2"/>
    <w:rsid w:val="00F2560A"/>
    <w:rsid w:val="00F2584C"/>
    <w:rsid w:val="00F25912"/>
    <w:rsid w:val="00F2592C"/>
    <w:rsid w:val="00F31F8F"/>
    <w:rsid w:val="00F3333E"/>
    <w:rsid w:val="00F33DAE"/>
    <w:rsid w:val="00F3792F"/>
    <w:rsid w:val="00F42BC9"/>
    <w:rsid w:val="00F43C0E"/>
    <w:rsid w:val="00F45868"/>
    <w:rsid w:val="00F461E3"/>
    <w:rsid w:val="00F46AF0"/>
    <w:rsid w:val="00F50645"/>
    <w:rsid w:val="00F50A42"/>
    <w:rsid w:val="00F54308"/>
    <w:rsid w:val="00F55647"/>
    <w:rsid w:val="00F5621E"/>
    <w:rsid w:val="00F60629"/>
    <w:rsid w:val="00F6453C"/>
    <w:rsid w:val="00F64D3D"/>
    <w:rsid w:val="00F66CB6"/>
    <w:rsid w:val="00F67E67"/>
    <w:rsid w:val="00F70132"/>
    <w:rsid w:val="00F72BA4"/>
    <w:rsid w:val="00F7442B"/>
    <w:rsid w:val="00F75F22"/>
    <w:rsid w:val="00F76603"/>
    <w:rsid w:val="00F77D42"/>
    <w:rsid w:val="00F80371"/>
    <w:rsid w:val="00F808BF"/>
    <w:rsid w:val="00F814EB"/>
    <w:rsid w:val="00F82AF3"/>
    <w:rsid w:val="00F833AC"/>
    <w:rsid w:val="00F84310"/>
    <w:rsid w:val="00F84A9B"/>
    <w:rsid w:val="00F85A05"/>
    <w:rsid w:val="00F877C5"/>
    <w:rsid w:val="00F9406D"/>
    <w:rsid w:val="00F945D7"/>
    <w:rsid w:val="00F95DE3"/>
    <w:rsid w:val="00F97557"/>
    <w:rsid w:val="00FA07F2"/>
    <w:rsid w:val="00FA0DA9"/>
    <w:rsid w:val="00FA332B"/>
    <w:rsid w:val="00FA45B6"/>
    <w:rsid w:val="00FA5745"/>
    <w:rsid w:val="00FA7A8E"/>
    <w:rsid w:val="00FB1554"/>
    <w:rsid w:val="00FB2739"/>
    <w:rsid w:val="00FB36CE"/>
    <w:rsid w:val="00FB405D"/>
    <w:rsid w:val="00FB6087"/>
    <w:rsid w:val="00FC304C"/>
    <w:rsid w:val="00FC5B8D"/>
    <w:rsid w:val="00FC6396"/>
    <w:rsid w:val="00FC7443"/>
    <w:rsid w:val="00FC76BC"/>
    <w:rsid w:val="00FD0095"/>
    <w:rsid w:val="00FD5549"/>
    <w:rsid w:val="00FD79F1"/>
    <w:rsid w:val="00FE0350"/>
    <w:rsid w:val="00FE09A8"/>
    <w:rsid w:val="00FE1D55"/>
    <w:rsid w:val="00FE391B"/>
    <w:rsid w:val="00FE65EE"/>
    <w:rsid w:val="00FF0C18"/>
    <w:rsid w:val="00FF2A47"/>
    <w:rsid w:val="00FF355F"/>
    <w:rsid w:val="00FF445C"/>
    <w:rsid w:val="00FF6A7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D0234"/>
  <w15:chartTrackingRefBased/>
  <w15:docId w15:val="{43929FFC-BF14-4D90-BFFE-7BE1B191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7C5"/>
    <w:rPr>
      <w:rFonts w:eastAsia="Batang"/>
      <w:sz w:val="24"/>
      <w:szCs w:val="24"/>
      <w:lang w:eastAsia="ko-KR"/>
    </w:rPr>
  </w:style>
  <w:style w:type="paragraph" w:styleId="Titlu1">
    <w:name w:val="heading 1"/>
    <w:basedOn w:val="Normal"/>
    <w:next w:val="Normal"/>
    <w:qFormat/>
    <w:rsid w:val="0088484C"/>
    <w:pPr>
      <w:keepNext/>
      <w:numPr>
        <w:numId w:val="1"/>
      </w:numPr>
      <w:spacing w:before="120" w:after="60"/>
      <w:outlineLvl w:val="0"/>
    </w:pPr>
    <w:rPr>
      <w:rFonts w:eastAsia="Times New Roman"/>
      <w:b/>
      <w:caps/>
      <w:sz w:val="28"/>
      <w:szCs w:val="20"/>
      <w:lang w:val="en-GB" w:eastAsia="en-US"/>
    </w:rPr>
  </w:style>
  <w:style w:type="paragraph" w:styleId="Titlu2">
    <w:name w:val="heading 2"/>
    <w:aliases w:val="Major,2,(cntl 2),Ü2-DVG,h2,level 2,Subhead A,H2,Titre m"/>
    <w:basedOn w:val="Normal"/>
    <w:next w:val="Normal"/>
    <w:qFormat/>
    <w:rsid w:val="0088484C"/>
    <w:pPr>
      <w:keepNext/>
      <w:numPr>
        <w:ilvl w:val="1"/>
        <w:numId w:val="1"/>
      </w:numPr>
      <w:spacing w:before="360" w:after="240"/>
      <w:outlineLvl w:val="1"/>
    </w:pPr>
    <w:rPr>
      <w:rFonts w:eastAsia="Times New Roman"/>
      <w:b/>
      <w:smallCaps/>
      <w:szCs w:val="20"/>
      <w:lang w:val="en-GB" w:eastAsia="en-US"/>
    </w:rPr>
  </w:style>
  <w:style w:type="paragraph" w:styleId="Titlu3">
    <w:name w:val="heading 3"/>
    <w:aliases w:val="No Indent"/>
    <w:basedOn w:val="Normal"/>
    <w:next w:val="Normal"/>
    <w:qFormat/>
    <w:rsid w:val="0088484C"/>
    <w:pPr>
      <w:keepNext/>
      <w:numPr>
        <w:ilvl w:val="2"/>
        <w:numId w:val="1"/>
      </w:numPr>
      <w:spacing w:before="240" w:after="120"/>
      <w:outlineLvl w:val="2"/>
    </w:pPr>
    <w:rPr>
      <w:rFonts w:eastAsia="Times New Roman"/>
      <w:b/>
      <w:szCs w:val="20"/>
      <w:lang w:val="it-IT" w:eastAsia="en-US"/>
    </w:rPr>
  </w:style>
  <w:style w:type="paragraph" w:styleId="Titlu4">
    <w:name w:val="heading 4"/>
    <w:basedOn w:val="Normal"/>
    <w:next w:val="Normal"/>
    <w:qFormat/>
    <w:rsid w:val="0088484C"/>
    <w:pPr>
      <w:keepNext/>
      <w:numPr>
        <w:ilvl w:val="3"/>
        <w:numId w:val="1"/>
      </w:numPr>
      <w:spacing w:before="360" w:after="120"/>
      <w:outlineLvl w:val="3"/>
    </w:pPr>
    <w:rPr>
      <w:rFonts w:eastAsia="Times New Roman"/>
      <w:sz w:val="26"/>
      <w:szCs w:val="20"/>
      <w:lang w:val="it-IT" w:eastAsia="en-US"/>
    </w:rPr>
  </w:style>
  <w:style w:type="paragraph" w:styleId="Titlu5">
    <w:name w:val="heading 5"/>
    <w:basedOn w:val="Normal"/>
    <w:next w:val="Normal"/>
    <w:qFormat/>
    <w:rsid w:val="0088484C"/>
    <w:pPr>
      <w:keepNext/>
      <w:numPr>
        <w:ilvl w:val="4"/>
        <w:numId w:val="1"/>
      </w:numPr>
      <w:spacing w:before="240" w:after="60"/>
      <w:outlineLvl w:val="4"/>
    </w:pPr>
    <w:rPr>
      <w:rFonts w:eastAsia="Times New Roman"/>
      <w:szCs w:val="20"/>
      <w:lang w:val="en-GB" w:eastAsia="en-US"/>
    </w:rPr>
  </w:style>
  <w:style w:type="paragraph" w:styleId="Titlu6">
    <w:name w:val="heading 6"/>
    <w:basedOn w:val="Normal"/>
    <w:next w:val="Normal"/>
    <w:qFormat/>
    <w:rsid w:val="0088484C"/>
    <w:pPr>
      <w:numPr>
        <w:ilvl w:val="5"/>
        <w:numId w:val="1"/>
      </w:numPr>
      <w:tabs>
        <w:tab w:val="left" w:pos="567"/>
      </w:tabs>
      <w:spacing w:before="120" w:after="120" w:line="300" w:lineRule="atLeast"/>
      <w:jc w:val="both"/>
      <w:outlineLvl w:val="5"/>
    </w:pPr>
    <w:rPr>
      <w:rFonts w:eastAsia="Times New Roman"/>
      <w:szCs w:val="20"/>
      <w:lang w:val="en-GB" w:eastAsia="en-US"/>
    </w:rPr>
  </w:style>
  <w:style w:type="paragraph" w:styleId="Titlu7">
    <w:name w:val="heading 7"/>
    <w:basedOn w:val="Normal"/>
    <w:next w:val="Normal"/>
    <w:qFormat/>
    <w:rsid w:val="0088484C"/>
    <w:pPr>
      <w:numPr>
        <w:ilvl w:val="6"/>
        <w:numId w:val="1"/>
      </w:numPr>
      <w:tabs>
        <w:tab w:val="left" w:pos="567"/>
      </w:tabs>
      <w:spacing w:before="80" w:after="80" w:line="300" w:lineRule="atLeast"/>
      <w:jc w:val="both"/>
      <w:outlineLvl w:val="6"/>
    </w:pPr>
    <w:rPr>
      <w:rFonts w:eastAsia="Times New Roman"/>
      <w:szCs w:val="20"/>
      <w:lang w:val="en-US" w:eastAsia="en-US"/>
    </w:rPr>
  </w:style>
  <w:style w:type="paragraph" w:styleId="Titlu8">
    <w:name w:val="heading 8"/>
    <w:aliases w:val="Heading 4 Text"/>
    <w:basedOn w:val="Normal"/>
    <w:next w:val="Normal"/>
    <w:qFormat/>
    <w:rsid w:val="0088484C"/>
    <w:pPr>
      <w:numPr>
        <w:ilvl w:val="7"/>
        <w:numId w:val="1"/>
      </w:numPr>
      <w:spacing w:before="60" w:after="60" w:line="300" w:lineRule="atLeast"/>
      <w:jc w:val="both"/>
      <w:outlineLvl w:val="7"/>
    </w:pPr>
    <w:rPr>
      <w:rFonts w:eastAsia="Times New Roman"/>
      <w:szCs w:val="20"/>
      <w:lang w:val="it-IT" w:eastAsia="en-US"/>
    </w:rPr>
  </w:style>
  <w:style w:type="paragraph" w:styleId="Titlu9">
    <w:name w:val="heading 9"/>
    <w:basedOn w:val="Normal"/>
    <w:next w:val="Normal"/>
    <w:qFormat/>
    <w:rsid w:val="0088484C"/>
    <w:pPr>
      <w:numPr>
        <w:ilvl w:val="8"/>
        <w:numId w:val="1"/>
      </w:numPr>
      <w:spacing w:before="240" w:after="60"/>
      <w:outlineLvl w:val="8"/>
    </w:pPr>
    <w:rPr>
      <w:rFonts w:ascii="Arial" w:eastAsia="Times New Roman" w:hAnsi="Arial"/>
      <w:b/>
      <w:i/>
      <w:sz w:val="18"/>
      <w:szCs w:val="20"/>
      <w:lang w:val="it-IT"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88484C"/>
    <w:pPr>
      <w:tabs>
        <w:tab w:val="center" w:pos="4153"/>
        <w:tab w:val="right" w:pos="8306"/>
      </w:tabs>
    </w:pPr>
    <w:rPr>
      <w:rFonts w:ascii="TimesRomanR" w:eastAsia="Times New Roman" w:hAnsi="TimesRomanR"/>
      <w:szCs w:val="20"/>
      <w:lang w:val="en-AU" w:eastAsia="ro-RO"/>
    </w:rPr>
  </w:style>
  <w:style w:type="paragraph" w:styleId="Antet">
    <w:name w:val="header"/>
    <w:basedOn w:val="Normal"/>
    <w:rsid w:val="0088484C"/>
    <w:pPr>
      <w:tabs>
        <w:tab w:val="center" w:pos="4320"/>
        <w:tab w:val="right" w:pos="8640"/>
      </w:tabs>
    </w:pPr>
  </w:style>
  <w:style w:type="character" w:styleId="Numrdepagin">
    <w:name w:val="page number"/>
    <w:basedOn w:val="Fontdeparagrafimplicit"/>
    <w:rsid w:val="0088484C"/>
  </w:style>
  <w:style w:type="paragraph" w:styleId="Textnotdesubsol">
    <w:name w:val="footnote text"/>
    <w:basedOn w:val="Normal"/>
    <w:semiHidden/>
    <w:rsid w:val="0088484C"/>
    <w:rPr>
      <w:rFonts w:ascii="ArialUpR" w:eastAsia="Times New Roman" w:hAnsi="ArialUpR"/>
      <w:szCs w:val="20"/>
      <w:lang w:val="en-US" w:eastAsia="en-US"/>
    </w:rPr>
  </w:style>
  <w:style w:type="paragraph" w:customStyle="1" w:styleId="Char">
    <w:name w:val="Char"/>
    <w:basedOn w:val="Normal"/>
    <w:rsid w:val="0088484C"/>
    <w:rPr>
      <w:rFonts w:eastAsia="Times New Roman"/>
      <w:lang w:val="pl-PL" w:eastAsia="pl-PL"/>
    </w:rPr>
  </w:style>
  <w:style w:type="paragraph" w:styleId="Corptext">
    <w:name w:val="Body Text"/>
    <w:basedOn w:val="Normal"/>
    <w:rsid w:val="00CB1119"/>
    <w:pPr>
      <w:jc w:val="both"/>
    </w:pPr>
    <w:rPr>
      <w:rFonts w:ascii="ArialUpR" w:eastAsia="Times New Roman" w:hAnsi="ArialUpR"/>
      <w:szCs w:val="20"/>
      <w:lang w:val="en-US" w:eastAsia="en-US"/>
    </w:rPr>
  </w:style>
  <w:style w:type="character" w:styleId="Hyperlink">
    <w:name w:val="Hyperlink"/>
    <w:rsid w:val="00B9602F"/>
    <w:rPr>
      <w:color w:val="0000FF"/>
      <w:u w:val="single"/>
    </w:rPr>
  </w:style>
  <w:style w:type="paragraph" w:customStyle="1" w:styleId="CharCharCharCaracter">
    <w:name w:val="Char Char Char Caracter"/>
    <w:basedOn w:val="Normal"/>
    <w:rsid w:val="00914F75"/>
    <w:rPr>
      <w:rFonts w:eastAsia="Times New Roman"/>
      <w:lang w:val="pl-PL" w:eastAsia="pl-PL"/>
    </w:rPr>
  </w:style>
  <w:style w:type="paragraph" w:customStyle="1" w:styleId="Default">
    <w:name w:val="Default"/>
    <w:rsid w:val="00914F75"/>
    <w:pPr>
      <w:autoSpaceDE w:val="0"/>
      <w:autoSpaceDN w:val="0"/>
      <w:adjustRightInd w:val="0"/>
    </w:pPr>
    <w:rPr>
      <w:rFonts w:ascii="EUAlbertina" w:hAnsi="EUAlbertina" w:cs="EUAlbertina"/>
      <w:color w:val="000000"/>
      <w:sz w:val="24"/>
      <w:szCs w:val="24"/>
    </w:rPr>
  </w:style>
  <w:style w:type="paragraph" w:styleId="TextnBalon">
    <w:name w:val="Balloon Text"/>
    <w:basedOn w:val="Normal"/>
    <w:semiHidden/>
    <w:rsid w:val="0008561D"/>
    <w:rPr>
      <w:rFonts w:ascii="Tahoma" w:hAnsi="Tahoma" w:cs="Tahoma"/>
      <w:sz w:val="16"/>
      <w:szCs w:val="16"/>
    </w:rPr>
  </w:style>
  <w:style w:type="table" w:styleId="Tabelgril">
    <w:name w:val="Table Grid"/>
    <w:basedOn w:val="TabelNormal"/>
    <w:uiPriority w:val="39"/>
    <w:rsid w:val="00383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rsid w:val="00CA3440"/>
    <w:rPr>
      <w:sz w:val="16"/>
      <w:szCs w:val="16"/>
    </w:rPr>
  </w:style>
  <w:style w:type="paragraph" w:styleId="Textcomentariu">
    <w:name w:val="annotation text"/>
    <w:basedOn w:val="Normal"/>
    <w:link w:val="TextcomentariuCaracter"/>
    <w:rsid w:val="00CA3440"/>
    <w:rPr>
      <w:sz w:val="20"/>
      <w:szCs w:val="20"/>
    </w:rPr>
  </w:style>
  <w:style w:type="character" w:customStyle="1" w:styleId="TextcomentariuCaracter">
    <w:name w:val="Text comentariu Caracter"/>
    <w:basedOn w:val="Fontdeparagrafimplicit"/>
    <w:link w:val="Textcomentariu"/>
    <w:rsid w:val="00CA3440"/>
    <w:rPr>
      <w:rFonts w:eastAsia="Batang"/>
      <w:lang w:eastAsia="ko-KR"/>
    </w:rPr>
  </w:style>
  <w:style w:type="paragraph" w:styleId="SubiectComentariu">
    <w:name w:val="annotation subject"/>
    <w:basedOn w:val="Textcomentariu"/>
    <w:next w:val="Textcomentariu"/>
    <w:link w:val="SubiectComentariuCaracter"/>
    <w:rsid w:val="00CA3440"/>
    <w:rPr>
      <w:b/>
      <w:bCs/>
    </w:rPr>
  </w:style>
  <w:style w:type="character" w:customStyle="1" w:styleId="SubiectComentariuCaracter">
    <w:name w:val="Subiect Comentariu Caracter"/>
    <w:basedOn w:val="TextcomentariuCaracter"/>
    <w:link w:val="SubiectComentariu"/>
    <w:rsid w:val="00CA3440"/>
    <w:rPr>
      <w:rFonts w:eastAsia="Batang"/>
      <w:b/>
      <w:bCs/>
      <w:lang w:eastAsia="ko-KR"/>
    </w:rPr>
  </w:style>
  <w:style w:type="paragraph" w:styleId="Listparagraf">
    <w:name w:val="List Paragraph"/>
    <w:basedOn w:val="Normal"/>
    <w:uiPriority w:val="34"/>
    <w:qFormat/>
    <w:rsid w:val="00982969"/>
    <w:pPr>
      <w:ind w:left="720"/>
      <w:contextualSpacing/>
    </w:pPr>
  </w:style>
  <w:style w:type="paragraph" w:styleId="Revizuire">
    <w:name w:val="Revision"/>
    <w:hidden/>
    <w:uiPriority w:val="99"/>
    <w:semiHidden/>
    <w:rsid w:val="00912701"/>
    <w:rPr>
      <w:rFonts w:eastAsia="Batang"/>
      <w:sz w:val="24"/>
      <w:szCs w:val="24"/>
      <w:lang w:eastAsia="ko-KR"/>
    </w:rPr>
  </w:style>
  <w:style w:type="character" w:customStyle="1" w:styleId="SubsolCaracter">
    <w:name w:val="Subsol Caracter"/>
    <w:basedOn w:val="Fontdeparagrafimplicit"/>
    <w:link w:val="Subsol"/>
    <w:uiPriority w:val="99"/>
    <w:rsid w:val="005D6EBF"/>
    <w:rPr>
      <w:rFonts w:ascii="TimesRomanR" w:hAnsi="TimesRomanR"/>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191940">
      <w:bodyDiv w:val="1"/>
      <w:marLeft w:val="0"/>
      <w:marRight w:val="0"/>
      <w:marTop w:val="0"/>
      <w:marBottom w:val="0"/>
      <w:divBdr>
        <w:top w:val="none" w:sz="0" w:space="0" w:color="auto"/>
        <w:left w:val="none" w:sz="0" w:space="0" w:color="auto"/>
        <w:bottom w:val="none" w:sz="0" w:space="0" w:color="auto"/>
        <w:right w:val="none" w:sz="0" w:space="0" w:color="auto"/>
      </w:divBdr>
    </w:div>
    <w:div w:id="1089960662">
      <w:bodyDiv w:val="1"/>
      <w:marLeft w:val="0"/>
      <w:marRight w:val="0"/>
      <w:marTop w:val="0"/>
      <w:marBottom w:val="0"/>
      <w:divBdr>
        <w:top w:val="none" w:sz="0" w:space="0" w:color="auto"/>
        <w:left w:val="none" w:sz="0" w:space="0" w:color="auto"/>
        <w:bottom w:val="none" w:sz="0" w:space="0" w:color="auto"/>
        <w:right w:val="none" w:sz="0" w:space="0" w:color="auto"/>
      </w:divBdr>
    </w:div>
    <w:div w:id="201171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C8F6C7C9734045BB35C16EB2E44A85" ma:contentTypeVersion="7" ma:contentTypeDescription="Create a new document." ma:contentTypeScope="" ma:versionID="f56686d1fae5134b2dabb04475785566">
  <xsd:schema xmlns:xsd="http://www.w3.org/2001/XMLSchema" xmlns:xs="http://www.w3.org/2001/XMLSchema" xmlns:p="http://schemas.microsoft.com/office/2006/metadata/properties" xmlns:ns3="e103ef28-6bfb-4fba-9f6b-5309fb68cbe9" xmlns:ns4="beea60ca-f52b-4550-a268-1535abedad3a" targetNamespace="http://schemas.microsoft.com/office/2006/metadata/properties" ma:root="true" ma:fieldsID="769403b6d8e6ed5ffe6085981e06e0cb" ns3:_="" ns4:_="">
    <xsd:import namespace="e103ef28-6bfb-4fba-9f6b-5309fb68cbe9"/>
    <xsd:import namespace="beea60ca-f52b-4550-a268-1535abedad3a"/>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3ef28-6bfb-4fba-9f6b-5309fb68cbe9"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ingHintHash" ma:index="9" nillable="true" ma:displayName="Sharing Hint Hash" ma:hidden="true" ma:internalName="SharingHintHash" ma:readOnly="true">
      <xsd:simpleType>
        <xsd:restriction base="dms:Text"/>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ea60ca-f52b-4550-a268-1535abedad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eea60ca-f52b-4550-a268-1535abedad3a" xsi:nil="true"/>
  </documentManagement>
</p:properties>
</file>

<file path=customXml/itemProps1.xml><?xml version="1.0" encoding="utf-8"?>
<ds:datastoreItem xmlns:ds="http://schemas.openxmlformats.org/officeDocument/2006/customXml" ds:itemID="{94B1FA44-6D0F-494F-BD9F-0FE89BCFFB16}">
  <ds:schemaRefs>
    <ds:schemaRef ds:uri="http://schemas.microsoft.com/sharepoint/v3/contenttype/forms"/>
  </ds:schemaRefs>
</ds:datastoreItem>
</file>

<file path=customXml/itemProps2.xml><?xml version="1.0" encoding="utf-8"?>
<ds:datastoreItem xmlns:ds="http://schemas.openxmlformats.org/officeDocument/2006/customXml" ds:itemID="{6BF55457-390D-4302-BE23-57295F79A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3ef28-6bfb-4fba-9f6b-5309fb68cbe9"/>
    <ds:schemaRef ds:uri="beea60ca-f52b-4550-a268-1535abeda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5C851A-3037-4847-8D7C-13C1333CF7E1}">
  <ds:schemaRefs>
    <ds:schemaRef ds:uri="http://schemas.openxmlformats.org/officeDocument/2006/bibliography"/>
  </ds:schemaRefs>
</ds:datastoreItem>
</file>

<file path=customXml/itemProps4.xml><?xml version="1.0" encoding="utf-8"?>
<ds:datastoreItem xmlns:ds="http://schemas.openxmlformats.org/officeDocument/2006/customXml" ds:itemID="{DB43D6B2-1F4B-4E8F-9D42-1F1C67A9172A}">
  <ds:schemaRefs>
    <ds:schemaRef ds:uri="http://schemas.microsoft.com/office/2006/metadata/properties"/>
    <ds:schemaRef ds:uri="http://schemas.microsoft.com/office/infopath/2007/PartnerControls"/>
    <ds:schemaRef ds:uri="beea60ca-f52b-4550-a268-1535abedad3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1331</Words>
  <Characters>8606</Characters>
  <Application>Microsoft Office Word</Application>
  <DocSecurity>0</DocSecurity>
  <Lines>71</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Ordin nr</vt:lpstr>
      <vt:lpstr>Ordin nr</vt:lpstr>
    </vt:vector>
  </TitlesOfParts>
  <Company>Hewlett-Packard Company</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 nr</dc:title>
  <dc:subject/>
  <cp:keywords/>
  <cp:revision>5</cp:revision>
  <cp:lastPrinted>2023-12-14T12:27:00Z</cp:lastPrinted>
  <dcterms:created xsi:type="dcterms:W3CDTF">2023-12-15T07:34:00Z</dcterms:created>
  <dcterms:modified xsi:type="dcterms:W3CDTF">2023-12-15T10:19:00Z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0x0101006FC8F6C7C9734045BB35C16EB2E44A85</vt:lpwstr>
  </property>
</Properties>
</file>