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5ACA" w14:textId="77777777" w:rsidR="0083535D" w:rsidRPr="0083535D" w:rsidRDefault="0083535D" w:rsidP="003A6EF0">
      <w:pPr>
        <w:ind w:right="230"/>
        <w:rPr>
          <w:rFonts w:ascii="Times New Roman" w:hAnsi="Times New Roman" w:cs="Times New Roman"/>
          <w:sz w:val="24"/>
          <w:szCs w:val="24"/>
        </w:rPr>
      </w:pPr>
    </w:p>
    <w:p w14:paraId="0AE6204E" w14:textId="77777777" w:rsidR="006805A2" w:rsidRDefault="006805A2" w:rsidP="0083535D">
      <w:pPr>
        <w:rPr>
          <w:rFonts w:ascii="Times New Roman" w:hAnsi="Times New Roman" w:cs="Times New Roman"/>
          <w:b/>
          <w:sz w:val="24"/>
          <w:szCs w:val="24"/>
        </w:rPr>
      </w:pPr>
    </w:p>
    <w:p w14:paraId="5502F523" w14:textId="77777777" w:rsidR="00C67D8D" w:rsidRPr="000828BB" w:rsidRDefault="00C67D8D" w:rsidP="00BD1D56">
      <w:pPr>
        <w:spacing w:line="360" w:lineRule="auto"/>
        <w:jc w:val="center"/>
        <w:rPr>
          <w:rFonts w:ascii="Times New Roman" w:hAnsi="Times New Roman" w:cs="Times New Roman"/>
          <w:b/>
          <w:sz w:val="24"/>
          <w:szCs w:val="24"/>
        </w:rPr>
      </w:pPr>
      <w:r w:rsidRPr="000828BB">
        <w:rPr>
          <w:rFonts w:ascii="Times New Roman" w:hAnsi="Times New Roman" w:cs="Times New Roman"/>
          <w:b/>
          <w:sz w:val="24"/>
          <w:szCs w:val="24"/>
        </w:rPr>
        <w:t xml:space="preserve">Consultation document on discounts, multipliers and seasonal factors </w:t>
      </w:r>
    </w:p>
    <w:p w14:paraId="4248143E" w14:textId="172AC5CC" w:rsidR="00C67D8D" w:rsidRPr="000828BB" w:rsidRDefault="00BD1D56" w:rsidP="00BD1D56">
      <w:pPr>
        <w:spacing w:line="360" w:lineRule="auto"/>
        <w:jc w:val="center"/>
        <w:rPr>
          <w:rFonts w:ascii="Times New Roman" w:hAnsi="Times New Roman" w:cs="Times New Roman"/>
          <w:b/>
          <w:sz w:val="24"/>
          <w:szCs w:val="24"/>
        </w:rPr>
      </w:pPr>
      <w:r w:rsidRPr="000828BB">
        <w:rPr>
          <w:rFonts w:ascii="Times New Roman" w:hAnsi="Times New Roman" w:cs="Times New Roman"/>
          <w:b/>
          <w:sz w:val="24"/>
          <w:szCs w:val="24"/>
        </w:rPr>
        <w:t xml:space="preserve">Romanian Regulatory Authority for Energy - </w:t>
      </w:r>
      <w:r w:rsidR="00C67D8D" w:rsidRPr="000828BB">
        <w:rPr>
          <w:rFonts w:ascii="Times New Roman" w:hAnsi="Times New Roman" w:cs="Times New Roman"/>
          <w:b/>
          <w:sz w:val="24"/>
          <w:szCs w:val="24"/>
        </w:rPr>
        <w:t>ANRE</w:t>
      </w:r>
      <w:r w:rsidR="00B738DF" w:rsidRPr="000828BB">
        <w:rPr>
          <w:rFonts w:ascii="Times New Roman" w:hAnsi="Times New Roman" w:cs="Times New Roman"/>
          <w:b/>
          <w:sz w:val="24"/>
          <w:szCs w:val="24"/>
        </w:rPr>
        <w:t xml:space="preserve"> intend</w:t>
      </w:r>
      <w:r w:rsidR="005E4652" w:rsidRPr="000828BB">
        <w:rPr>
          <w:rFonts w:ascii="Times New Roman" w:hAnsi="Times New Roman" w:cs="Times New Roman"/>
          <w:b/>
          <w:sz w:val="24"/>
          <w:szCs w:val="24"/>
        </w:rPr>
        <w:t>s</w:t>
      </w:r>
      <w:r w:rsidR="00B738DF" w:rsidRPr="000828BB">
        <w:rPr>
          <w:rFonts w:ascii="Times New Roman" w:hAnsi="Times New Roman" w:cs="Times New Roman"/>
          <w:b/>
          <w:sz w:val="24"/>
          <w:szCs w:val="24"/>
        </w:rPr>
        <w:t xml:space="preserve"> to use</w:t>
      </w:r>
      <w:r w:rsidR="00C67D8D" w:rsidRPr="000828BB">
        <w:rPr>
          <w:rFonts w:ascii="Times New Roman" w:hAnsi="Times New Roman" w:cs="Times New Roman"/>
          <w:b/>
          <w:sz w:val="24"/>
          <w:szCs w:val="24"/>
        </w:rPr>
        <w:t xml:space="preserve"> for setting transmission tariffs for 202</w:t>
      </w:r>
      <w:r w:rsidR="00646134">
        <w:rPr>
          <w:rFonts w:ascii="Times New Roman" w:hAnsi="Times New Roman" w:cs="Times New Roman"/>
          <w:b/>
          <w:sz w:val="24"/>
          <w:szCs w:val="24"/>
        </w:rPr>
        <w:t>4</w:t>
      </w:r>
      <w:r w:rsidR="00C67D8D" w:rsidRPr="000828BB">
        <w:rPr>
          <w:rFonts w:ascii="Times New Roman" w:hAnsi="Times New Roman" w:cs="Times New Roman"/>
          <w:b/>
          <w:sz w:val="24"/>
          <w:szCs w:val="24"/>
        </w:rPr>
        <w:t>-202</w:t>
      </w:r>
      <w:r w:rsidR="00646134">
        <w:rPr>
          <w:rFonts w:ascii="Times New Roman" w:hAnsi="Times New Roman" w:cs="Times New Roman"/>
          <w:b/>
          <w:sz w:val="24"/>
          <w:szCs w:val="24"/>
        </w:rPr>
        <w:t>5</w:t>
      </w:r>
      <w:r w:rsidR="00C67D8D" w:rsidRPr="000828BB">
        <w:rPr>
          <w:rFonts w:ascii="Times New Roman" w:hAnsi="Times New Roman" w:cs="Times New Roman"/>
          <w:b/>
          <w:sz w:val="24"/>
          <w:szCs w:val="24"/>
        </w:rPr>
        <w:t xml:space="preserve"> gas year</w:t>
      </w:r>
    </w:p>
    <w:p w14:paraId="10BBF7A3" w14:textId="77777777" w:rsidR="0083535D" w:rsidRPr="000828BB" w:rsidRDefault="0083535D" w:rsidP="0083535D">
      <w:pPr>
        <w:rPr>
          <w:rFonts w:ascii="Times New Roman" w:hAnsi="Times New Roman" w:cs="Times New Roman"/>
          <w:b/>
          <w:sz w:val="24"/>
          <w:szCs w:val="24"/>
        </w:rPr>
      </w:pPr>
    </w:p>
    <w:p w14:paraId="5944D6DB" w14:textId="5A75FD34" w:rsidR="00C67D8D" w:rsidRPr="000828BB" w:rsidRDefault="00C67D8D" w:rsidP="00C67D8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As required by art</w:t>
      </w:r>
      <w:r w:rsidR="00C53BEB" w:rsidRPr="000828BB">
        <w:rPr>
          <w:rFonts w:ascii="Times New Roman" w:hAnsi="Times New Roman" w:cs="Times New Roman"/>
          <w:sz w:val="24"/>
          <w:szCs w:val="24"/>
        </w:rPr>
        <w:t>.</w:t>
      </w:r>
      <w:r w:rsidRPr="000828BB">
        <w:rPr>
          <w:rFonts w:ascii="Times New Roman" w:hAnsi="Times New Roman" w:cs="Times New Roman"/>
          <w:sz w:val="24"/>
          <w:szCs w:val="24"/>
        </w:rPr>
        <w:t xml:space="preserve"> 28 of  Commission Regulation (EU) 2017/460 of 16 March 2017 establishing a network code on harmonised transmission tariff structures for gas, ANRE has to conduct a consultation with the national regulatory authorities of all directly connected Member States and the relevant stakeholders on the following: </w:t>
      </w:r>
    </w:p>
    <w:p w14:paraId="56053561" w14:textId="77777777" w:rsidR="00C67D8D" w:rsidRPr="000828BB" w:rsidRDefault="00C67D8D" w:rsidP="00C67D8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(a) the level of multipliers; </w:t>
      </w:r>
    </w:p>
    <w:p w14:paraId="1878B27E" w14:textId="7EAD444E" w:rsidR="00C67D8D" w:rsidRPr="000828BB" w:rsidRDefault="00C67D8D" w:rsidP="00C67D8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(b) the level of seasonal factors and the calculations set out in </w:t>
      </w:r>
      <w:r w:rsidR="00C53BEB" w:rsidRPr="000828BB">
        <w:rPr>
          <w:rFonts w:ascii="Times New Roman" w:hAnsi="Times New Roman" w:cs="Times New Roman"/>
          <w:sz w:val="24"/>
          <w:szCs w:val="24"/>
        </w:rPr>
        <w:t>a</w:t>
      </w:r>
      <w:r w:rsidRPr="000828BB">
        <w:rPr>
          <w:rFonts w:ascii="Times New Roman" w:hAnsi="Times New Roman" w:cs="Times New Roman"/>
          <w:sz w:val="24"/>
          <w:szCs w:val="24"/>
        </w:rPr>
        <w:t>rt</w:t>
      </w:r>
      <w:r w:rsidR="00C53BEB" w:rsidRPr="000828BB">
        <w:rPr>
          <w:rFonts w:ascii="Times New Roman" w:hAnsi="Times New Roman" w:cs="Times New Roman"/>
          <w:sz w:val="24"/>
          <w:szCs w:val="24"/>
        </w:rPr>
        <w:t xml:space="preserve">. </w:t>
      </w:r>
      <w:r w:rsidRPr="000828BB">
        <w:rPr>
          <w:rFonts w:ascii="Times New Roman" w:hAnsi="Times New Roman" w:cs="Times New Roman"/>
          <w:sz w:val="24"/>
          <w:szCs w:val="24"/>
        </w:rPr>
        <w:t xml:space="preserve">15; </w:t>
      </w:r>
    </w:p>
    <w:p w14:paraId="703242FB" w14:textId="6EFDBB2C" w:rsidR="00C67D8D" w:rsidRPr="000828BB" w:rsidRDefault="00C67D8D" w:rsidP="00C67D8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(c) the levels of discounts set out in </w:t>
      </w:r>
      <w:r w:rsidR="00C53BEB" w:rsidRPr="000828BB">
        <w:rPr>
          <w:rFonts w:ascii="Times New Roman" w:hAnsi="Times New Roman" w:cs="Times New Roman"/>
          <w:sz w:val="24"/>
          <w:szCs w:val="24"/>
        </w:rPr>
        <w:t>a</w:t>
      </w:r>
      <w:r w:rsidRPr="000828BB">
        <w:rPr>
          <w:rFonts w:ascii="Times New Roman" w:hAnsi="Times New Roman" w:cs="Times New Roman"/>
          <w:sz w:val="24"/>
          <w:szCs w:val="24"/>
        </w:rPr>
        <w:t>rticles 9</w:t>
      </w:r>
      <w:r w:rsidR="00C53BEB" w:rsidRPr="000828BB">
        <w:rPr>
          <w:rFonts w:ascii="Times New Roman" w:hAnsi="Times New Roman" w:cs="Times New Roman"/>
          <w:sz w:val="24"/>
          <w:szCs w:val="24"/>
        </w:rPr>
        <w:t xml:space="preserve"> </w:t>
      </w:r>
      <w:r w:rsidRPr="000828BB">
        <w:rPr>
          <w:rFonts w:ascii="Times New Roman" w:hAnsi="Times New Roman" w:cs="Times New Roman"/>
          <w:sz w:val="24"/>
          <w:szCs w:val="24"/>
        </w:rPr>
        <w:t>(2) and 16.</w:t>
      </w:r>
    </w:p>
    <w:p w14:paraId="49B81F6F" w14:textId="73BA7E93" w:rsidR="00C67D8D" w:rsidRPr="000828BB" w:rsidRDefault="00C67D8D" w:rsidP="009B38BE">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For the gas/tariff year 1 octomber 202</w:t>
      </w:r>
      <w:r w:rsidR="00646134">
        <w:rPr>
          <w:rFonts w:ascii="Times New Roman" w:hAnsi="Times New Roman" w:cs="Times New Roman"/>
          <w:sz w:val="24"/>
          <w:szCs w:val="24"/>
        </w:rPr>
        <w:t>4</w:t>
      </w:r>
      <w:r w:rsidRPr="000828BB">
        <w:rPr>
          <w:rFonts w:ascii="Times New Roman" w:hAnsi="Times New Roman" w:cs="Times New Roman"/>
          <w:sz w:val="24"/>
          <w:szCs w:val="24"/>
        </w:rPr>
        <w:t xml:space="preserve"> – 30 september 202</w:t>
      </w:r>
      <w:r w:rsidR="00646134">
        <w:rPr>
          <w:rFonts w:ascii="Times New Roman" w:hAnsi="Times New Roman" w:cs="Times New Roman"/>
          <w:sz w:val="24"/>
          <w:szCs w:val="24"/>
        </w:rPr>
        <w:t>5</w:t>
      </w:r>
      <w:r w:rsidRPr="000828BB">
        <w:rPr>
          <w:rFonts w:ascii="Times New Roman" w:hAnsi="Times New Roman" w:cs="Times New Roman"/>
          <w:sz w:val="24"/>
          <w:szCs w:val="24"/>
        </w:rPr>
        <w:t>, ANRE proposes the calculation of reserve prices for non-yearly standard capacity products for firm capacity with seasonal factors and multipliers.</w:t>
      </w:r>
    </w:p>
    <w:p w14:paraId="462F4B89" w14:textId="11F1BBF1" w:rsidR="008222EF" w:rsidRPr="000828BB" w:rsidRDefault="00C67D8D" w:rsidP="009B38BE">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The level of multipliers and seasonal factors </w:t>
      </w:r>
      <w:r w:rsidR="00326530" w:rsidRPr="000828BB">
        <w:rPr>
          <w:rFonts w:ascii="Times New Roman" w:hAnsi="Times New Roman" w:cs="Times New Roman"/>
          <w:sz w:val="24"/>
          <w:szCs w:val="24"/>
        </w:rPr>
        <w:t>is the same for all entry and exit points.</w:t>
      </w:r>
      <w:r w:rsidRPr="000828BB">
        <w:rPr>
          <w:rFonts w:ascii="Times New Roman" w:hAnsi="Times New Roman" w:cs="Times New Roman"/>
          <w:sz w:val="24"/>
          <w:szCs w:val="24"/>
        </w:rPr>
        <w:t xml:space="preserve"> </w:t>
      </w:r>
    </w:p>
    <w:p w14:paraId="7D5EBE6A" w14:textId="17A96718" w:rsidR="00AA152E" w:rsidRPr="000828BB" w:rsidRDefault="00AA152E" w:rsidP="005B7C3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The aim of using seasonal factors is to induce an increase in the reserved prices over periods with a high transmission system utilization rate and a decrease in the reserved prices over periods with a reduced transmission system utilization rate, to promote an efficient use of the system by applying penalties/incentives to change the flows from the high demand periods (winter) to lower demand periods (summer) and by reducing the negative impact profiled capacity booking may have on the stability of TSO revenue and tariffs. </w:t>
      </w:r>
    </w:p>
    <w:p w14:paraId="0FCEDF73" w14:textId="77777777" w:rsidR="00475378" w:rsidRPr="000828BB" w:rsidRDefault="00326530" w:rsidP="00475378">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 </w:t>
      </w:r>
      <w:r w:rsidR="00475378" w:rsidRPr="000828BB">
        <w:rPr>
          <w:rFonts w:ascii="Times New Roman" w:hAnsi="Times New Roman" w:cs="Times New Roman"/>
          <w:sz w:val="24"/>
          <w:szCs w:val="24"/>
        </w:rPr>
        <w:t xml:space="preserve">The level of the multipliers was established taking into account the following principles: </w:t>
      </w:r>
    </w:p>
    <w:p w14:paraId="230CE679" w14:textId="77777777" w:rsidR="00475378" w:rsidRPr="000828BB" w:rsidRDefault="00475378" w:rsidP="00475378">
      <w:pPr>
        <w:pStyle w:val="ListParagraph"/>
        <w:numPr>
          <w:ilvl w:val="0"/>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ensuring the balance between facilitating short-term gas trade on the one hand, and providing long-term signals for efficient investments in the transmission system and ensuring efficient revenue recovery on the other;</w:t>
      </w:r>
    </w:p>
    <w:p w14:paraId="42C99BA2" w14:textId="77777777" w:rsidR="00475378" w:rsidRPr="000828BB" w:rsidRDefault="00475378" w:rsidP="00475378">
      <w:pPr>
        <w:pStyle w:val="ListParagraph"/>
        <w:numPr>
          <w:ilvl w:val="0"/>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avoiding volatility of tariffs;</w:t>
      </w:r>
    </w:p>
    <w:p w14:paraId="3B9D5C7B" w14:textId="62DD9A96" w:rsidR="00475378" w:rsidRPr="000828BB" w:rsidRDefault="00475378" w:rsidP="00475378">
      <w:pPr>
        <w:pStyle w:val="ListParagraph"/>
        <w:numPr>
          <w:ilvl w:val="0"/>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lastRenderedPageBreak/>
        <w:t>the need to avoid cross-subsidi</w:t>
      </w:r>
      <w:r w:rsidR="00390DF4" w:rsidRPr="000828BB">
        <w:rPr>
          <w:rFonts w:ascii="Times New Roman" w:hAnsi="Times New Roman" w:cs="Times New Roman"/>
          <w:sz w:val="24"/>
          <w:szCs w:val="24"/>
        </w:rPr>
        <w:t>s</w:t>
      </w:r>
      <w:r w:rsidRPr="000828BB">
        <w:rPr>
          <w:rFonts w:ascii="Times New Roman" w:hAnsi="Times New Roman" w:cs="Times New Roman"/>
          <w:sz w:val="24"/>
          <w:szCs w:val="24"/>
        </w:rPr>
        <w:t xml:space="preserve">ation between gas transmission network users (profiled users with a seasonal booking profile vs. flat profile users). </w:t>
      </w:r>
    </w:p>
    <w:p w14:paraId="3ADB30DC" w14:textId="6443F6C6" w:rsidR="00475378" w:rsidRPr="000828BB" w:rsidRDefault="00475378" w:rsidP="00475378">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According to art. 13 of Regulation (EU) No. 460/2017, where seasonal factors are applied, the arithmetic mean over the entire gas year of the product of the multiplier applicable for the respective capacity product and the relevant seasonal factor must be within the following ranges, depending on the type of short-term capacity products: </w:t>
      </w:r>
    </w:p>
    <w:p w14:paraId="21046003" w14:textId="6FEF331A" w:rsidR="00475378" w:rsidRPr="000828BB" w:rsidRDefault="00475378" w:rsidP="00475378">
      <w:pPr>
        <w:pStyle w:val="ListParagraph"/>
        <w:numPr>
          <w:ilvl w:val="0"/>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for quarterly and monthly standard capacity products the level of the average multiplication factor may be any value ranging between 1 and 1,5;</w:t>
      </w:r>
    </w:p>
    <w:p w14:paraId="494F6901" w14:textId="77777777" w:rsidR="00475378" w:rsidRPr="000828BB" w:rsidRDefault="00475378" w:rsidP="00475378">
      <w:pPr>
        <w:pStyle w:val="ListParagraph"/>
        <w:numPr>
          <w:ilvl w:val="0"/>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 xml:space="preserve">for the daily and within-day products, the average level of the average multiplication factor may be any value ranging between: </w:t>
      </w:r>
    </w:p>
    <w:p w14:paraId="7223E786" w14:textId="77777777" w:rsidR="00475378" w:rsidRPr="000828BB" w:rsidRDefault="00475378" w:rsidP="00475378">
      <w:pPr>
        <w:pStyle w:val="ListParagraph"/>
        <w:numPr>
          <w:ilvl w:val="1"/>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 xml:space="preserve">1 and 3 for a transition period of 4 years of application; </w:t>
      </w:r>
    </w:p>
    <w:p w14:paraId="5F084663" w14:textId="38BE287C" w:rsidR="005B7C3D" w:rsidRPr="000828BB" w:rsidRDefault="00475378" w:rsidP="00475378">
      <w:pPr>
        <w:pStyle w:val="ListParagraph"/>
        <w:numPr>
          <w:ilvl w:val="1"/>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1 and 1,5, after the transition period.</w:t>
      </w:r>
    </w:p>
    <w:p w14:paraId="48BD51D7" w14:textId="77777777" w:rsidR="005B7C3D" w:rsidRPr="000828BB" w:rsidRDefault="005B7C3D" w:rsidP="005B7C3D">
      <w:pPr>
        <w:pStyle w:val="ListParagraph"/>
        <w:spacing w:after="0" w:line="240" w:lineRule="auto"/>
        <w:ind w:left="0"/>
        <w:jc w:val="both"/>
        <w:rPr>
          <w:rFonts w:ascii="Segoe UI" w:hAnsi="Segoe UI" w:cs="Segoe UI"/>
          <w:sz w:val="24"/>
          <w:szCs w:val="24"/>
        </w:rPr>
      </w:pPr>
    </w:p>
    <w:p w14:paraId="3DE99979" w14:textId="6C424D41" w:rsidR="00475378" w:rsidRPr="000828BB" w:rsidRDefault="00475378" w:rsidP="009B38BE">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The level of multipliers, seasonal factors</w:t>
      </w:r>
      <w:r w:rsidR="00C53BEB" w:rsidRPr="000828BB">
        <w:rPr>
          <w:rFonts w:ascii="Times New Roman" w:hAnsi="Times New Roman" w:cs="Times New Roman"/>
          <w:sz w:val="24"/>
          <w:szCs w:val="24"/>
        </w:rPr>
        <w:t xml:space="preserve"> and the calculations set out in art. 15 are part of this document and presented as an </w:t>
      </w:r>
      <w:r w:rsidR="00BF3688" w:rsidRPr="000828BB">
        <w:rPr>
          <w:rFonts w:ascii="Times New Roman" w:hAnsi="Times New Roman" w:cs="Times New Roman"/>
          <w:sz w:val="24"/>
          <w:szCs w:val="24"/>
        </w:rPr>
        <w:t>A</w:t>
      </w:r>
      <w:r w:rsidR="00C53BEB" w:rsidRPr="000828BB">
        <w:rPr>
          <w:rFonts w:ascii="Times New Roman" w:hAnsi="Times New Roman" w:cs="Times New Roman"/>
          <w:sz w:val="24"/>
          <w:szCs w:val="24"/>
        </w:rPr>
        <w:t>nnex to it, in electronic Microsoft Excel Worksheet format.</w:t>
      </w:r>
    </w:p>
    <w:p w14:paraId="639324B5" w14:textId="2A280D03" w:rsidR="008222EF" w:rsidRPr="000828BB" w:rsidRDefault="00C53BEB" w:rsidP="009B38BE">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Regarding the level of discounts referred to in art. 9</w:t>
      </w:r>
      <w:r w:rsidR="00BF3688" w:rsidRPr="000828BB">
        <w:rPr>
          <w:rFonts w:ascii="Times New Roman" w:hAnsi="Times New Roman" w:cs="Times New Roman"/>
          <w:sz w:val="24"/>
          <w:szCs w:val="24"/>
        </w:rPr>
        <w:t xml:space="preserve"> (2) and 16, presented also in Annex of this document, ANRE </w:t>
      </w:r>
      <w:r w:rsidR="00AA55DA" w:rsidRPr="000828BB">
        <w:rPr>
          <w:rFonts w:ascii="Times New Roman" w:hAnsi="Times New Roman" w:cs="Times New Roman"/>
          <w:sz w:val="24"/>
          <w:szCs w:val="24"/>
        </w:rPr>
        <w:t>proposes the following:</w:t>
      </w:r>
    </w:p>
    <w:p w14:paraId="2C26FB90" w14:textId="517E96D3" w:rsidR="00AA55DA" w:rsidRPr="000828BB" w:rsidRDefault="00AA55DA" w:rsidP="006120B6">
      <w:pPr>
        <w:pStyle w:val="ListParagraph"/>
        <w:numPr>
          <w:ilvl w:val="0"/>
          <w:numId w:val="8"/>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 xml:space="preserve">the provisions of art. 9 (2) are not applicable </w:t>
      </w:r>
      <w:r w:rsidR="00B738DF" w:rsidRPr="000828BB">
        <w:rPr>
          <w:rFonts w:ascii="Times New Roman" w:hAnsi="Times New Roman" w:cs="Times New Roman"/>
          <w:sz w:val="24"/>
          <w:szCs w:val="24"/>
        </w:rPr>
        <w:t>to</w:t>
      </w:r>
      <w:r w:rsidR="004218B5" w:rsidRPr="000828BB">
        <w:rPr>
          <w:rFonts w:ascii="Times New Roman" w:hAnsi="Times New Roman" w:cs="Times New Roman"/>
          <w:sz w:val="24"/>
          <w:szCs w:val="24"/>
        </w:rPr>
        <w:t xml:space="preserve"> the R</w:t>
      </w:r>
      <w:r w:rsidRPr="000828BB">
        <w:rPr>
          <w:rFonts w:ascii="Times New Roman" w:hAnsi="Times New Roman" w:cs="Times New Roman"/>
          <w:sz w:val="24"/>
          <w:szCs w:val="24"/>
        </w:rPr>
        <w:t>omanian transmission system as no LNG facilities or infrastructure developed with the purpose of ending the isolation of Member States in respect of their gas transmission systems are connected to the system;</w:t>
      </w:r>
    </w:p>
    <w:p w14:paraId="436F92C1" w14:textId="3D1BC2AA" w:rsidR="00B738DF" w:rsidRPr="000828BB" w:rsidRDefault="00B738DF" w:rsidP="006120B6">
      <w:pPr>
        <w:pStyle w:val="ListParagraph"/>
        <w:numPr>
          <w:ilvl w:val="0"/>
          <w:numId w:val="8"/>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for the calculation of reserve prices for standard capacity products for interruptible capacity as set out in art. 16, ANRE proposes the use of:</w:t>
      </w:r>
    </w:p>
    <w:p w14:paraId="224E5418" w14:textId="6F8E38D0" w:rsidR="003F2B2F" w:rsidRPr="000828BB" w:rsidRDefault="003F2B2F" w:rsidP="00B75657">
      <w:pPr>
        <w:pStyle w:val="ListParagraph"/>
        <w:numPr>
          <w:ilvl w:val="1"/>
          <w:numId w:val="8"/>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a</w:t>
      </w:r>
      <w:r w:rsidR="00B738DF" w:rsidRPr="000828BB">
        <w:rPr>
          <w:rFonts w:ascii="Times New Roman" w:hAnsi="Times New Roman" w:cs="Times New Roman"/>
          <w:sz w:val="24"/>
          <w:szCs w:val="24"/>
        </w:rPr>
        <w:t>n ex-ante discount</w:t>
      </w:r>
      <w:r w:rsidR="00646134">
        <w:rPr>
          <w:rFonts w:ascii="Times New Roman" w:hAnsi="Times New Roman" w:cs="Times New Roman"/>
          <w:sz w:val="24"/>
          <w:szCs w:val="24"/>
        </w:rPr>
        <w:t xml:space="preserve"> of </w:t>
      </w:r>
      <w:r w:rsidR="00646134" w:rsidRPr="006F4E18">
        <w:rPr>
          <w:rFonts w:ascii="Times New Roman" w:hAnsi="Times New Roman" w:cs="Times New Roman"/>
          <w:b/>
          <w:sz w:val="24"/>
          <w:szCs w:val="24"/>
        </w:rPr>
        <w:t>13,53%</w:t>
      </w:r>
      <w:r w:rsidR="00B75657" w:rsidRPr="000828BB">
        <w:rPr>
          <w:rFonts w:ascii="Times New Roman" w:hAnsi="Times New Roman" w:cs="Times New Roman"/>
          <w:sz w:val="24"/>
          <w:szCs w:val="24"/>
        </w:rPr>
        <w:t xml:space="preserve"> </w:t>
      </w:r>
      <w:r w:rsidR="00B738DF" w:rsidRPr="000828BB">
        <w:rPr>
          <w:rFonts w:ascii="Times New Roman" w:hAnsi="Times New Roman" w:cs="Times New Roman"/>
          <w:sz w:val="24"/>
          <w:szCs w:val="24"/>
        </w:rPr>
        <w:t xml:space="preserve">applicable to </w:t>
      </w:r>
      <w:r w:rsidRPr="000828BB">
        <w:rPr>
          <w:rFonts w:ascii="Times New Roman" w:hAnsi="Times New Roman" w:cs="Times New Roman"/>
          <w:sz w:val="24"/>
          <w:szCs w:val="24"/>
        </w:rPr>
        <w:t xml:space="preserve">daily standard capacity products for interruptible capacity at the </w:t>
      </w:r>
      <w:r w:rsidR="00184292">
        <w:rPr>
          <w:rFonts w:ascii="Times New Roman" w:hAnsi="Times New Roman" w:cs="Times New Roman"/>
          <w:sz w:val="24"/>
          <w:szCs w:val="24"/>
        </w:rPr>
        <w:t>exit</w:t>
      </w:r>
      <w:r w:rsidRPr="000828BB">
        <w:rPr>
          <w:rFonts w:ascii="Times New Roman" w:hAnsi="Times New Roman" w:cs="Times New Roman"/>
          <w:sz w:val="24"/>
          <w:szCs w:val="24"/>
        </w:rPr>
        <w:t xml:space="preserve"> interconnection point Csanádpalota, from </w:t>
      </w:r>
      <w:r w:rsidR="00184292">
        <w:rPr>
          <w:rFonts w:ascii="Times New Roman" w:hAnsi="Times New Roman" w:cs="Times New Roman"/>
          <w:sz w:val="24"/>
          <w:szCs w:val="24"/>
        </w:rPr>
        <w:t>Romania to Hungary</w:t>
      </w:r>
      <w:r w:rsidRPr="000828BB">
        <w:rPr>
          <w:rFonts w:ascii="Times New Roman" w:hAnsi="Times New Roman" w:cs="Times New Roman"/>
          <w:sz w:val="24"/>
          <w:szCs w:val="24"/>
        </w:rPr>
        <w:t>, based on the capacity interruptions incurred;</w:t>
      </w:r>
    </w:p>
    <w:p w14:paraId="6C6DE755" w14:textId="28579833" w:rsidR="003F2B2F" w:rsidRPr="000828BB" w:rsidRDefault="003F2B2F" w:rsidP="00B75657">
      <w:pPr>
        <w:pStyle w:val="ListParagraph"/>
        <w:numPr>
          <w:ilvl w:val="1"/>
          <w:numId w:val="8"/>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 xml:space="preserve">an ex-post discount, in accordance to art. 16 (4), applicable to all </w:t>
      </w:r>
      <w:r w:rsidR="0063274B" w:rsidRPr="000828BB">
        <w:rPr>
          <w:rFonts w:ascii="Times New Roman" w:hAnsi="Times New Roman" w:cs="Times New Roman"/>
          <w:sz w:val="24"/>
          <w:szCs w:val="24"/>
        </w:rPr>
        <w:t xml:space="preserve">the </w:t>
      </w:r>
      <w:r w:rsidRPr="000828BB">
        <w:rPr>
          <w:rFonts w:ascii="Times New Roman" w:hAnsi="Times New Roman" w:cs="Times New Roman"/>
          <w:sz w:val="24"/>
          <w:szCs w:val="24"/>
        </w:rPr>
        <w:t>other entry/exit points regarding the fact that there was no interruption of capacity due to the physical congestion in the preceding gas year</w:t>
      </w:r>
      <w:r w:rsidR="0063274B" w:rsidRPr="000828BB">
        <w:rPr>
          <w:rFonts w:ascii="Times New Roman" w:hAnsi="Times New Roman" w:cs="Times New Roman"/>
          <w:sz w:val="24"/>
          <w:szCs w:val="24"/>
        </w:rPr>
        <w:t>.</w:t>
      </w:r>
      <w:r w:rsidRPr="000828BB">
        <w:rPr>
          <w:rFonts w:ascii="Times New Roman" w:hAnsi="Times New Roman" w:cs="Times New Roman"/>
          <w:sz w:val="24"/>
          <w:szCs w:val="24"/>
        </w:rPr>
        <w:t xml:space="preserve"> </w:t>
      </w:r>
    </w:p>
    <w:p w14:paraId="78B6A645" w14:textId="4912AFC4" w:rsidR="0063274B" w:rsidRPr="000828BB" w:rsidRDefault="0063274B" w:rsidP="00EF6330">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ANRE invites all interested parties to s</w:t>
      </w:r>
      <w:bookmarkStart w:id="0" w:name="_GoBack"/>
      <w:bookmarkEnd w:id="0"/>
      <w:r w:rsidRPr="000828BB">
        <w:rPr>
          <w:rFonts w:ascii="Times New Roman" w:hAnsi="Times New Roman" w:cs="Times New Roman"/>
          <w:sz w:val="24"/>
          <w:szCs w:val="24"/>
        </w:rPr>
        <w:t xml:space="preserve">ubmit their responses no later than </w:t>
      </w:r>
      <w:r w:rsidR="00184292">
        <w:rPr>
          <w:rFonts w:ascii="Times New Roman" w:hAnsi="Times New Roman" w:cs="Times New Roman"/>
          <w:sz w:val="24"/>
          <w:szCs w:val="24"/>
        </w:rPr>
        <w:t>2</w:t>
      </w:r>
      <w:r w:rsidR="00646134">
        <w:rPr>
          <w:rFonts w:ascii="Times New Roman" w:hAnsi="Times New Roman" w:cs="Times New Roman"/>
          <w:sz w:val="24"/>
          <w:szCs w:val="24"/>
        </w:rPr>
        <w:t>9</w:t>
      </w:r>
      <w:r w:rsidRPr="000828BB">
        <w:rPr>
          <w:rFonts w:ascii="Times New Roman" w:hAnsi="Times New Roman" w:cs="Times New Roman"/>
          <w:sz w:val="24"/>
          <w:szCs w:val="24"/>
        </w:rPr>
        <w:t xml:space="preserve"> </w:t>
      </w:r>
      <w:r w:rsidR="007A3EC9">
        <w:rPr>
          <w:rFonts w:ascii="Times New Roman" w:hAnsi="Times New Roman" w:cs="Times New Roman"/>
          <w:sz w:val="24"/>
          <w:szCs w:val="24"/>
        </w:rPr>
        <w:t>March</w:t>
      </w:r>
      <w:r w:rsidRPr="000828BB">
        <w:rPr>
          <w:rFonts w:ascii="Times New Roman" w:hAnsi="Times New Roman" w:cs="Times New Roman"/>
          <w:sz w:val="24"/>
          <w:szCs w:val="24"/>
        </w:rPr>
        <w:t xml:space="preserve"> 202</w:t>
      </w:r>
      <w:r w:rsidR="00646134">
        <w:rPr>
          <w:rFonts w:ascii="Times New Roman" w:hAnsi="Times New Roman" w:cs="Times New Roman"/>
          <w:sz w:val="24"/>
          <w:szCs w:val="24"/>
        </w:rPr>
        <w:t>4</w:t>
      </w:r>
      <w:r w:rsidRPr="000828BB">
        <w:rPr>
          <w:rFonts w:ascii="Times New Roman" w:hAnsi="Times New Roman" w:cs="Times New Roman"/>
          <w:sz w:val="24"/>
          <w:szCs w:val="24"/>
        </w:rPr>
        <w:t xml:space="preserve"> at </w:t>
      </w:r>
      <w:hyperlink r:id="rId7" w:history="1">
        <w:r w:rsidR="00286708" w:rsidRPr="000828BB">
          <w:rPr>
            <w:rStyle w:val="Hyperlink"/>
            <w:rFonts w:ascii="Times New Roman" w:hAnsi="Times New Roman" w:cs="Times New Roman"/>
            <w:sz w:val="24"/>
            <w:szCs w:val="24"/>
          </w:rPr>
          <w:t>anre</w:t>
        </w:r>
        <w:r w:rsidRPr="000828BB">
          <w:rPr>
            <w:rStyle w:val="Hyperlink"/>
            <w:rFonts w:ascii="Times New Roman" w:hAnsi="Times New Roman" w:cs="Times New Roman"/>
            <w:sz w:val="24"/>
            <w:szCs w:val="24"/>
          </w:rPr>
          <w:t>@anre.ro</w:t>
        </w:r>
      </w:hyperlink>
      <w:r w:rsidRPr="000828BB">
        <w:rPr>
          <w:rFonts w:ascii="Times New Roman" w:hAnsi="Times New Roman" w:cs="Times New Roman"/>
          <w:sz w:val="24"/>
          <w:szCs w:val="24"/>
        </w:rPr>
        <w:t xml:space="preserve">, in Microsoft Word sau Adobe Acrobat editable document. </w:t>
      </w:r>
    </w:p>
    <w:p w14:paraId="6DE0D5B9" w14:textId="04D118E9" w:rsidR="00362619" w:rsidRPr="00362619" w:rsidRDefault="000D55C2" w:rsidP="00362619">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lastRenderedPageBreak/>
        <w:t xml:space="preserve">Also, where the responses submited to ANRE contain any confidential data which can not be published by ANRE on its website as part of summary consultation document, this shall be explicitly and clearly indicated or stated, otherwise ANRE will </w:t>
      </w:r>
      <w:r w:rsidR="00362619" w:rsidRPr="000828BB">
        <w:rPr>
          <w:rFonts w:ascii="Times New Roman" w:hAnsi="Times New Roman" w:cs="Times New Roman"/>
          <w:sz w:val="24"/>
          <w:szCs w:val="24"/>
        </w:rPr>
        <w:t xml:space="preserve">consider as </w:t>
      </w:r>
      <w:r w:rsidRPr="000828BB">
        <w:rPr>
          <w:rFonts w:ascii="Times New Roman" w:hAnsi="Times New Roman" w:cs="Times New Roman"/>
          <w:sz w:val="24"/>
          <w:szCs w:val="24"/>
        </w:rPr>
        <w:t>the responder consents to the</w:t>
      </w:r>
      <w:r w:rsidR="00362619" w:rsidRPr="000828BB">
        <w:rPr>
          <w:rFonts w:ascii="Times New Roman" w:hAnsi="Times New Roman" w:cs="Times New Roman"/>
          <w:sz w:val="24"/>
          <w:szCs w:val="24"/>
        </w:rPr>
        <w:t xml:space="preserve"> </w:t>
      </w:r>
      <w:r w:rsidRPr="000828BB">
        <w:rPr>
          <w:rFonts w:ascii="Times New Roman" w:hAnsi="Times New Roman" w:cs="Times New Roman"/>
          <w:sz w:val="24"/>
          <w:szCs w:val="24"/>
        </w:rPr>
        <w:t xml:space="preserve">processing and publication of </w:t>
      </w:r>
      <w:r w:rsidR="00362619" w:rsidRPr="000828BB">
        <w:rPr>
          <w:rFonts w:ascii="Times New Roman" w:hAnsi="Times New Roman" w:cs="Times New Roman"/>
          <w:sz w:val="24"/>
          <w:szCs w:val="24"/>
        </w:rPr>
        <w:t>the information submitted.</w:t>
      </w:r>
    </w:p>
    <w:sectPr w:rsidR="00362619" w:rsidRPr="00362619" w:rsidSect="0027738A">
      <w:footerReference w:type="default" r:id="rId8"/>
      <w:headerReference w:type="first" r:id="rId9"/>
      <w:footerReference w:type="first" r:id="rId10"/>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5A3E" w14:textId="77777777" w:rsidR="005D6B39" w:rsidRDefault="005D6B39" w:rsidP="003B4C37">
      <w:pPr>
        <w:spacing w:after="0" w:line="240" w:lineRule="auto"/>
      </w:pPr>
      <w:r>
        <w:separator/>
      </w:r>
    </w:p>
  </w:endnote>
  <w:endnote w:type="continuationSeparator" w:id="0">
    <w:p w14:paraId="14940D6D" w14:textId="77777777" w:rsidR="005D6B39" w:rsidRDefault="005D6B39"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14:paraId="10166C1A" w14:textId="00AD41B2" w:rsidR="00561D6D" w:rsidRDefault="00561D6D">
        <w:pPr>
          <w:pStyle w:val="Footer"/>
          <w:jc w:val="center"/>
        </w:pPr>
        <w:r>
          <w:fldChar w:fldCharType="begin"/>
        </w:r>
        <w:r>
          <w:instrText xml:space="preserve"> PAGE   \* MERGEFORMAT </w:instrText>
        </w:r>
        <w:r>
          <w:fldChar w:fldCharType="separate"/>
        </w:r>
        <w:r w:rsidR="004218B5">
          <w:rPr>
            <w:noProof/>
          </w:rPr>
          <w:t>2</w:t>
        </w:r>
        <w:r>
          <w:rPr>
            <w:noProof/>
          </w:rPr>
          <w:fldChar w:fldCharType="end"/>
        </w:r>
      </w:p>
    </w:sdtContent>
  </w:sdt>
  <w:p w14:paraId="473DDA77"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BA91"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20781EB9"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13051" w14:textId="77777777" w:rsidR="005D6B39" w:rsidRDefault="005D6B39" w:rsidP="003B4C37">
      <w:pPr>
        <w:spacing w:after="0" w:line="240" w:lineRule="auto"/>
      </w:pPr>
      <w:r>
        <w:separator/>
      </w:r>
    </w:p>
  </w:footnote>
  <w:footnote w:type="continuationSeparator" w:id="0">
    <w:p w14:paraId="492DB223" w14:textId="77777777" w:rsidR="005D6B39" w:rsidRDefault="005D6B39"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9214" w14:textId="1907191F" w:rsidR="003927D9" w:rsidRDefault="006E0DF7" w:rsidP="003927D9">
    <w:pPr>
      <w:pStyle w:val="Header"/>
      <w:tabs>
        <w:tab w:val="clear" w:pos="9026"/>
        <w:tab w:val="right" w:pos="7349"/>
      </w:tabs>
    </w:pPr>
    <w:r>
      <w:rPr>
        <w:noProof/>
        <w:lang w:eastAsia="ro-RO"/>
      </w:rPr>
      <mc:AlternateContent>
        <mc:Choice Requires="wps">
          <w:drawing>
            <wp:anchor distT="0" distB="0" distL="114300" distR="114300" simplePos="0" relativeHeight="251659264" behindDoc="0" locked="0" layoutInCell="1" allowOverlap="1" wp14:anchorId="710D5F03" wp14:editId="405B7F7F">
              <wp:simplePos x="0" y="0"/>
              <wp:positionH relativeFrom="margin">
                <wp:align>center</wp:align>
              </wp:positionH>
              <wp:positionV relativeFrom="paragraph">
                <wp:posOffset>-123190</wp:posOffset>
              </wp:positionV>
              <wp:extent cx="5191125" cy="7143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E81F7" w14:textId="7A6A3E3D" w:rsidR="00F41F9C" w:rsidRPr="00F41F9C" w:rsidRDefault="00F41F9C" w:rsidP="00F41F9C">
                          <w:pPr>
                            <w:spacing w:after="0" w:line="360" w:lineRule="auto"/>
                            <w:jc w:val="center"/>
                            <w:rPr>
                              <w:rFonts w:ascii="Arial" w:hAnsi="Arial" w:cs="Arial"/>
                              <w:b/>
                              <w:lang w:val="en-US"/>
                            </w:rPr>
                          </w:pPr>
                          <w:r w:rsidRPr="00F41F9C">
                            <w:rPr>
                              <w:rFonts w:ascii="Arial" w:hAnsi="Arial" w:cs="Arial"/>
                              <w:b/>
                              <w:lang w:val="en-US"/>
                            </w:rPr>
                            <w:t>ROMANIAN REGULATORY AUTHORITY FOR ENERGY</w:t>
                          </w:r>
                        </w:p>
                        <w:p w14:paraId="58422D0B" w14:textId="77777777" w:rsidR="0083535D" w:rsidRDefault="0083535D" w:rsidP="003B4C37">
                          <w:pPr>
                            <w:spacing w:after="0" w:line="240" w:lineRule="auto"/>
                            <w:jc w:val="center"/>
                            <w:rPr>
                              <w:rFonts w:ascii="Arial" w:hAnsi="Arial" w:cs="Arial"/>
                              <w:sz w:val="20"/>
                            </w:rPr>
                          </w:pPr>
                        </w:p>
                        <w:p w14:paraId="68D133B1" w14:textId="77777777" w:rsidR="00F41F9C" w:rsidRPr="004B1447" w:rsidRDefault="00F41F9C" w:rsidP="003B4C3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D5F03" id="_x0000_t202" coordsize="21600,21600" o:spt="202" path="m,l,21600r21600,l21600,xe">
              <v:stroke joinstyle="miter"/>
              <v:path gradientshapeok="t" o:connecttype="rect"/>
            </v:shapetype>
            <v:shape id="Text Box 1" o:spid="_x0000_s1026" type="#_x0000_t202" style="position:absolute;margin-left:0;margin-top:-9.7pt;width:408.75pt;height:5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" filled="f" stroked="f" strokeweight=".5pt">
              <v:textbox>
                <w:txbxContent>
                  <w:p w14:paraId="34DE81F7" w14:textId="7A6A3E3D" w:rsidR="00F41F9C" w:rsidRPr="00F41F9C" w:rsidRDefault="00F41F9C" w:rsidP="00F41F9C">
                    <w:pPr>
                      <w:spacing w:after="0" w:line="360" w:lineRule="auto"/>
                      <w:jc w:val="center"/>
                      <w:rPr>
                        <w:rFonts w:ascii="Arial" w:hAnsi="Arial" w:cs="Arial"/>
                        <w:b/>
                        <w:lang w:val="en-US"/>
                      </w:rPr>
                    </w:pPr>
                    <w:r w:rsidRPr="00F41F9C">
                      <w:rPr>
                        <w:rFonts w:ascii="Arial" w:hAnsi="Arial" w:cs="Arial"/>
                        <w:b/>
                        <w:lang w:val="en-US"/>
                      </w:rPr>
                      <w:t>ROMANIAN REGULATORY AUTHORITY FOR ENERGY</w:t>
                    </w:r>
                  </w:p>
                  <w:p w14:paraId="58422D0B" w14:textId="77777777" w:rsidR="0083535D" w:rsidRDefault="0083535D" w:rsidP="003B4C37">
                    <w:pPr>
                      <w:spacing w:after="0" w:line="240" w:lineRule="auto"/>
                      <w:jc w:val="center"/>
                      <w:rPr>
                        <w:rFonts w:ascii="Arial" w:hAnsi="Arial" w:cs="Arial"/>
                        <w:sz w:val="20"/>
                      </w:rPr>
                    </w:pPr>
                  </w:p>
                  <w:p w14:paraId="68D133B1" w14:textId="77777777" w:rsidR="00F41F9C" w:rsidRPr="004B1447" w:rsidRDefault="00F41F9C" w:rsidP="003B4C37">
                    <w:pPr>
                      <w:spacing w:after="0" w:line="240" w:lineRule="auto"/>
                      <w:jc w:val="center"/>
                      <w:rPr>
                        <w:rFonts w:ascii="Arial" w:hAnsi="Arial" w:cs="Arial"/>
                        <w:sz w:val="20"/>
                      </w:rPr>
                    </w:pPr>
                  </w:p>
                </w:txbxContent>
              </v:textbox>
              <w10:wrap anchorx="margin"/>
            </v:shape>
          </w:pict>
        </mc:Fallback>
      </mc:AlternateContent>
    </w:r>
    <w:r w:rsidR="003927D9">
      <w:rPr>
        <w:noProof/>
        <w:lang w:eastAsia="ro-RO"/>
      </w:rPr>
      <w:drawing>
        <wp:inline distT="0" distB="0" distL="0" distR="0" wp14:anchorId="6D963C45" wp14:editId="37931269">
          <wp:extent cx="834390" cy="7076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0027738A">
      <w:rPr>
        <w:noProof/>
        <w:lang w:eastAsia="ro-RO"/>
      </w:rPr>
      <w:drawing>
        <wp:anchor distT="0" distB="0" distL="114300" distR="114300" simplePos="0" relativeHeight="251661312" behindDoc="1" locked="0" layoutInCell="1" allowOverlap="1" wp14:anchorId="20361CFD" wp14:editId="5702DD64">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3B4C37" w:rsidRPr="006521DE">
      <w:rPr>
        <w:noProof/>
        <w:lang w:val="en-GB" w:eastAsia="en-GB"/>
      </w:rPr>
      <w:t xml:space="preserve"> </w:t>
    </w:r>
    <w:r w:rsidR="003B4C37">
      <w:t xml:space="preserve">                                                                                                                                                                </w:t>
    </w:r>
  </w:p>
  <w:p w14:paraId="0B4DF338" w14:textId="77777777" w:rsidR="003B4C37" w:rsidRDefault="0027738A" w:rsidP="003927D9">
    <w:pPr>
      <w:pStyle w:val="Header"/>
      <w:tabs>
        <w:tab w:val="clear" w:pos="9026"/>
        <w:tab w:val="right" w:pos="7349"/>
      </w:tabs>
    </w:pPr>
    <w:r>
      <w:rPr>
        <w:noProof/>
        <w:lang w:eastAsia="ro-RO"/>
      </w:rPr>
      <mc:AlternateContent>
        <mc:Choice Requires="wps">
          <w:drawing>
            <wp:anchor distT="0" distB="0" distL="114300" distR="114300" simplePos="0" relativeHeight="251660288" behindDoc="0" locked="0" layoutInCell="1" allowOverlap="1" wp14:anchorId="23F42A1C" wp14:editId="69003369">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424B74"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15D"/>
    <w:multiLevelType w:val="hybridMultilevel"/>
    <w:tmpl w:val="CC126DDE"/>
    <w:lvl w:ilvl="0" w:tplc="0410000B">
      <w:start w:val="1"/>
      <w:numFmt w:val="bullet"/>
      <w:pStyle w:val="ListBullet3"/>
      <w:lvlText w:val=""/>
      <w:lvlJc w:val="left"/>
      <w:pPr>
        <w:tabs>
          <w:tab w:val="num" w:pos="360"/>
        </w:tabs>
        <w:ind w:left="360" w:hanging="360"/>
      </w:pPr>
      <w:rPr>
        <w:rFonts w:ascii="Wingdings" w:hAnsi="Wingdings" w:hint="default"/>
      </w:rPr>
    </w:lvl>
    <w:lvl w:ilvl="1" w:tplc="0C07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37EB"/>
    <w:multiLevelType w:val="hybridMultilevel"/>
    <w:tmpl w:val="10A846D4"/>
    <w:lvl w:ilvl="0" w:tplc="5742FDE6">
      <w:start w:val="1"/>
      <w:numFmt w:val="lowerLetter"/>
      <w:lvlText w:val="(%1)"/>
      <w:lvlJc w:val="left"/>
      <w:pPr>
        <w:ind w:left="4083" w:hanging="1128"/>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2" w15:restartNumberingAfterBreak="0">
    <w:nsid w:val="182E4079"/>
    <w:multiLevelType w:val="hybridMultilevel"/>
    <w:tmpl w:val="F2B6C85E"/>
    <w:lvl w:ilvl="0" w:tplc="380A3AC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83507A"/>
    <w:multiLevelType w:val="hybridMultilevel"/>
    <w:tmpl w:val="7A347EB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BA135C"/>
    <w:multiLevelType w:val="hybridMultilevel"/>
    <w:tmpl w:val="BDE45BF0"/>
    <w:lvl w:ilvl="0" w:tplc="0409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5" w15:restartNumberingAfterBreak="0">
    <w:nsid w:val="3EC01DAC"/>
    <w:multiLevelType w:val="hybridMultilevel"/>
    <w:tmpl w:val="F26218C0"/>
    <w:lvl w:ilvl="0" w:tplc="5544A2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E70D68"/>
    <w:multiLevelType w:val="hybridMultilevel"/>
    <w:tmpl w:val="7DD24944"/>
    <w:lvl w:ilvl="0" w:tplc="39F61E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A0642"/>
    <w:multiLevelType w:val="hybridMultilevel"/>
    <w:tmpl w:val="5FD009C2"/>
    <w:lvl w:ilvl="0" w:tplc="0EC03C14">
      <w:start w:val="3"/>
      <w:numFmt w:val="bullet"/>
      <w:lvlText w:val="-"/>
      <w:lvlJc w:val="left"/>
      <w:pPr>
        <w:ind w:left="1080" w:hanging="360"/>
      </w:pPr>
      <w:rPr>
        <w:rFonts w:ascii="Calibri" w:eastAsiaTheme="minorHAnsi" w:hAnsi="Calibri" w:cs="Calibri"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800A91"/>
    <w:multiLevelType w:val="hybridMultilevel"/>
    <w:tmpl w:val="407EA62C"/>
    <w:lvl w:ilvl="0" w:tplc="9C4221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1"/>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C37"/>
    <w:rsid w:val="00025E41"/>
    <w:rsid w:val="0003152F"/>
    <w:rsid w:val="00060F44"/>
    <w:rsid w:val="000828BB"/>
    <w:rsid w:val="00096493"/>
    <w:rsid w:val="000D4689"/>
    <w:rsid w:val="000D55C2"/>
    <w:rsid w:val="000E6DB7"/>
    <w:rsid w:val="000F4624"/>
    <w:rsid w:val="00111004"/>
    <w:rsid w:val="00123A54"/>
    <w:rsid w:val="00127E64"/>
    <w:rsid w:val="00130459"/>
    <w:rsid w:val="0013274F"/>
    <w:rsid w:val="00147AF4"/>
    <w:rsid w:val="00151F57"/>
    <w:rsid w:val="00160D1D"/>
    <w:rsid w:val="00172D21"/>
    <w:rsid w:val="00184292"/>
    <w:rsid w:val="001B3810"/>
    <w:rsid w:val="001C5EAA"/>
    <w:rsid w:val="001D7EE6"/>
    <w:rsid w:val="001E6106"/>
    <w:rsid w:val="001F6855"/>
    <w:rsid w:val="002223F9"/>
    <w:rsid w:val="002349B4"/>
    <w:rsid w:val="0027536B"/>
    <w:rsid w:val="0027738A"/>
    <w:rsid w:val="00286708"/>
    <w:rsid w:val="002B3467"/>
    <w:rsid w:val="00301D0A"/>
    <w:rsid w:val="00315655"/>
    <w:rsid w:val="00326530"/>
    <w:rsid w:val="0034627F"/>
    <w:rsid w:val="00362619"/>
    <w:rsid w:val="00371041"/>
    <w:rsid w:val="0037242D"/>
    <w:rsid w:val="003744AB"/>
    <w:rsid w:val="00383E23"/>
    <w:rsid w:val="003842D0"/>
    <w:rsid w:val="003850FE"/>
    <w:rsid w:val="00390DF4"/>
    <w:rsid w:val="003927D9"/>
    <w:rsid w:val="00395D85"/>
    <w:rsid w:val="003A6EF0"/>
    <w:rsid w:val="003B0ECB"/>
    <w:rsid w:val="003B4C37"/>
    <w:rsid w:val="003D5D85"/>
    <w:rsid w:val="003F2B2F"/>
    <w:rsid w:val="00406E37"/>
    <w:rsid w:val="004218B5"/>
    <w:rsid w:val="00437C42"/>
    <w:rsid w:val="00444064"/>
    <w:rsid w:val="00454150"/>
    <w:rsid w:val="0047208B"/>
    <w:rsid w:val="00475378"/>
    <w:rsid w:val="004C0B86"/>
    <w:rsid w:val="00561D6D"/>
    <w:rsid w:val="005A480A"/>
    <w:rsid w:val="005A79D2"/>
    <w:rsid w:val="005B7C3D"/>
    <w:rsid w:val="005D2C93"/>
    <w:rsid w:val="005D6B39"/>
    <w:rsid w:val="005E003D"/>
    <w:rsid w:val="005E4652"/>
    <w:rsid w:val="005F3D43"/>
    <w:rsid w:val="006120B6"/>
    <w:rsid w:val="00620875"/>
    <w:rsid w:val="00630ACF"/>
    <w:rsid w:val="0063274B"/>
    <w:rsid w:val="00646134"/>
    <w:rsid w:val="00654DAE"/>
    <w:rsid w:val="006805A2"/>
    <w:rsid w:val="00685C42"/>
    <w:rsid w:val="006877B6"/>
    <w:rsid w:val="006A2FB3"/>
    <w:rsid w:val="006E0DF7"/>
    <w:rsid w:val="006F4E18"/>
    <w:rsid w:val="00710579"/>
    <w:rsid w:val="00783416"/>
    <w:rsid w:val="007854B6"/>
    <w:rsid w:val="007A183A"/>
    <w:rsid w:val="007A3EC9"/>
    <w:rsid w:val="007B3DCB"/>
    <w:rsid w:val="007C0BC0"/>
    <w:rsid w:val="007E7DE0"/>
    <w:rsid w:val="008222EF"/>
    <w:rsid w:val="00827CDE"/>
    <w:rsid w:val="0083535D"/>
    <w:rsid w:val="00845749"/>
    <w:rsid w:val="00854221"/>
    <w:rsid w:val="00861151"/>
    <w:rsid w:val="008722F6"/>
    <w:rsid w:val="00877AEF"/>
    <w:rsid w:val="00895766"/>
    <w:rsid w:val="008B1298"/>
    <w:rsid w:val="008B5C27"/>
    <w:rsid w:val="008D7198"/>
    <w:rsid w:val="008D7A6B"/>
    <w:rsid w:val="008E47A5"/>
    <w:rsid w:val="008F401E"/>
    <w:rsid w:val="00923D34"/>
    <w:rsid w:val="009458F5"/>
    <w:rsid w:val="00972EB2"/>
    <w:rsid w:val="00977A1D"/>
    <w:rsid w:val="00977C43"/>
    <w:rsid w:val="009B38BE"/>
    <w:rsid w:val="009C01B6"/>
    <w:rsid w:val="00A06EE0"/>
    <w:rsid w:val="00A14658"/>
    <w:rsid w:val="00A36ACB"/>
    <w:rsid w:val="00A43E22"/>
    <w:rsid w:val="00A946CF"/>
    <w:rsid w:val="00AA152E"/>
    <w:rsid w:val="00AA55DA"/>
    <w:rsid w:val="00AD585D"/>
    <w:rsid w:val="00AE6FF1"/>
    <w:rsid w:val="00AF0919"/>
    <w:rsid w:val="00B21FF5"/>
    <w:rsid w:val="00B25732"/>
    <w:rsid w:val="00B31376"/>
    <w:rsid w:val="00B56190"/>
    <w:rsid w:val="00B705D6"/>
    <w:rsid w:val="00B738DF"/>
    <w:rsid w:val="00B75657"/>
    <w:rsid w:val="00B81C1F"/>
    <w:rsid w:val="00BA16A5"/>
    <w:rsid w:val="00BC2B81"/>
    <w:rsid w:val="00BD1BCD"/>
    <w:rsid w:val="00BD1D56"/>
    <w:rsid w:val="00BD2AD7"/>
    <w:rsid w:val="00BE1761"/>
    <w:rsid w:val="00BE3B1E"/>
    <w:rsid w:val="00BF3688"/>
    <w:rsid w:val="00C317E8"/>
    <w:rsid w:val="00C410BE"/>
    <w:rsid w:val="00C45609"/>
    <w:rsid w:val="00C53BEB"/>
    <w:rsid w:val="00C67D8D"/>
    <w:rsid w:val="00C70586"/>
    <w:rsid w:val="00C73C28"/>
    <w:rsid w:val="00C924BC"/>
    <w:rsid w:val="00CA5684"/>
    <w:rsid w:val="00CD3669"/>
    <w:rsid w:val="00CD4C94"/>
    <w:rsid w:val="00CD580F"/>
    <w:rsid w:val="00D077C2"/>
    <w:rsid w:val="00D10086"/>
    <w:rsid w:val="00D16FE8"/>
    <w:rsid w:val="00D17C7B"/>
    <w:rsid w:val="00D47766"/>
    <w:rsid w:val="00D66765"/>
    <w:rsid w:val="00DA485D"/>
    <w:rsid w:val="00DA6ECF"/>
    <w:rsid w:val="00E97B80"/>
    <w:rsid w:val="00EA2F0B"/>
    <w:rsid w:val="00EF6330"/>
    <w:rsid w:val="00F12827"/>
    <w:rsid w:val="00F33DAB"/>
    <w:rsid w:val="00F41F9C"/>
    <w:rsid w:val="00F80B77"/>
    <w:rsid w:val="00F90F91"/>
    <w:rsid w:val="00F9566B"/>
    <w:rsid w:val="00FA5BB2"/>
    <w:rsid w:val="00FD6B11"/>
    <w:rsid w:val="00FE3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63B5F6"/>
  <w15:docId w15:val="{DAB68614-7FAB-480D-8D8E-74FF053F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3D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ListParagraph">
    <w:name w:val="List Paragraph"/>
    <w:basedOn w:val="Normal"/>
    <w:uiPriority w:val="34"/>
    <w:qFormat/>
    <w:rsid w:val="00D10086"/>
    <w:pPr>
      <w:ind w:left="720"/>
      <w:contextualSpacing/>
    </w:pPr>
  </w:style>
  <w:style w:type="character" w:customStyle="1" w:styleId="Heading3Char">
    <w:name w:val="Heading 3 Char"/>
    <w:basedOn w:val="DefaultParagraphFont"/>
    <w:link w:val="Heading3"/>
    <w:uiPriority w:val="9"/>
    <w:semiHidden/>
    <w:rsid w:val="00F33DAB"/>
    <w:rPr>
      <w:rFonts w:asciiTheme="majorHAnsi" w:eastAsiaTheme="majorEastAsia" w:hAnsiTheme="majorHAnsi" w:cstheme="majorBidi"/>
      <w:color w:val="1F4D78" w:themeColor="accent1" w:themeShade="7F"/>
      <w:sz w:val="24"/>
      <w:szCs w:val="24"/>
      <w:lang w:val="ro-RO"/>
    </w:rPr>
  </w:style>
  <w:style w:type="paragraph" w:styleId="ListBullet3">
    <w:name w:val="List Bullet 3"/>
    <w:basedOn w:val="Normal"/>
    <w:autoRedefine/>
    <w:uiPriority w:val="99"/>
    <w:semiHidden/>
    <w:unhideWhenUsed/>
    <w:rsid w:val="00AE6FF1"/>
    <w:pPr>
      <w:numPr>
        <w:numId w:val="4"/>
      </w:numPr>
      <w:tabs>
        <w:tab w:val="clear" w:pos="360"/>
        <w:tab w:val="num" w:pos="926"/>
      </w:tabs>
      <w:spacing w:after="0" w:line="240" w:lineRule="auto"/>
      <w:ind w:left="926"/>
    </w:pPr>
    <w:rPr>
      <w:rFonts w:ascii="Times New Roman" w:eastAsia="Times New Roman" w:hAnsi="Times New Roman" w:cs="Times New Roman"/>
      <w:sz w:val="24"/>
      <w:szCs w:val="24"/>
      <w:lang w:val="it-IT" w:eastAsia="it-IT"/>
    </w:rPr>
  </w:style>
  <w:style w:type="character" w:styleId="Hyperlink">
    <w:name w:val="Hyperlink"/>
    <w:basedOn w:val="DefaultParagraphFont"/>
    <w:uiPriority w:val="99"/>
    <w:unhideWhenUsed/>
    <w:rsid w:val="006805A2"/>
    <w:rPr>
      <w:color w:val="0563C1" w:themeColor="hyperlink"/>
      <w:u w:val="single"/>
    </w:rPr>
  </w:style>
  <w:style w:type="character" w:customStyle="1" w:styleId="UnresolvedMention1">
    <w:name w:val="Unresolved Mention1"/>
    <w:basedOn w:val="DefaultParagraphFont"/>
    <w:uiPriority w:val="99"/>
    <w:semiHidden/>
    <w:unhideWhenUsed/>
    <w:rsid w:val="006805A2"/>
    <w:rPr>
      <w:color w:val="605E5C"/>
      <w:shd w:val="clear" w:color="auto" w:fill="E1DFDD"/>
    </w:rPr>
  </w:style>
  <w:style w:type="character" w:customStyle="1" w:styleId="UnresolvedMention2">
    <w:name w:val="Unresolved Mention2"/>
    <w:basedOn w:val="DefaultParagraphFont"/>
    <w:uiPriority w:val="99"/>
    <w:semiHidden/>
    <w:unhideWhenUsed/>
    <w:rsid w:val="00B705D6"/>
    <w:rPr>
      <w:color w:val="605E5C"/>
      <w:shd w:val="clear" w:color="auto" w:fill="E1DFDD"/>
    </w:rPr>
  </w:style>
  <w:style w:type="paragraph" w:customStyle="1" w:styleId="CharCharCharChar1">
    <w:name w:val="Char Char Char Char"/>
    <w:basedOn w:val="Normal"/>
    <w:rsid w:val="009B38BE"/>
    <w:pPr>
      <w:spacing w:after="0" w:line="240" w:lineRule="auto"/>
    </w:pPr>
    <w:rPr>
      <w:rFonts w:ascii="Times New Roman" w:eastAsia="Times New Roman" w:hAnsi="Times New Roman" w:cs="Times New Roman"/>
      <w:noProof/>
      <w:sz w:val="24"/>
      <w:szCs w:val="24"/>
      <w:lang w:val="pl-PL" w:eastAsia="pl-PL"/>
    </w:rPr>
  </w:style>
  <w:style w:type="paragraph" w:styleId="BodyTextIndent2">
    <w:name w:val="Body Text Indent 2"/>
    <w:basedOn w:val="Normal"/>
    <w:link w:val="BodyTextIndent2Char"/>
    <w:rsid w:val="008722F6"/>
    <w:pPr>
      <w:spacing w:after="0" w:line="240" w:lineRule="auto"/>
      <w:ind w:firstLine="72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8722F6"/>
    <w:rPr>
      <w:rFonts w:ascii="Times New Roman" w:eastAsia="Times New Roman" w:hAnsi="Times New Roman" w:cs="Times New Roman"/>
      <w:sz w:val="28"/>
      <w:szCs w:val="24"/>
      <w:lang w:val="ro-RO"/>
    </w:rPr>
  </w:style>
  <w:style w:type="paragraph" w:customStyle="1" w:styleId="Default">
    <w:name w:val="Default"/>
    <w:rsid w:val="00C67D8D"/>
    <w:pPr>
      <w:autoSpaceDE w:val="0"/>
      <w:autoSpaceDN w:val="0"/>
      <w:adjustRightInd w:val="0"/>
      <w:spacing w:after="0" w:line="240" w:lineRule="auto"/>
    </w:pPr>
    <w:rPr>
      <w:rFonts w:ascii="EUAlbertina" w:hAnsi="EUAlbertina" w:cs="EUAlberti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09375">
      <w:bodyDiv w:val="1"/>
      <w:marLeft w:val="0"/>
      <w:marRight w:val="0"/>
      <w:marTop w:val="0"/>
      <w:marBottom w:val="0"/>
      <w:divBdr>
        <w:top w:val="none" w:sz="0" w:space="0" w:color="auto"/>
        <w:left w:val="none" w:sz="0" w:space="0" w:color="auto"/>
        <w:bottom w:val="none" w:sz="0" w:space="0" w:color="auto"/>
        <w:right w:val="none" w:sz="0" w:space="0" w:color="auto"/>
      </w:divBdr>
    </w:div>
    <w:div w:id="12663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gn@anr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1819</TotalTime>
  <Pages>3</Pages>
  <Words>653</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2018-12-04T09:31:00Z</cp:lastPrinted>
  <dcterms:created xsi:type="dcterms:W3CDTF">2020-04-02T13:42:00Z</dcterms:created>
  <dcterms:modified xsi:type="dcterms:W3CDTF">2024-02-29T14:04:00Z</dcterms:modified>
</cp:coreProperties>
</file>