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F5ACA" w14:textId="77777777" w:rsidR="0083535D" w:rsidRPr="0083535D" w:rsidRDefault="0083535D" w:rsidP="003A6EF0">
      <w:pPr>
        <w:ind w:right="230"/>
        <w:rPr>
          <w:rFonts w:ascii="Times New Roman" w:hAnsi="Times New Roman" w:cs="Times New Roman"/>
          <w:sz w:val="24"/>
          <w:szCs w:val="24"/>
        </w:rPr>
      </w:pPr>
    </w:p>
    <w:p w14:paraId="0AE6204E" w14:textId="77777777" w:rsidR="006805A2" w:rsidRDefault="006805A2" w:rsidP="0083535D">
      <w:pPr>
        <w:rPr>
          <w:rFonts w:ascii="Times New Roman" w:hAnsi="Times New Roman" w:cs="Times New Roman"/>
          <w:b/>
          <w:sz w:val="24"/>
          <w:szCs w:val="24"/>
        </w:rPr>
      </w:pPr>
    </w:p>
    <w:p w14:paraId="675E8E20" w14:textId="447C1115" w:rsidR="0083535D" w:rsidRPr="00E25B13" w:rsidRDefault="008222EF" w:rsidP="00B705D6">
      <w:pPr>
        <w:jc w:val="center"/>
        <w:rPr>
          <w:rFonts w:ascii="Times New Roman" w:hAnsi="Times New Roman" w:cs="Times New Roman"/>
          <w:b/>
          <w:sz w:val="24"/>
          <w:szCs w:val="24"/>
        </w:rPr>
      </w:pPr>
      <w:r w:rsidRPr="00E25B13">
        <w:rPr>
          <w:rFonts w:ascii="Times New Roman" w:hAnsi="Times New Roman" w:cs="Times New Roman"/>
          <w:b/>
          <w:sz w:val="24"/>
          <w:szCs w:val="24"/>
        </w:rPr>
        <w:t>DOCUMENT</w:t>
      </w:r>
    </w:p>
    <w:p w14:paraId="317F5757" w14:textId="77777777" w:rsidR="0083535D" w:rsidRPr="00E25B13" w:rsidRDefault="0083535D" w:rsidP="0083535D">
      <w:pPr>
        <w:rPr>
          <w:rFonts w:ascii="Times New Roman" w:hAnsi="Times New Roman" w:cs="Times New Roman"/>
          <w:b/>
          <w:sz w:val="24"/>
          <w:szCs w:val="24"/>
        </w:rPr>
      </w:pPr>
    </w:p>
    <w:p w14:paraId="7D4665CA" w14:textId="23EB244B" w:rsidR="0083535D" w:rsidRPr="00E25B13" w:rsidRDefault="00B705D6" w:rsidP="00D16FE8">
      <w:pPr>
        <w:jc w:val="center"/>
        <w:rPr>
          <w:rFonts w:ascii="Times New Roman" w:hAnsi="Times New Roman" w:cs="Times New Roman"/>
          <w:b/>
          <w:sz w:val="24"/>
          <w:szCs w:val="24"/>
        </w:rPr>
      </w:pPr>
      <w:r w:rsidRPr="00E25B13">
        <w:rPr>
          <w:rFonts w:ascii="Times New Roman" w:hAnsi="Times New Roman" w:cs="Times New Roman"/>
          <w:b/>
          <w:sz w:val="24"/>
          <w:szCs w:val="24"/>
        </w:rPr>
        <w:t>privind</w:t>
      </w:r>
      <w:r w:rsidR="0083535D" w:rsidRPr="00E25B13">
        <w:rPr>
          <w:rFonts w:ascii="Times New Roman" w:hAnsi="Times New Roman" w:cs="Times New Roman"/>
          <w:b/>
          <w:sz w:val="24"/>
          <w:szCs w:val="24"/>
        </w:rPr>
        <w:t xml:space="preserve"> </w:t>
      </w:r>
      <w:r w:rsidR="0034627F" w:rsidRPr="00E25B13">
        <w:rPr>
          <w:rFonts w:ascii="Times New Roman" w:hAnsi="Times New Roman" w:cs="Times New Roman"/>
          <w:b/>
          <w:sz w:val="24"/>
          <w:szCs w:val="24"/>
        </w:rPr>
        <w:t>consultarea</w:t>
      </w:r>
      <w:r w:rsidR="006877B6" w:rsidRPr="00E25B13">
        <w:rPr>
          <w:rFonts w:ascii="Times New Roman" w:hAnsi="Times New Roman" w:cs="Times New Roman"/>
          <w:b/>
          <w:sz w:val="24"/>
          <w:szCs w:val="24"/>
        </w:rPr>
        <w:t xml:space="preserve"> </w:t>
      </w:r>
      <w:r w:rsidR="006805A2" w:rsidRPr="00E25B13">
        <w:rPr>
          <w:rFonts w:ascii="Times New Roman" w:hAnsi="Times New Roman" w:cs="Times New Roman"/>
          <w:b/>
          <w:sz w:val="24"/>
          <w:szCs w:val="24"/>
        </w:rPr>
        <w:t>discounturi</w:t>
      </w:r>
      <w:r w:rsidRPr="00E25B13">
        <w:rPr>
          <w:rFonts w:ascii="Times New Roman" w:hAnsi="Times New Roman" w:cs="Times New Roman"/>
          <w:b/>
          <w:sz w:val="24"/>
          <w:szCs w:val="24"/>
        </w:rPr>
        <w:t>lor</w:t>
      </w:r>
      <w:r w:rsidR="006805A2" w:rsidRPr="00E25B13">
        <w:rPr>
          <w:rFonts w:ascii="Times New Roman" w:hAnsi="Times New Roman" w:cs="Times New Roman"/>
          <w:b/>
          <w:sz w:val="24"/>
          <w:szCs w:val="24"/>
        </w:rPr>
        <w:t xml:space="preserve">, </w:t>
      </w:r>
      <w:r w:rsidR="006877B6" w:rsidRPr="00E25B13">
        <w:rPr>
          <w:rFonts w:ascii="Times New Roman" w:hAnsi="Times New Roman" w:cs="Times New Roman"/>
          <w:b/>
          <w:sz w:val="24"/>
          <w:szCs w:val="24"/>
        </w:rPr>
        <w:t>coeficienți</w:t>
      </w:r>
      <w:r w:rsidRPr="00E25B13">
        <w:rPr>
          <w:rFonts w:ascii="Times New Roman" w:hAnsi="Times New Roman" w:cs="Times New Roman"/>
          <w:b/>
          <w:sz w:val="24"/>
          <w:szCs w:val="24"/>
        </w:rPr>
        <w:t>lor</w:t>
      </w:r>
      <w:r w:rsidR="006877B6" w:rsidRPr="00E25B13">
        <w:rPr>
          <w:rFonts w:ascii="Times New Roman" w:hAnsi="Times New Roman" w:cs="Times New Roman"/>
          <w:b/>
          <w:sz w:val="24"/>
          <w:szCs w:val="24"/>
        </w:rPr>
        <w:t xml:space="preserve"> de multiplicare și sezonieri</w:t>
      </w:r>
      <w:r w:rsidR="006805A2" w:rsidRPr="00E25B13">
        <w:rPr>
          <w:rFonts w:ascii="Times New Roman" w:hAnsi="Times New Roman" w:cs="Times New Roman"/>
          <w:b/>
          <w:sz w:val="24"/>
          <w:szCs w:val="24"/>
        </w:rPr>
        <w:t xml:space="preserve"> </w:t>
      </w:r>
      <w:r w:rsidR="0034627F" w:rsidRPr="00E25B13">
        <w:rPr>
          <w:rFonts w:ascii="Times New Roman" w:hAnsi="Times New Roman" w:cs="Times New Roman"/>
          <w:b/>
          <w:sz w:val="24"/>
          <w:szCs w:val="24"/>
        </w:rPr>
        <w:t xml:space="preserve">ce vor fi </w:t>
      </w:r>
      <w:r w:rsidR="00C924BC" w:rsidRPr="00E25B13">
        <w:rPr>
          <w:rFonts w:ascii="Times New Roman" w:hAnsi="Times New Roman" w:cs="Times New Roman"/>
          <w:b/>
          <w:sz w:val="24"/>
          <w:szCs w:val="24"/>
        </w:rPr>
        <w:t>utiliza</w:t>
      </w:r>
      <w:r w:rsidR="00D16FE8" w:rsidRPr="00E25B13">
        <w:rPr>
          <w:rFonts w:ascii="Times New Roman" w:hAnsi="Times New Roman" w:cs="Times New Roman"/>
          <w:b/>
          <w:sz w:val="24"/>
          <w:szCs w:val="24"/>
        </w:rPr>
        <w:t>ți</w:t>
      </w:r>
      <w:r w:rsidR="0034627F" w:rsidRPr="00E25B13">
        <w:rPr>
          <w:rFonts w:ascii="Times New Roman" w:hAnsi="Times New Roman" w:cs="Times New Roman"/>
          <w:b/>
          <w:sz w:val="24"/>
          <w:szCs w:val="24"/>
        </w:rPr>
        <w:t xml:space="preserve"> de ANRE</w:t>
      </w:r>
      <w:r w:rsidR="00D16FE8" w:rsidRPr="00E25B13">
        <w:rPr>
          <w:rFonts w:ascii="Times New Roman" w:hAnsi="Times New Roman" w:cs="Times New Roman"/>
          <w:b/>
          <w:sz w:val="24"/>
          <w:szCs w:val="24"/>
        </w:rPr>
        <w:t xml:space="preserve"> la stabilirea tarifelor de transport </w:t>
      </w:r>
      <w:r w:rsidR="0034627F" w:rsidRPr="00E25B13">
        <w:rPr>
          <w:rFonts w:ascii="Times New Roman" w:hAnsi="Times New Roman" w:cs="Times New Roman"/>
          <w:b/>
          <w:sz w:val="24"/>
          <w:szCs w:val="24"/>
        </w:rPr>
        <w:t>pentru anul gazier 202</w:t>
      </w:r>
      <w:r w:rsidR="00B66783">
        <w:rPr>
          <w:rFonts w:ascii="Times New Roman" w:hAnsi="Times New Roman" w:cs="Times New Roman"/>
          <w:b/>
          <w:sz w:val="24"/>
          <w:szCs w:val="24"/>
        </w:rPr>
        <w:t>4</w:t>
      </w:r>
      <w:r w:rsidR="0034627F" w:rsidRPr="00E25B13">
        <w:rPr>
          <w:rFonts w:ascii="Times New Roman" w:hAnsi="Times New Roman" w:cs="Times New Roman"/>
          <w:b/>
          <w:sz w:val="24"/>
          <w:szCs w:val="24"/>
        </w:rPr>
        <w:t xml:space="preserve"> - 202</w:t>
      </w:r>
      <w:r w:rsidR="00B66783">
        <w:rPr>
          <w:rFonts w:ascii="Times New Roman" w:hAnsi="Times New Roman" w:cs="Times New Roman"/>
          <w:b/>
          <w:sz w:val="24"/>
          <w:szCs w:val="24"/>
        </w:rPr>
        <w:t>5</w:t>
      </w:r>
    </w:p>
    <w:p w14:paraId="10BBF7A3" w14:textId="77777777" w:rsidR="0083535D" w:rsidRPr="00E25B13" w:rsidRDefault="0083535D" w:rsidP="0083535D">
      <w:pPr>
        <w:rPr>
          <w:rFonts w:ascii="Times New Roman" w:hAnsi="Times New Roman" w:cs="Times New Roman"/>
          <w:b/>
          <w:sz w:val="24"/>
          <w:szCs w:val="24"/>
        </w:rPr>
      </w:pPr>
    </w:p>
    <w:p w14:paraId="73809804" w14:textId="50279004" w:rsidR="0034627F" w:rsidRPr="00E25B13" w:rsidRDefault="0034627F" w:rsidP="00B705D6">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 xml:space="preserve">Ca o cerință a Regulamentului (UE) </w:t>
      </w:r>
      <w:r w:rsidR="005B7C3D" w:rsidRPr="00E25B13">
        <w:rPr>
          <w:rFonts w:ascii="Times New Roman" w:hAnsi="Times New Roman" w:cs="Times New Roman"/>
          <w:sz w:val="24"/>
          <w:szCs w:val="24"/>
        </w:rPr>
        <w:t>nr. 460</w:t>
      </w:r>
      <w:r w:rsidRPr="00E25B13">
        <w:rPr>
          <w:rFonts w:ascii="Times New Roman" w:hAnsi="Times New Roman" w:cs="Times New Roman"/>
          <w:sz w:val="24"/>
          <w:szCs w:val="24"/>
        </w:rPr>
        <w:t>/</w:t>
      </w:r>
      <w:r w:rsidR="005B7C3D" w:rsidRPr="00E25B13">
        <w:rPr>
          <w:rFonts w:ascii="Times New Roman" w:hAnsi="Times New Roman" w:cs="Times New Roman"/>
          <w:sz w:val="24"/>
          <w:szCs w:val="24"/>
        </w:rPr>
        <w:t>2017</w:t>
      </w:r>
      <w:r w:rsidRPr="00E25B13">
        <w:rPr>
          <w:rFonts w:ascii="Times New Roman" w:hAnsi="Times New Roman" w:cs="Times New Roman"/>
          <w:sz w:val="24"/>
          <w:szCs w:val="24"/>
        </w:rPr>
        <w:t xml:space="preserve"> al Comisiei din 16 martie 2017 de stabilire a unui cod al rețelei privind structurile tarifare armonizate pentru transportul gazelor, înainte de aprobarea tarifelor de transport ANRE are obligația de a derula o consultare publică, în conformitate cu art. 28, cu privire la următoarele aspecte:</w:t>
      </w:r>
    </w:p>
    <w:p w14:paraId="55AF5B88" w14:textId="77777777" w:rsidR="0034627F" w:rsidRPr="00E25B13" w:rsidRDefault="0034627F" w:rsidP="00B705D6">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 xml:space="preserve">(a) nivelul coeficienților de multiplicare; </w:t>
      </w:r>
    </w:p>
    <w:p w14:paraId="0604AD5B" w14:textId="4CA7C09F" w:rsidR="0034627F" w:rsidRPr="00E25B13" w:rsidRDefault="0034627F" w:rsidP="00B705D6">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 xml:space="preserve">(b) nivelul coeficienților sezonieri și calculele prevăzute la </w:t>
      </w:r>
      <w:r w:rsidR="006120B6" w:rsidRPr="00E25B13">
        <w:rPr>
          <w:rFonts w:ascii="Times New Roman" w:hAnsi="Times New Roman" w:cs="Times New Roman"/>
          <w:sz w:val="24"/>
          <w:szCs w:val="24"/>
        </w:rPr>
        <w:t>art.</w:t>
      </w:r>
      <w:r w:rsidRPr="00E25B13">
        <w:rPr>
          <w:rFonts w:ascii="Times New Roman" w:hAnsi="Times New Roman" w:cs="Times New Roman"/>
          <w:sz w:val="24"/>
          <w:szCs w:val="24"/>
        </w:rPr>
        <w:t xml:space="preserve"> 15; </w:t>
      </w:r>
    </w:p>
    <w:p w14:paraId="31FED17B" w14:textId="5322D632" w:rsidR="0034627F" w:rsidRPr="00E25B13" w:rsidRDefault="0034627F" w:rsidP="00B705D6">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 xml:space="preserve">(c) nivelurile discounturilor prevăzute </w:t>
      </w:r>
      <w:bookmarkStart w:id="0" w:name="_Hlk36724866"/>
      <w:r w:rsidRPr="00E25B13">
        <w:rPr>
          <w:rFonts w:ascii="Times New Roman" w:hAnsi="Times New Roman" w:cs="Times New Roman"/>
          <w:sz w:val="24"/>
          <w:szCs w:val="24"/>
        </w:rPr>
        <w:t xml:space="preserve">la </w:t>
      </w:r>
      <w:r w:rsidR="006120B6" w:rsidRPr="00E25B13">
        <w:rPr>
          <w:rFonts w:ascii="Times New Roman" w:hAnsi="Times New Roman" w:cs="Times New Roman"/>
          <w:sz w:val="24"/>
          <w:szCs w:val="24"/>
        </w:rPr>
        <w:t>art.</w:t>
      </w:r>
      <w:r w:rsidRPr="00E25B13">
        <w:rPr>
          <w:rFonts w:ascii="Times New Roman" w:hAnsi="Times New Roman" w:cs="Times New Roman"/>
          <w:sz w:val="24"/>
          <w:szCs w:val="24"/>
        </w:rPr>
        <w:t xml:space="preserve"> 9 alin</w:t>
      </w:r>
      <w:r w:rsidR="006120B6" w:rsidRPr="00E25B13">
        <w:rPr>
          <w:rFonts w:ascii="Times New Roman" w:hAnsi="Times New Roman" w:cs="Times New Roman"/>
          <w:sz w:val="24"/>
          <w:szCs w:val="24"/>
        </w:rPr>
        <w:t>.</w:t>
      </w:r>
      <w:r w:rsidRPr="00E25B13">
        <w:rPr>
          <w:rFonts w:ascii="Times New Roman" w:hAnsi="Times New Roman" w:cs="Times New Roman"/>
          <w:sz w:val="24"/>
          <w:szCs w:val="24"/>
        </w:rPr>
        <w:t xml:space="preserve"> (2) și la art</w:t>
      </w:r>
      <w:r w:rsidR="006120B6" w:rsidRPr="00E25B13">
        <w:rPr>
          <w:rFonts w:ascii="Times New Roman" w:hAnsi="Times New Roman" w:cs="Times New Roman"/>
          <w:sz w:val="24"/>
          <w:szCs w:val="24"/>
        </w:rPr>
        <w:t>.</w:t>
      </w:r>
      <w:r w:rsidRPr="00E25B13">
        <w:rPr>
          <w:rFonts w:ascii="Times New Roman" w:hAnsi="Times New Roman" w:cs="Times New Roman"/>
          <w:sz w:val="24"/>
          <w:szCs w:val="24"/>
        </w:rPr>
        <w:t xml:space="preserve"> 16</w:t>
      </w:r>
      <w:bookmarkEnd w:id="0"/>
      <w:r w:rsidRPr="00E25B13">
        <w:rPr>
          <w:rFonts w:ascii="Times New Roman" w:hAnsi="Times New Roman" w:cs="Times New Roman"/>
          <w:sz w:val="24"/>
          <w:szCs w:val="24"/>
        </w:rPr>
        <w:t>.</w:t>
      </w:r>
    </w:p>
    <w:p w14:paraId="462F4B89" w14:textId="5D7D8641" w:rsidR="008222EF" w:rsidRPr="00E25B13" w:rsidRDefault="00BD1BCD" w:rsidP="009B38BE">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Astfel, pentru anul gazier/tarifar 1 octombrie 202</w:t>
      </w:r>
      <w:r w:rsidR="00B66783">
        <w:rPr>
          <w:rFonts w:ascii="Times New Roman" w:hAnsi="Times New Roman" w:cs="Times New Roman"/>
          <w:sz w:val="24"/>
          <w:szCs w:val="24"/>
        </w:rPr>
        <w:t>4</w:t>
      </w:r>
      <w:r w:rsidRPr="00E25B13">
        <w:rPr>
          <w:rFonts w:ascii="Times New Roman" w:hAnsi="Times New Roman" w:cs="Times New Roman"/>
          <w:sz w:val="24"/>
          <w:szCs w:val="24"/>
        </w:rPr>
        <w:t xml:space="preserve"> – 30 septembrie 202</w:t>
      </w:r>
      <w:r w:rsidR="00B66783">
        <w:rPr>
          <w:rFonts w:ascii="Times New Roman" w:hAnsi="Times New Roman" w:cs="Times New Roman"/>
          <w:sz w:val="24"/>
          <w:szCs w:val="24"/>
        </w:rPr>
        <w:t>5</w:t>
      </w:r>
      <w:r w:rsidRPr="00E25B13">
        <w:rPr>
          <w:rFonts w:ascii="Times New Roman" w:hAnsi="Times New Roman" w:cs="Times New Roman"/>
          <w:sz w:val="24"/>
          <w:szCs w:val="24"/>
        </w:rPr>
        <w:t>, ANRE propune utilizarea atât a coeficienților sezonieri, cât și a coeficienților d</w:t>
      </w:r>
      <w:bookmarkStart w:id="1" w:name="_GoBack"/>
      <w:bookmarkEnd w:id="1"/>
      <w:r w:rsidRPr="00E25B13">
        <w:rPr>
          <w:rFonts w:ascii="Times New Roman" w:hAnsi="Times New Roman" w:cs="Times New Roman"/>
          <w:sz w:val="24"/>
          <w:szCs w:val="24"/>
        </w:rPr>
        <w:t>e multiplicare, la determinarea prețurilor de rezervă pentru produsele de capacitate standard neanuală.</w:t>
      </w:r>
    </w:p>
    <w:p w14:paraId="5B812406" w14:textId="111F787E" w:rsidR="005B7C3D" w:rsidRPr="00E25B13" w:rsidRDefault="005B7C3D" w:rsidP="005B7C3D">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Nivelul coeficienți</w:t>
      </w:r>
      <w:r w:rsidR="00FE33BB" w:rsidRPr="00E25B13">
        <w:rPr>
          <w:rFonts w:ascii="Times New Roman" w:hAnsi="Times New Roman" w:cs="Times New Roman"/>
          <w:sz w:val="24"/>
          <w:szCs w:val="24"/>
        </w:rPr>
        <w:t>lor</w:t>
      </w:r>
      <w:r w:rsidRPr="00E25B13">
        <w:rPr>
          <w:rFonts w:ascii="Times New Roman" w:hAnsi="Times New Roman" w:cs="Times New Roman"/>
          <w:sz w:val="24"/>
          <w:szCs w:val="24"/>
        </w:rPr>
        <w:t xml:space="preserve"> de multiplicare și al coeficienților sezonieri este același în cazul tuturor grupelor de puncte de intrare/ieșire din SNT.</w:t>
      </w:r>
    </w:p>
    <w:p w14:paraId="5F084663" w14:textId="287F74C3" w:rsidR="005B7C3D" w:rsidRPr="00E25B13" w:rsidRDefault="005B7C3D" w:rsidP="009B38BE">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Scopul utilizării coeficienților sezonieri este  de a induce o creștere a tarifelor de transport/prețurilor de rezervare în perioadele cu rată mare de utilizare a sistemului de transport, respectiv o diminuare a acestora în perioadele cu rată redusă, cu scopul de a promova o utilizare eficientă a sistemului prin aplicarea de penalități/stimulente în vederea schimbării fluxurilor din perioada cu cerere mare (iarna) spre perioadele cu cerere mai redusă (vara) și prin reducerea impactului negativ pe care rezervările de capacitate profilate îl pot avea în stabilitatea veniturilor și respectiv tarifelor operatorului de transport și de sistem.</w:t>
      </w:r>
    </w:p>
    <w:p w14:paraId="4A4F7504" w14:textId="77777777" w:rsidR="005B7C3D" w:rsidRPr="00E25B13" w:rsidRDefault="005B7C3D" w:rsidP="005B7C3D">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Nivelul multiplicatorilor a fost stabilit avându-se în vedere următoarele principii:</w:t>
      </w:r>
    </w:p>
    <w:p w14:paraId="65490945" w14:textId="6C15B784" w:rsidR="005B7C3D" w:rsidRPr="00E25B13" w:rsidRDefault="005B7C3D" w:rsidP="005B7C3D">
      <w:pPr>
        <w:pStyle w:val="ListParagraph"/>
        <w:numPr>
          <w:ilvl w:val="0"/>
          <w:numId w:val="8"/>
        </w:numPr>
        <w:spacing w:line="360" w:lineRule="auto"/>
        <w:ind w:right="372"/>
        <w:jc w:val="both"/>
        <w:rPr>
          <w:rFonts w:ascii="Times New Roman" w:hAnsi="Times New Roman" w:cs="Times New Roman"/>
          <w:sz w:val="24"/>
          <w:szCs w:val="24"/>
        </w:rPr>
      </w:pPr>
      <w:r w:rsidRPr="00E25B13">
        <w:rPr>
          <w:rFonts w:ascii="Times New Roman" w:hAnsi="Times New Roman" w:cs="Times New Roman"/>
          <w:sz w:val="24"/>
          <w:szCs w:val="24"/>
        </w:rPr>
        <w:t xml:space="preserve">asigurarea echilibrului dintre facilitarea schimburilor comerciale de gaze pe  termen scurt, pe de o parte, și furnizarea de semnale pe termen lung pentru investiții eficiente </w:t>
      </w:r>
      <w:r w:rsidRPr="00E25B13">
        <w:rPr>
          <w:rFonts w:ascii="Times New Roman" w:hAnsi="Times New Roman" w:cs="Times New Roman"/>
          <w:sz w:val="24"/>
          <w:szCs w:val="24"/>
        </w:rPr>
        <w:lastRenderedPageBreak/>
        <w:t>în sistemul de transport și asigurarea recuperării eficiente a veniturilor pe de altă parte;</w:t>
      </w:r>
    </w:p>
    <w:p w14:paraId="3DF58EB5" w14:textId="6056F334" w:rsidR="005B7C3D" w:rsidRPr="00E25B13" w:rsidRDefault="005B7C3D" w:rsidP="005B7C3D">
      <w:pPr>
        <w:pStyle w:val="ListParagraph"/>
        <w:numPr>
          <w:ilvl w:val="0"/>
          <w:numId w:val="8"/>
        </w:numPr>
        <w:spacing w:line="360" w:lineRule="auto"/>
        <w:ind w:right="372"/>
        <w:jc w:val="both"/>
        <w:rPr>
          <w:rFonts w:ascii="Times New Roman" w:hAnsi="Times New Roman" w:cs="Times New Roman"/>
          <w:sz w:val="24"/>
          <w:szCs w:val="24"/>
        </w:rPr>
      </w:pPr>
      <w:r w:rsidRPr="00E25B13">
        <w:rPr>
          <w:rFonts w:ascii="Times New Roman" w:hAnsi="Times New Roman" w:cs="Times New Roman"/>
          <w:sz w:val="24"/>
          <w:szCs w:val="24"/>
        </w:rPr>
        <w:t>evitarea volatilității tarifelor;</w:t>
      </w:r>
    </w:p>
    <w:p w14:paraId="10708C26" w14:textId="2A943F29" w:rsidR="005B7C3D" w:rsidRPr="00E25B13" w:rsidRDefault="005B7C3D" w:rsidP="005B7C3D">
      <w:pPr>
        <w:pStyle w:val="ListParagraph"/>
        <w:numPr>
          <w:ilvl w:val="0"/>
          <w:numId w:val="8"/>
        </w:numPr>
        <w:spacing w:line="360" w:lineRule="auto"/>
        <w:ind w:right="372"/>
        <w:jc w:val="both"/>
        <w:rPr>
          <w:rFonts w:ascii="Times New Roman" w:hAnsi="Times New Roman" w:cs="Times New Roman"/>
          <w:sz w:val="24"/>
          <w:szCs w:val="24"/>
        </w:rPr>
      </w:pPr>
      <w:r w:rsidRPr="00E25B13">
        <w:rPr>
          <w:rFonts w:ascii="Times New Roman" w:hAnsi="Times New Roman" w:cs="Times New Roman"/>
          <w:sz w:val="24"/>
          <w:szCs w:val="24"/>
        </w:rPr>
        <w:t>necesitatea evitării subvenționării încrucișate între utilizatorii rețelei de transport gaze naturale (utilizatori cu un profil de rezervare sezonier/profilat versus utilizatori cu profil plat).</w:t>
      </w:r>
    </w:p>
    <w:p w14:paraId="48BD51D7" w14:textId="77777777" w:rsidR="005B7C3D" w:rsidRPr="00E25B13" w:rsidRDefault="005B7C3D" w:rsidP="005B7C3D">
      <w:pPr>
        <w:pStyle w:val="ListParagraph"/>
        <w:spacing w:after="0" w:line="240" w:lineRule="auto"/>
        <w:ind w:left="0"/>
        <w:jc w:val="both"/>
        <w:rPr>
          <w:rFonts w:ascii="Segoe UI" w:hAnsi="Segoe UI" w:cs="Segoe UI"/>
          <w:sz w:val="24"/>
          <w:szCs w:val="24"/>
        </w:rPr>
      </w:pPr>
    </w:p>
    <w:p w14:paraId="21F97C40" w14:textId="67CC35E8" w:rsidR="005B7C3D" w:rsidRPr="00E25B13" w:rsidRDefault="005B7C3D" w:rsidP="005B7C3D">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Conform art. 13 al Regulamentului (UE) nr. 460/2017, în cazul în care se aplică coeficienți sezonieri, media aritmetică, pentru întregul an gazier, a produselor dintre multiplicatorul aplicabil pentru respectivul produs de capacitate și factorul sezonier relevant trebuie să se încadreze în următoarele intervale, în funcție de tipologia produselor de capacitate pe termen scurt:</w:t>
      </w:r>
    </w:p>
    <w:p w14:paraId="7B20603D" w14:textId="259ADCCE" w:rsidR="005B7C3D" w:rsidRPr="00E25B13" w:rsidRDefault="005B7C3D" w:rsidP="005B7C3D">
      <w:pPr>
        <w:pStyle w:val="ListParagraph"/>
        <w:numPr>
          <w:ilvl w:val="0"/>
          <w:numId w:val="8"/>
        </w:numPr>
        <w:spacing w:line="360" w:lineRule="auto"/>
        <w:ind w:right="372"/>
        <w:jc w:val="both"/>
        <w:rPr>
          <w:rFonts w:ascii="Times New Roman" w:hAnsi="Times New Roman" w:cs="Times New Roman"/>
          <w:sz w:val="24"/>
          <w:szCs w:val="24"/>
        </w:rPr>
      </w:pPr>
      <w:r w:rsidRPr="00E25B13">
        <w:rPr>
          <w:rFonts w:ascii="Times New Roman" w:hAnsi="Times New Roman" w:cs="Times New Roman"/>
          <w:sz w:val="24"/>
          <w:szCs w:val="24"/>
        </w:rPr>
        <w:t>în cazul produselor cu capacitate standard trimestriale și lunare nivelul coeficientului mediu de multiplicare poate fi orice valoare între 1 și 1,5;</w:t>
      </w:r>
    </w:p>
    <w:p w14:paraId="2418FED2" w14:textId="77777777" w:rsidR="005B7C3D" w:rsidRPr="00E25B13" w:rsidRDefault="005B7C3D" w:rsidP="005B7C3D">
      <w:pPr>
        <w:pStyle w:val="ListParagraph"/>
        <w:numPr>
          <w:ilvl w:val="0"/>
          <w:numId w:val="8"/>
        </w:numPr>
        <w:spacing w:line="360" w:lineRule="auto"/>
        <w:ind w:right="372"/>
        <w:jc w:val="both"/>
        <w:rPr>
          <w:rFonts w:ascii="Times New Roman" w:hAnsi="Times New Roman" w:cs="Times New Roman"/>
          <w:sz w:val="24"/>
          <w:szCs w:val="24"/>
        </w:rPr>
      </w:pPr>
      <w:r w:rsidRPr="00E25B13">
        <w:rPr>
          <w:rFonts w:ascii="Times New Roman" w:hAnsi="Times New Roman" w:cs="Times New Roman"/>
          <w:sz w:val="24"/>
          <w:szCs w:val="24"/>
        </w:rPr>
        <w:t>pentru produsul zilnic și în cadrul zilei, nivelul mediu al coeficientului mediu de multiplicare poate fi orice valoare între:</w:t>
      </w:r>
    </w:p>
    <w:p w14:paraId="6DF47F19" w14:textId="77777777" w:rsidR="005B7C3D" w:rsidRPr="00E25B13" w:rsidRDefault="005B7C3D" w:rsidP="005B7C3D">
      <w:pPr>
        <w:pStyle w:val="ListParagraph"/>
        <w:numPr>
          <w:ilvl w:val="1"/>
          <w:numId w:val="8"/>
        </w:numPr>
        <w:spacing w:line="360" w:lineRule="auto"/>
        <w:ind w:right="372"/>
        <w:jc w:val="both"/>
        <w:rPr>
          <w:rFonts w:ascii="Times New Roman" w:hAnsi="Times New Roman" w:cs="Times New Roman"/>
          <w:sz w:val="24"/>
          <w:szCs w:val="24"/>
        </w:rPr>
      </w:pPr>
      <w:r w:rsidRPr="00E25B13">
        <w:rPr>
          <w:rFonts w:ascii="Times New Roman" w:hAnsi="Times New Roman" w:cs="Times New Roman"/>
          <w:sz w:val="24"/>
          <w:szCs w:val="24"/>
        </w:rPr>
        <w:t>1 și 3 pentru o perioadă de tranziție de 4 ani de aplicare;</w:t>
      </w:r>
    </w:p>
    <w:p w14:paraId="57BCE6DB" w14:textId="73747C6C" w:rsidR="005B7C3D" w:rsidRPr="00E25B13" w:rsidRDefault="005B7C3D" w:rsidP="005B7C3D">
      <w:pPr>
        <w:pStyle w:val="ListParagraph"/>
        <w:numPr>
          <w:ilvl w:val="1"/>
          <w:numId w:val="8"/>
        </w:numPr>
        <w:spacing w:line="360" w:lineRule="auto"/>
        <w:ind w:right="372"/>
        <w:jc w:val="both"/>
        <w:rPr>
          <w:rFonts w:ascii="Times New Roman" w:hAnsi="Times New Roman" w:cs="Times New Roman"/>
          <w:sz w:val="24"/>
          <w:szCs w:val="24"/>
        </w:rPr>
      </w:pPr>
      <w:r w:rsidRPr="00E25B13">
        <w:rPr>
          <w:rFonts w:ascii="Times New Roman" w:hAnsi="Times New Roman" w:cs="Times New Roman"/>
          <w:sz w:val="24"/>
          <w:szCs w:val="24"/>
        </w:rPr>
        <w:t>1 și 1,5 după perioada de tranziție.</w:t>
      </w:r>
    </w:p>
    <w:p w14:paraId="639324B5" w14:textId="3EB0B8E0" w:rsidR="008222EF" w:rsidRPr="00E25B13" w:rsidRDefault="005B7C3D" w:rsidP="009B38BE">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Nivelul coeficienților de multiplicare, nivelul coeficienților sezonieri și calculele prevăzute la art. 15 sunt prezentate în anexa la prezentul document, în format electronic Microsoft Excel</w:t>
      </w:r>
      <w:r w:rsidR="006120B6" w:rsidRPr="00E25B13">
        <w:rPr>
          <w:rFonts w:ascii="Times New Roman" w:hAnsi="Times New Roman" w:cs="Times New Roman"/>
          <w:sz w:val="24"/>
          <w:szCs w:val="24"/>
        </w:rPr>
        <w:t xml:space="preserve"> Worksheet</w:t>
      </w:r>
      <w:r w:rsidRPr="00E25B13">
        <w:rPr>
          <w:rFonts w:ascii="Times New Roman" w:hAnsi="Times New Roman" w:cs="Times New Roman"/>
          <w:sz w:val="24"/>
          <w:szCs w:val="24"/>
        </w:rPr>
        <w:t>.</w:t>
      </w:r>
    </w:p>
    <w:p w14:paraId="55B4AEC4" w14:textId="1B430523" w:rsidR="006120B6" w:rsidRPr="00E25B13" w:rsidRDefault="006120B6" w:rsidP="009B38BE">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 xml:space="preserve">În ce privește nivelurile discounturilor prevăzute la art. 9 alin. (2) și la art. 16, </w:t>
      </w:r>
      <w:r w:rsidR="00B75657" w:rsidRPr="00E25B13">
        <w:rPr>
          <w:rFonts w:ascii="Times New Roman" w:hAnsi="Times New Roman" w:cs="Times New Roman"/>
          <w:sz w:val="24"/>
          <w:szCs w:val="24"/>
        </w:rPr>
        <w:t xml:space="preserve">prezentate în anexa la prezentul document, </w:t>
      </w:r>
      <w:r w:rsidRPr="00E25B13">
        <w:rPr>
          <w:rFonts w:ascii="Times New Roman" w:hAnsi="Times New Roman" w:cs="Times New Roman"/>
          <w:sz w:val="24"/>
          <w:szCs w:val="24"/>
        </w:rPr>
        <w:t>ANRE propune următoarele:</w:t>
      </w:r>
    </w:p>
    <w:p w14:paraId="151EC1DB" w14:textId="15FEFA4D" w:rsidR="008222EF" w:rsidRPr="00E25B13" w:rsidRDefault="006120B6" w:rsidP="006120B6">
      <w:pPr>
        <w:pStyle w:val="ListParagraph"/>
        <w:numPr>
          <w:ilvl w:val="0"/>
          <w:numId w:val="8"/>
        </w:numPr>
        <w:spacing w:line="360" w:lineRule="auto"/>
        <w:ind w:right="372"/>
        <w:jc w:val="both"/>
        <w:rPr>
          <w:rFonts w:ascii="Times New Roman" w:hAnsi="Times New Roman" w:cs="Times New Roman"/>
          <w:sz w:val="24"/>
          <w:szCs w:val="24"/>
        </w:rPr>
      </w:pPr>
      <w:r w:rsidRPr="00E25B13">
        <w:rPr>
          <w:rFonts w:ascii="Times New Roman" w:hAnsi="Times New Roman" w:cs="Times New Roman"/>
          <w:sz w:val="24"/>
          <w:szCs w:val="24"/>
        </w:rPr>
        <w:t>pentru situația  prevăzută la art. 9 alin. (2), respectiv aplicarea unui discount la punctele de intrare dinspre instalațiile GNL și la punctele de intrare dinspre și de ieșire către infrastructurile dezvoltate cu scopul de a pune capăt izolării statelor membre în ceea ce privește sistemele lor de transport de gaze, prevederile acestui articol nu sunt aplicabile, întrucât la actualul sistem de transport al gazelor naturale din România nu există conectate instalații GNL și nici infrastructuri dezvoltate cu scopul de a pune capăt izolării statelor membre în ceea ce privește sistemele lor de transport de gaze;</w:t>
      </w:r>
    </w:p>
    <w:p w14:paraId="71D513CB" w14:textId="30CE34DF" w:rsidR="006120B6" w:rsidRPr="00E25B13" w:rsidRDefault="006120B6" w:rsidP="006120B6">
      <w:pPr>
        <w:pStyle w:val="ListParagraph"/>
        <w:numPr>
          <w:ilvl w:val="0"/>
          <w:numId w:val="8"/>
        </w:numPr>
        <w:spacing w:line="360" w:lineRule="auto"/>
        <w:ind w:right="372"/>
        <w:jc w:val="both"/>
        <w:rPr>
          <w:rFonts w:ascii="Times New Roman" w:hAnsi="Times New Roman" w:cs="Times New Roman"/>
          <w:sz w:val="24"/>
          <w:szCs w:val="24"/>
        </w:rPr>
      </w:pPr>
      <w:r w:rsidRPr="00E25B13">
        <w:rPr>
          <w:rFonts w:ascii="Times New Roman" w:hAnsi="Times New Roman" w:cs="Times New Roman"/>
          <w:sz w:val="24"/>
          <w:szCs w:val="24"/>
        </w:rPr>
        <w:lastRenderedPageBreak/>
        <w:t xml:space="preserve">pentru situația  prevăzută la art. </w:t>
      </w:r>
      <w:r w:rsidR="001C06DD" w:rsidRPr="00E25B13">
        <w:rPr>
          <w:rFonts w:ascii="Times New Roman" w:hAnsi="Times New Roman" w:cs="Times New Roman"/>
          <w:sz w:val="24"/>
          <w:szCs w:val="24"/>
        </w:rPr>
        <w:t>16</w:t>
      </w:r>
      <w:r w:rsidRPr="00E25B13">
        <w:rPr>
          <w:rFonts w:ascii="Times New Roman" w:hAnsi="Times New Roman" w:cs="Times New Roman"/>
          <w:sz w:val="24"/>
          <w:szCs w:val="24"/>
        </w:rPr>
        <w:t xml:space="preserve">, respectiv aplicarea unui discount la calcularea prețurilor de rezervă pentru produsele de capacitate standard pentru capacitate întreruptibilă, se propune utilizarea </w:t>
      </w:r>
      <w:r w:rsidR="00B75657" w:rsidRPr="00E25B13">
        <w:rPr>
          <w:rFonts w:ascii="Times New Roman" w:hAnsi="Times New Roman" w:cs="Times New Roman"/>
          <w:sz w:val="24"/>
          <w:szCs w:val="24"/>
        </w:rPr>
        <w:t>următoarelor dicounturi:</w:t>
      </w:r>
    </w:p>
    <w:p w14:paraId="68892460" w14:textId="165706A5" w:rsidR="00B75657" w:rsidRPr="00E25B13" w:rsidRDefault="00B75657" w:rsidP="00B75657">
      <w:pPr>
        <w:pStyle w:val="ListParagraph"/>
        <w:numPr>
          <w:ilvl w:val="1"/>
          <w:numId w:val="8"/>
        </w:numPr>
        <w:spacing w:line="360" w:lineRule="auto"/>
        <w:ind w:right="372"/>
        <w:jc w:val="both"/>
        <w:rPr>
          <w:rFonts w:ascii="Times New Roman" w:hAnsi="Times New Roman" w:cs="Times New Roman"/>
          <w:sz w:val="24"/>
          <w:szCs w:val="24"/>
        </w:rPr>
      </w:pPr>
      <w:r w:rsidRPr="00E25B13">
        <w:rPr>
          <w:rFonts w:ascii="Times New Roman" w:hAnsi="Times New Roman" w:cs="Times New Roman"/>
          <w:sz w:val="24"/>
          <w:szCs w:val="24"/>
        </w:rPr>
        <w:t>un discount ex-ante,</w:t>
      </w:r>
      <w:r w:rsidR="00B66783">
        <w:rPr>
          <w:rFonts w:ascii="Times New Roman" w:hAnsi="Times New Roman" w:cs="Times New Roman"/>
          <w:sz w:val="24"/>
          <w:szCs w:val="24"/>
        </w:rPr>
        <w:t xml:space="preserve"> de </w:t>
      </w:r>
      <w:r w:rsidR="00B66783" w:rsidRPr="00B66783">
        <w:rPr>
          <w:rFonts w:ascii="Times New Roman" w:hAnsi="Times New Roman" w:cs="Times New Roman"/>
          <w:b/>
          <w:sz w:val="24"/>
          <w:szCs w:val="24"/>
        </w:rPr>
        <w:t>13,53%</w:t>
      </w:r>
      <w:r w:rsidR="00B66783">
        <w:rPr>
          <w:rFonts w:ascii="Times New Roman" w:hAnsi="Times New Roman" w:cs="Times New Roman"/>
          <w:sz w:val="24"/>
          <w:szCs w:val="24"/>
        </w:rPr>
        <w:t>,</w:t>
      </w:r>
      <w:r w:rsidR="00790977">
        <w:rPr>
          <w:rFonts w:ascii="Times New Roman" w:hAnsi="Times New Roman" w:cs="Times New Roman"/>
          <w:sz w:val="24"/>
          <w:szCs w:val="24"/>
        </w:rPr>
        <w:t xml:space="preserve"> calculat conform anexei,</w:t>
      </w:r>
      <w:r w:rsidRPr="00E25B13">
        <w:rPr>
          <w:rFonts w:ascii="Times New Roman" w:hAnsi="Times New Roman" w:cs="Times New Roman"/>
          <w:sz w:val="24"/>
          <w:szCs w:val="24"/>
        </w:rPr>
        <w:t xml:space="preserve"> aplicat asupra prețurilor de rezervă pentru produsele de capacitate standard pentru capacitate întreruptibilă zilnică, doar în punctul de interconectare</w:t>
      </w:r>
      <w:r w:rsidRPr="00E25B13">
        <w:t xml:space="preserve"> </w:t>
      </w:r>
      <w:r w:rsidRPr="00E25B13">
        <w:rPr>
          <w:rFonts w:ascii="Times New Roman" w:hAnsi="Times New Roman" w:cs="Times New Roman"/>
          <w:sz w:val="24"/>
          <w:szCs w:val="24"/>
        </w:rPr>
        <w:t>Csanádpalota, pe direcți</w:t>
      </w:r>
      <w:r w:rsidR="00B66783">
        <w:rPr>
          <w:rFonts w:ascii="Times New Roman" w:hAnsi="Times New Roman" w:cs="Times New Roman"/>
          <w:sz w:val="24"/>
          <w:szCs w:val="24"/>
        </w:rPr>
        <w:t>a</w:t>
      </w:r>
      <w:r w:rsidR="00790977">
        <w:rPr>
          <w:rFonts w:ascii="Times New Roman" w:hAnsi="Times New Roman" w:cs="Times New Roman"/>
          <w:sz w:val="24"/>
          <w:szCs w:val="24"/>
        </w:rPr>
        <w:t xml:space="preserve"> de ieșire</w:t>
      </w:r>
      <w:r w:rsidR="00B66783">
        <w:rPr>
          <w:rFonts w:ascii="Times New Roman" w:hAnsi="Times New Roman" w:cs="Times New Roman"/>
          <w:sz w:val="24"/>
          <w:szCs w:val="24"/>
        </w:rPr>
        <w:t xml:space="preserve"> România-Ungaria</w:t>
      </w:r>
      <w:r w:rsidRPr="00E25B13">
        <w:rPr>
          <w:rFonts w:ascii="Times New Roman" w:hAnsi="Times New Roman" w:cs="Times New Roman"/>
          <w:sz w:val="24"/>
          <w:szCs w:val="24"/>
        </w:rPr>
        <w:t>, având în vedere întreruperile de capacitate înregistrate,</w:t>
      </w:r>
    </w:p>
    <w:p w14:paraId="27AED495" w14:textId="5A4CF397" w:rsidR="00B75657" w:rsidRPr="00E25B13" w:rsidRDefault="00B75657" w:rsidP="00B75657">
      <w:pPr>
        <w:pStyle w:val="ListParagraph"/>
        <w:numPr>
          <w:ilvl w:val="1"/>
          <w:numId w:val="8"/>
        </w:numPr>
        <w:spacing w:line="360" w:lineRule="auto"/>
        <w:ind w:right="372"/>
        <w:jc w:val="both"/>
        <w:rPr>
          <w:rFonts w:ascii="Times New Roman" w:hAnsi="Times New Roman" w:cs="Times New Roman"/>
          <w:sz w:val="24"/>
          <w:szCs w:val="24"/>
        </w:rPr>
      </w:pPr>
      <w:r w:rsidRPr="00E25B13">
        <w:rPr>
          <w:rFonts w:ascii="Times New Roman" w:hAnsi="Times New Roman" w:cs="Times New Roman"/>
          <w:sz w:val="24"/>
          <w:szCs w:val="24"/>
        </w:rPr>
        <w:t xml:space="preserve">un discount calculat ex-post, pentru celelalte puncte de intrare/ieșire în/din sistemul de transport, calculat conform art. 16 alin. (4) din Reg. (UE) 460/2017, având în vedere că nu au fost înregistrate în anul anterior întreruperi de capacitate din cauza congestiei fizice. </w:t>
      </w:r>
    </w:p>
    <w:p w14:paraId="4F6929EC" w14:textId="062586E8" w:rsidR="00EF6330" w:rsidRPr="00E25B13" w:rsidRDefault="00B75657" w:rsidP="00EF6330">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 xml:space="preserve">Astfel, </w:t>
      </w:r>
      <w:r w:rsidR="00BE1761" w:rsidRPr="00E25B13">
        <w:rPr>
          <w:rFonts w:ascii="Times New Roman" w:hAnsi="Times New Roman" w:cs="Times New Roman"/>
          <w:sz w:val="24"/>
          <w:szCs w:val="24"/>
        </w:rPr>
        <w:t xml:space="preserve">invităm părțile interesate să transmită </w:t>
      </w:r>
      <w:r w:rsidR="00EF6330" w:rsidRPr="00E25B13">
        <w:rPr>
          <w:rFonts w:ascii="Times New Roman" w:hAnsi="Times New Roman" w:cs="Times New Roman"/>
          <w:sz w:val="24"/>
          <w:szCs w:val="24"/>
        </w:rPr>
        <w:t xml:space="preserve">până în data de </w:t>
      </w:r>
      <w:r w:rsidR="00790977">
        <w:rPr>
          <w:rFonts w:ascii="Times New Roman" w:hAnsi="Times New Roman" w:cs="Times New Roman"/>
          <w:sz w:val="24"/>
          <w:szCs w:val="24"/>
        </w:rPr>
        <w:t>2</w:t>
      </w:r>
      <w:r w:rsidR="00B66783">
        <w:rPr>
          <w:rFonts w:ascii="Times New Roman" w:hAnsi="Times New Roman" w:cs="Times New Roman"/>
          <w:sz w:val="24"/>
          <w:szCs w:val="24"/>
        </w:rPr>
        <w:t>9</w:t>
      </w:r>
      <w:r w:rsidR="00EF6330" w:rsidRPr="00E25B13">
        <w:rPr>
          <w:rFonts w:ascii="Times New Roman" w:hAnsi="Times New Roman" w:cs="Times New Roman"/>
          <w:sz w:val="24"/>
          <w:szCs w:val="24"/>
        </w:rPr>
        <w:t xml:space="preserve"> </w:t>
      </w:r>
      <w:r w:rsidR="00790977">
        <w:rPr>
          <w:rFonts w:ascii="Times New Roman" w:hAnsi="Times New Roman" w:cs="Times New Roman"/>
          <w:sz w:val="24"/>
          <w:szCs w:val="24"/>
        </w:rPr>
        <w:t>martie</w:t>
      </w:r>
      <w:r w:rsidR="00EF6330" w:rsidRPr="00E25B13">
        <w:rPr>
          <w:rFonts w:ascii="Times New Roman" w:hAnsi="Times New Roman" w:cs="Times New Roman"/>
          <w:sz w:val="24"/>
          <w:szCs w:val="24"/>
        </w:rPr>
        <w:t xml:space="preserve"> 202</w:t>
      </w:r>
      <w:r w:rsidR="00B66783">
        <w:rPr>
          <w:rFonts w:ascii="Times New Roman" w:hAnsi="Times New Roman" w:cs="Times New Roman"/>
          <w:sz w:val="24"/>
          <w:szCs w:val="24"/>
        </w:rPr>
        <w:t>4</w:t>
      </w:r>
      <w:r w:rsidR="00EF6330" w:rsidRPr="00E25B13">
        <w:rPr>
          <w:rFonts w:ascii="Times New Roman" w:hAnsi="Times New Roman" w:cs="Times New Roman"/>
          <w:sz w:val="24"/>
          <w:szCs w:val="24"/>
        </w:rPr>
        <w:t xml:space="preserve">, </w:t>
      </w:r>
      <w:r w:rsidR="00BE1761" w:rsidRPr="00E25B13">
        <w:rPr>
          <w:rFonts w:ascii="Times New Roman" w:hAnsi="Times New Roman" w:cs="Times New Roman"/>
          <w:sz w:val="24"/>
          <w:szCs w:val="24"/>
        </w:rPr>
        <w:t xml:space="preserve">observații sau opinii cu privire la </w:t>
      </w:r>
      <w:r w:rsidRPr="00E25B13">
        <w:rPr>
          <w:rFonts w:ascii="Times New Roman" w:hAnsi="Times New Roman" w:cs="Times New Roman"/>
          <w:sz w:val="24"/>
          <w:szCs w:val="24"/>
        </w:rPr>
        <w:t>prezentul document și la anexa acestuia</w:t>
      </w:r>
      <w:r w:rsidR="00BE1761" w:rsidRPr="00E25B13">
        <w:rPr>
          <w:rFonts w:ascii="Times New Roman" w:hAnsi="Times New Roman" w:cs="Times New Roman"/>
          <w:sz w:val="24"/>
          <w:szCs w:val="24"/>
        </w:rPr>
        <w:t xml:space="preserve">, pe e-mail la adresa </w:t>
      </w:r>
      <w:hyperlink r:id="rId7" w:history="1">
        <w:r w:rsidR="00FB2559" w:rsidRPr="00E25B13">
          <w:rPr>
            <w:rStyle w:val="Hyperlink"/>
            <w:rFonts w:ascii="Times New Roman" w:hAnsi="Times New Roman" w:cs="Times New Roman"/>
            <w:sz w:val="24"/>
            <w:szCs w:val="24"/>
          </w:rPr>
          <w:t>anre@anre.ro</w:t>
        </w:r>
      </w:hyperlink>
      <w:r w:rsidR="00BE1761" w:rsidRPr="00E25B13">
        <w:rPr>
          <w:rFonts w:ascii="Times New Roman" w:hAnsi="Times New Roman" w:cs="Times New Roman"/>
          <w:sz w:val="24"/>
          <w:szCs w:val="24"/>
        </w:rPr>
        <w:t xml:space="preserve">, </w:t>
      </w:r>
      <w:r w:rsidR="00EF6330" w:rsidRPr="00E25B13">
        <w:rPr>
          <w:rFonts w:ascii="Times New Roman" w:hAnsi="Times New Roman" w:cs="Times New Roman"/>
          <w:sz w:val="24"/>
          <w:szCs w:val="24"/>
        </w:rPr>
        <w:t>în format Microsoft Word sau Adobe Acrobat, document editabil.</w:t>
      </w:r>
    </w:p>
    <w:p w14:paraId="5F3840F1" w14:textId="0055667A" w:rsidR="00F33DAB" w:rsidRDefault="00EF6330" w:rsidP="009B38BE">
      <w:pPr>
        <w:spacing w:line="360" w:lineRule="auto"/>
        <w:ind w:right="372" w:firstLine="720"/>
        <w:jc w:val="both"/>
        <w:rPr>
          <w:rFonts w:ascii="Times New Roman" w:hAnsi="Times New Roman" w:cs="Times New Roman"/>
          <w:sz w:val="24"/>
          <w:szCs w:val="24"/>
        </w:rPr>
      </w:pPr>
      <w:r w:rsidRPr="00E25B13">
        <w:rPr>
          <w:rFonts w:ascii="Times New Roman" w:hAnsi="Times New Roman" w:cs="Times New Roman"/>
          <w:sz w:val="24"/>
          <w:szCs w:val="24"/>
        </w:rPr>
        <w:t xml:space="preserve">De asemenea, </w:t>
      </w:r>
      <w:r w:rsidR="00454150" w:rsidRPr="00E25B13">
        <w:rPr>
          <w:rFonts w:ascii="Times New Roman" w:hAnsi="Times New Roman" w:cs="Times New Roman"/>
          <w:sz w:val="24"/>
          <w:szCs w:val="24"/>
        </w:rPr>
        <w:t>în situația în care observațiile sau opiniile transmise de părțile interesate conțin date cu caracter de confidențialitate, care nu pot fi publicate în sinteza observațiilor și opiniilor primite de ANRE, ce va fi publicată pe site-ul propriu, acestea vor fi individualizate și indicate în mod clar, în caz contrar considerându-se că ANRE are drept de publicare al acestora.</w:t>
      </w:r>
      <w:r w:rsidR="00454150">
        <w:rPr>
          <w:rFonts w:ascii="Times New Roman" w:hAnsi="Times New Roman" w:cs="Times New Roman"/>
          <w:sz w:val="24"/>
          <w:szCs w:val="24"/>
        </w:rPr>
        <w:t xml:space="preserve"> </w:t>
      </w:r>
    </w:p>
    <w:p w14:paraId="67491662" w14:textId="77777777" w:rsidR="008722F6" w:rsidRPr="00D10086" w:rsidRDefault="008722F6" w:rsidP="009B38BE">
      <w:pPr>
        <w:spacing w:line="360" w:lineRule="auto"/>
        <w:ind w:right="372" w:firstLine="720"/>
        <w:jc w:val="both"/>
        <w:rPr>
          <w:rFonts w:ascii="Times New Roman" w:hAnsi="Times New Roman" w:cs="Times New Roman"/>
          <w:sz w:val="24"/>
          <w:szCs w:val="24"/>
        </w:rPr>
      </w:pPr>
    </w:p>
    <w:sectPr w:rsidR="008722F6" w:rsidRPr="00D10086" w:rsidSect="0027738A">
      <w:footerReference w:type="default" r:id="rId8"/>
      <w:headerReference w:type="first" r:id="rId9"/>
      <w:footerReference w:type="first" r:id="rId10"/>
      <w:pgSz w:w="11906" w:h="16838" w:code="9"/>
      <w:pgMar w:top="1418" w:right="760" w:bottom="1276" w:left="1418" w:header="85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45A3E" w14:textId="77777777" w:rsidR="005D6B39" w:rsidRDefault="005D6B39" w:rsidP="003B4C37">
      <w:pPr>
        <w:spacing w:after="0" w:line="240" w:lineRule="auto"/>
      </w:pPr>
      <w:r>
        <w:separator/>
      </w:r>
    </w:p>
  </w:endnote>
  <w:endnote w:type="continuationSeparator" w:id="0">
    <w:p w14:paraId="14940D6D" w14:textId="77777777" w:rsidR="005D6B39" w:rsidRDefault="005D6B39"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906530"/>
      <w:docPartObj>
        <w:docPartGallery w:val="Page Numbers (Bottom of Page)"/>
        <w:docPartUnique/>
      </w:docPartObj>
    </w:sdtPr>
    <w:sdtEndPr>
      <w:rPr>
        <w:noProof/>
      </w:rPr>
    </w:sdtEndPr>
    <w:sdtContent>
      <w:p w14:paraId="10166C1A" w14:textId="26D37E30" w:rsidR="00561D6D" w:rsidRDefault="00561D6D">
        <w:pPr>
          <w:pStyle w:val="Footer"/>
          <w:jc w:val="center"/>
        </w:pPr>
        <w:r>
          <w:fldChar w:fldCharType="begin"/>
        </w:r>
        <w:r>
          <w:instrText xml:space="preserve"> PAGE   \* MERGEFORMAT </w:instrText>
        </w:r>
        <w:r>
          <w:fldChar w:fldCharType="separate"/>
        </w:r>
        <w:r w:rsidR="00A36ACB">
          <w:rPr>
            <w:noProof/>
          </w:rPr>
          <w:t>2</w:t>
        </w:r>
        <w:r>
          <w:rPr>
            <w:noProof/>
          </w:rPr>
          <w:fldChar w:fldCharType="end"/>
        </w:r>
      </w:p>
    </w:sdtContent>
  </w:sdt>
  <w:p w14:paraId="473DDA77"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BA91"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20781EB9"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13051" w14:textId="77777777" w:rsidR="005D6B39" w:rsidRDefault="005D6B39" w:rsidP="003B4C37">
      <w:pPr>
        <w:spacing w:after="0" w:line="240" w:lineRule="auto"/>
      </w:pPr>
      <w:r>
        <w:separator/>
      </w:r>
    </w:p>
  </w:footnote>
  <w:footnote w:type="continuationSeparator" w:id="0">
    <w:p w14:paraId="492DB223" w14:textId="77777777" w:rsidR="005D6B39" w:rsidRDefault="005D6B39"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19214" w14:textId="1907191F" w:rsidR="003927D9" w:rsidRDefault="006E0DF7" w:rsidP="003927D9">
    <w:pPr>
      <w:pStyle w:val="Header"/>
      <w:tabs>
        <w:tab w:val="clear" w:pos="9026"/>
        <w:tab w:val="right" w:pos="7349"/>
      </w:tabs>
    </w:pPr>
    <w:r>
      <w:rPr>
        <w:noProof/>
        <w:lang w:eastAsia="ro-RO"/>
      </w:rPr>
      <mc:AlternateContent>
        <mc:Choice Requires="wps">
          <w:drawing>
            <wp:anchor distT="0" distB="0" distL="114300" distR="114300" simplePos="0" relativeHeight="251659264" behindDoc="0" locked="0" layoutInCell="1" allowOverlap="1" wp14:anchorId="710D5F03" wp14:editId="405B7F7F">
              <wp:simplePos x="0" y="0"/>
              <wp:positionH relativeFrom="margin">
                <wp:align>center</wp:align>
              </wp:positionH>
              <wp:positionV relativeFrom="paragraph">
                <wp:posOffset>-123190</wp:posOffset>
              </wp:positionV>
              <wp:extent cx="5191125" cy="7143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128AC"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58422D0B" w14:textId="77777777" w:rsidR="0083535D" w:rsidRDefault="0083535D" w:rsidP="003B4C37">
                          <w:pPr>
                            <w:spacing w:after="0" w:line="240" w:lineRule="auto"/>
                            <w:jc w:val="center"/>
                            <w:rPr>
                              <w:rFonts w:ascii="Arial" w:hAnsi="Arial" w:cs="Arial"/>
                              <w:sz w:val="20"/>
                            </w:rPr>
                          </w:pPr>
                        </w:p>
                        <w:p w14:paraId="51CC8C27" w14:textId="77777777" w:rsidR="003927D9" w:rsidRDefault="003927D9" w:rsidP="003B4C37">
                          <w:pPr>
                            <w:spacing w:after="0" w:line="240" w:lineRule="auto"/>
                            <w:jc w:val="center"/>
                            <w:rPr>
                              <w:rFonts w:ascii="Arial" w:hAnsi="Arial" w:cs="Arial"/>
                              <w:sz w:val="20"/>
                            </w:rPr>
                          </w:pPr>
                        </w:p>
                        <w:p w14:paraId="2F2999FF" w14:textId="77777777" w:rsidR="003927D9" w:rsidRDefault="003927D9" w:rsidP="003B4C37">
                          <w:pPr>
                            <w:spacing w:after="0" w:line="240" w:lineRule="auto"/>
                            <w:jc w:val="center"/>
                            <w:rPr>
                              <w:rFonts w:ascii="Arial" w:hAnsi="Arial" w:cs="Arial"/>
                              <w:sz w:val="20"/>
                            </w:rPr>
                          </w:pPr>
                        </w:p>
                        <w:p w14:paraId="6A059FB4" w14:textId="77777777" w:rsidR="003927D9" w:rsidRPr="004B1447" w:rsidRDefault="003927D9" w:rsidP="003B4C37">
                          <w:pPr>
                            <w:spacing w:after="0" w:line="240" w:lineRule="auto"/>
                            <w:jc w:val="cente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D5F03" id="_x0000_t202" coordsize="21600,21600" o:spt="202" path="m,l,21600r21600,l21600,xe">
              <v:stroke joinstyle="miter"/>
              <v:path gradientshapeok="t" o:connecttype="rect"/>
            </v:shapetype>
            <v:shape id="Text Box 1" o:spid="_x0000_s1026" type="#_x0000_t202" style="position:absolute;margin-left:0;margin-top:-9.7pt;width:408.75pt;height:56.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" filled="f" stroked="f" strokeweight=".5pt">
              <v:textbox>
                <w:txbxContent>
                  <w:p w14:paraId="47C128AC"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58422D0B" w14:textId="77777777" w:rsidR="0083535D" w:rsidRDefault="0083535D" w:rsidP="003B4C37">
                    <w:pPr>
                      <w:spacing w:after="0" w:line="240" w:lineRule="auto"/>
                      <w:jc w:val="center"/>
                      <w:rPr>
                        <w:rFonts w:ascii="Arial" w:hAnsi="Arial" w:cs="Arial"/>
                        <w:sz w:val="20"/>
                      </w:rPr>
                    </w:pPr>
                  </w:p>
                  <w:p w14:paraId="51CC8C27" w14:textId="77777777" w:rsidR="003927D9" w:rsidRDefault="003927D9" w:rsidP="003B4C37">
                    <w:pPr>
                      <w:spacing w:after="0" w:line="240" w:lineRule="auto"/>
                      <w:jc w:val="center"/>
                      <w:rPr>
                        <w:rFonts w:ascii="Arial" w:hAnsi="Arial" w:cs="Arial"/>
                        <w:sz w:val="20"/>
                      </w:rPr>
                    </w:pPr>
                  </w:p>
                  <w:p w14:paraId="2F2999FF" w14:textId="77777777" w:rsidR="003927D9" w:rsidRDefault="003927D9" w:rsidP="003B4C37">
                    <w:pPr>
                      <w:spacing w:after="0" w:line="240" w:lineRule="auto"/>
                      <w:jc w:val="center"/>
                      <w:rPr>
                        <w:rFonts w:ascii="Arial" w:hAnsi="Arial" w:cs="Arial"/>
                        <w:sz w:val="20"/>
                      </w:rPr>
                    </w:pPr>
                  </w:p>
                  <w:p w14:paraId="6A059FB4" w14:textId="77777777" w:rsidR="003927D9" w:rsidRPr="004B1447" w:rsidRDefault="003927D9" w:rsidP="003B4C37">
                    <w:pPr>
                      <w:spacing w:after="0" w:line="240" w:lineRule="auto"/>
                      <w:jc w:val="center"/>
                      <w:rPr>
                        <w:rFonts w:ascii="Arial" w:hAnsi="Arial" w:cs="Arial"/>
                        <w:sz w:val="20"/>
                      </w:rPr>
                    </w:pPr>
                  </w:p>
                </w:txbxContent>
              </v:textbox>
              <w10:wrap anchorx="margin"/>
            </v:shape>
          </w:pict>
        </mc:Fallback>
      </mc:AlternateContent>
    </w:r>
    <w:r w:rsidR="003927D9">
      <w:rPr>
        <w:noProof/>
        <w:lang w:eastAsia="ro-RO"/>
      </w:rPr>
      <w:drawing>
        <wp:inline distT="0" distB="0" distL="0" distR="0" wp14:anchorId="6D963C45" wp14:editId="37931269">
          <wp:extent cx="834390" cy="70763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6270" cy="717710"/>
                  </a:xfrm>
                  <a:prstGeom prst="rect">
                    <a:avLst/>
                  </a:prstGeom>
                </pic:spPr>
              </pic:pic>
            </a:graphicData>
          </a:graphic>
        </wp:inline>
      </w:drawing>
    </w:r>
    <w:r w:rsidR="0027738A">
      <w:rPr>
        <w:noProof/>
        <w:lang w:eastAsia="ro-RO"/>
      </w:rPr>
      <w:drawing>
        <wp:anchor distT="0" distB="0" distL="114300" distR="114300" simplePos="0" relativeHeight="251661312" behindDoc="1" locked="0" layoutInCell="1" allowOverlap="1" wp14:anchorId="20361CFD" wp14:editId="5702DD64">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003B4C37" w:rsidRPr="006521DE">
      <w:rPr>
        <w:noProof/>
        <w:lang w:val="en-GB" w:eastAsia="en-GB"/>
      </w:rPr>
      <w:t xml:space="preserve"> </w:t>
    </w:r>
    <w:r w:rsidR="003B4C37">
      <w:t xml:space="preserve">                                                                                                                                                                </w:t>
    </w:r>
  </w:p>
  <w:p w14:paraId="0B4DF338" w14:textId="77777777" w:rsidR="003B4C37" w:rsidRDefault="0027738A" w:rsidP="003927D9">
    <w:pPr>
      <w:pStyle w:val="Header"/>
      <w:tabs>
        <w:tab w:val="clear" w:pos="9026"/>
        <w:tab w:val="right" w:pos="7349"/>
      </w:tabs>
    </w:pPr>
    <w:r>
      <w:rPr>
        <w:noProof/>
        <w:lang w:eastAsia="ro-RO"/>
      </w:rPr>
      <mc:AlternateContent>
        <mc:Choice Requires="wps">
          <w:drawing>
            <wp:anchor distT="0" distB="0" distL="114300" distR="114300" simplePos="0" relativeHeight="251660288" behindDoc="0" locked="0" layoutInCell="1" allowOverlap="1" wp14:anchorId="23F42A1C" wp14:editId="69003369">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E55EC8"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415D"/>
    <w:multiLevelType w:val="hybridMultilevel"/>
    <w:tmpl w:val="CC126DDE"/>
    <w:lvl w:ilvl="0" w:tplc="0410000B">
      <w:start w:val="1"/>
      <w:numFmt w:val="bullet"/>
      <w:pStyle w:val="ListBullet3"/>
      <w:lvlText w:val=""/>
      <w:lvlJc w:val="left"/>
      <w:pPr>
        <w:tabs>
          <w:tab w:val="num" w:pos="360"/>
        </w:tabs>
        <w:ind w:left="360" w:hanging="360"/>
      </w:pPr>
      <w:rPr>
        <w:rFonts w:ascii="Wingdings" w:hAnsi="Wingdings" w:hint="default"/>
      </w:rPr>
    </w:lvl>
    <w:lvl w:ilvl="1" w:tplc="0C070001">
      <w:start w:val="1"/>
      <w:numFmt w:val="bullet"/>
      <w:lvlText w:val=""/>
      <w:lvlJc w:val="left"/>
      <w:pPr>
        <w:tabs>
          <w:tab w:val="num" w:pos="1440"/>
        </w:tabs>
        <w:ind w:left="1440" w:hanging="360"/>
      </w:pPr>
      <w:rPr>
        <w:rFonts w:ascii="Symbol" w:hAnsi="Symbol"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A137EB"/>
    <w:multiLevelType w:val="hybridMultilevel"/>
    <w:tmpl w:val="10A846D4"/>
    <w:lvl w:ilvl="0" w:tplc="5742FDE6">
      <w:start w:val="1"/>
      <w:numFmt w:val="lowerLetter"/>
      <w:lvlText w:val="(%1)"/>
      <w:lvlJc w:val="left"/>
      <w:pPr>
        <w:ind w:left="4083" w:hanging="1128"/>
      </w:pPr>
      <w:rPr>
        <w:rFonts w:hint="default"/>
      </w:rPr>
    </w:lvl>
    <w:lvl w:ilvl="1" w:tplc="04090019" w:tentative="1">
      <w:start w:val="1"/>
      <w:numFmt w:val="lowerLetter"/>
      <w:lvlText w:val="%2."/>
      <w:lvlJc w:val="left"/>
      <w:pPr>
        <w:ind w:left="4035" w:hanging="360"/>
      </w:pPr>
    </w:lvl>
    <w:lvl w:ilvl="2" w:tplc="0409001B" w:tentative="1">
      <w:start w:val="1"/>
      <w:numFmt w:val="lowerRoman"/>
      <w:lvlText w:val="%3."/>
      <w:lvlJc w:val="right"/>
      <w:pPr>
        <w:ind w:left="4755" w:hanging="180"/>
      </w:pPr>
    </w:lvl>
    <w:lvl w:ilvl="3" w:tplc="0409000F" w:tentative="1">
      <w:start w:val="1"/>
      <w:numFmt w:val="decimal"/>
      <w:lvlText w:val="%4."/>
      <w:lvlJc w:val="left"/>
      <w:pPr>
        <w:ind w:left="5475" w:hanging="360"/>
      </w:pPr>
    </w:lvl>
    <w:lvl w:ilvl="4" w:tplc="04090019" w:tentative="1">
      <w:start w:val="1"/>
      <w:numFmt w:val="lowerLetter"/>
      <w:lvlText w:val="%5."/>
      <w:lvlJc w:val="left"/>
      <w:pPr>
        <w:ind w:left="6195" w:hanging="360"/>
      </w:pPr>
    </w:lvl>
    <w:lvl w:ilvl="5" w:tplc="0409001B" w:tentative="1">
      <w:start w:val="1"/>
      <w:numFmt w:val="lowerRoman"/>
      <w:lvlText w:val="%6."/>
      <w:lvlJc w:val="right"/>
      <w:pPr>
        <w:ind w:left="6915" w:hanging="180"/>
      </w:pPr>
    </w:lvl>
    <w:lvl w:ilvl="6" w:tplc="0409000F" w:tentative="1">
      <w:start w:val="1"/>
      <w:numFmt w:val="decimal"/>
      <w:lvlText w:val="%7."/>
      <w:lvlJc w:val="left"/>
      <w:pPr>
        <w:ind w:left="7635" w:hanging="360"/>
      </w:pPr>
    </w:lvl>
    <w:lvl w:ilvl="7" w:tplc="04090019" w:tentative="1">
      <w:start w:val="1"/>
      <w:numFmt w:val="lowerLetter"/>
      <w:lvlText w:val="%8."/>
      <w:lvlJc w:val="left"/>
      <w:pPr>
        <w:ind w:left="8355" w:hanging="360"/>
      </w:pPr>
    </w:lvl>
    <w:lvl w:ilvl="8" w:tplc="0409001B" w:tentative="1">
      <w:start w:val="1"/>
      <w:numFmt w:val="lowerRoman"/>
      <w:lvlText w:val="%9."/>
      <w:lvlJc w:val="right"/>
      <w:pPr>
        <w:ind w:left="9075" w:hanging="180"/>
      </w:pPr>
    </w:lvl>
  </w:abstractNum>
  <w:abstractNum w:abstractNumId="2" w15:restartNumberingAfterBreak="0">
    <w:nsid w:val="182E4079"/>
    <w:multiLevelType w:val="hybridMultilevel"/>
    <w:tmpl w:val="F2B6C85E"/>
    <w:lvl w:ilvl="0" w:tplc="380A3AC4">
      <w:start w:val="3"/>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83507A"/>
    <w:multiLevelType w:val="hybridMultilevel"/>
    <w:tmpl w:val="7A347EB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1BA135C"/>
    <w:multiLevelType w:val="hybridMultilevel"/>
    <w:tmpl w:val="BDE45BF0"/>
    <w:lvl w:ilvl="0" w:tplc="04090001">
      <w:start w:val="1"/>
      <w:numFmt w:val="bullet"/>
      <w:lvlText w:val=""/>
      <w:lvlJc w:val="left"/>
      <w:pPr>
        <w:ind w:left="2880" w:hanging="360"/>
      </w:pPr>
      <w:rPr>
        <w:rFonts w:ascii="Symbol" w:hAnsi="Symbol"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5" w15:restartNumberingAfterBreak="0">
    <w:nsid w:val="3EC01DAC"/>
    <w:multiLevelType w:val="hybridMultilevel"/>
    <w:tmpl w:val="F26218C0"/>
    <w:lvl w:ilvl="0" w:tplc="5544A24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E70D68"/>
    <w:multiLevelType w:val="hybridMultilevel"/>
    <w:tmpl w:val="7DD24944"/>
    <w:lvl w:ilvl="0" w:tplc="39F61E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800A91"/>
    <w:multiLevelType w:val="hybridMultilevel"/>
    <w:tmpl w:val="407EA62C"/>
    <w:lvl w:ilvl="0" w:tplc="9C4221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0"/>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C37"/>
    <w:rsid w:val="00025E41"/>
    <w:rsid w:val="0003152F"/>
    <w:rsid w:val="00096493"/>
    <w:rsid w:val="000D4689"/>
    <w:rsid w:val="000E6DB7"/>
    <w:rsid w:val="000F4624"/>
    <w:rsid w:val="00111004"/>
    <w:rsid w:val="00123A54"/>
    <w:rsid w:val="00127E64"/>
    <w:rsid w:val="00130459"/>
    <w:rsid w:val="0013274F"/>
    <w:rsid w:val="00147AF4"/>
    <w:rsid w:val="00151F57"/>
    <w:rsid w:val="00160D1D"/>
    <w:rsid w:val="00172D21"/>
    <w:rsid w:val="001B3810"/>
    <w:rsid w:val="001C06DD"/>
    <w:rsid w:val="001C5EAA"/>
    <w:rsid w:val="001D7EE6"/>
    <w:rsid w:val="001E6106"/>
    <w:rsid w:val="001F6855"/>
    <w:rsid w:val="002223F9"/>
    <w:rsid w:val="002349B4"/>
    <w:rsid w:val="0027536B"/>
    <w:rsid w:val="0027738A"/>
    <w:rsid w:val="002B3467"/>
    <w:rsid w:val="00301D0A"/>
    <w:rsid w:val="00315655"/>
    <w:rsid w:val="0034627F"/>
    <w:rsid w:val="00371041"/>
    <w:rsid w:val="0037242D"/>
    <w:rsid w:val="003744AB"/>
    <w:rsid w:val="00383E23"/>
    <w:rsid w:val="003842D0"/>
    <w:rsid w:val="003850FE"/>
    <w:rsid w:val="003927D9"/>
    <w:rsid w:val="00395D85"/>
    <w:rsid w:val="003A6EF0"/>
    <w:rsid w:val="003B0ECB"/>
    <w:rsid w:val="003B4C37"/>
    <w:rsid w:val="003D5D85"/>
    <w:rsid w:val="00406E37"/>
    <w:rsid w:val="0043448D"/>
    <w:rsid w:val="00437C42"/>
    <w:rsid w:val="00444064"/>
    <w:rsid w:val="00454150"/>
    <w:rsid w:val="0047208B"/>
    <w:rsid w:val="004C0B86"/>
    <w:rsid w:val="00531E9D"/>
    <w:rsid w:val="00561D6D"/>
    <w:rsid w:val="005A480A"/>
    <w:rsid w:val="005A79D2"/>
    <w:rsid w:val="005B7C3D"/>
    <w:rsid w:val="005D2C93"/>
    <w:rsid w:val="005D6B39"/>
    <w:rsid w:val="005E003D"/>
    <w:rsid w:val="005F3D43"/>
    <w:rsid w:val="006120B6"/>
    <w:rsid w:val="00620875"/>
    <w:rsid w:val="00630ACF"/>
    <w:rsid w:val="006805A2"/>
    <w:rsid w:val="00685C42"/>
    <w:rsid w:val="006877B6"/>
    <w:rsid w:val="006A2FB3"/>
    <w:rsid w:val="006E0DF7"/>
    <w:rsid w:val="00710579"/>
    <w:rsid w:val="00783416"/>
    <w:rsid w:val="007854B6"/>
    <w:rsid w:val="00790977"/>
    <w:rsid w:val="007A183A"/>
    <w:rsid w:val="007B3DCB"/>
    <w:rsid w:val="007C0BC0"/>
    <w:rsid w:val="007E7DE0"/>
    <w:rsid w:val="008222EF"/>
    <w:rsid w:val="00827CDE"/>
    <w:rsid w:val="0083535D"/>
    <w:rsid w:val="00845749"/>
    <w:rsid w:val="00854221"/>
    <w:rsid w:val="00861151"/>
    <w:rsid w:val="008722F6"/>
    <w:rsid w:val="00877AEF"/>
    <w:rsid w:val="00895766"/>
    <w:rsid w:val="008B1298"/>
    <w:rsid w:val="008B5C27"/>
    <w:rsid w:val="008D7198"/>
    <w:rsid w:val="008D7A6B"/>
    <w:rsid w:val="008E47A5"/>
    <w:rsid w:val="008F401E"/>
    <w:rsid w:val="00923D34"/>
    <w:rsid w:val="009458F5"/>
    <w:rsid w:val="00972EB2"/>
    <w:rsid w:val="00977A1D"/>
    <w:rsid w:val="00977C43"/>
    <w:rsid w:val="009B38BE"/>
    <w:rsid w:val="009C01B6"/>
    <w:rsid w:val="00A06EE0"/>
    <w:rsid w:val="00A14658"/>
    <w:rsid w:val="00A32F29"/>
    <w:rsid w:val="00A36ACB"/>
    <w:rsid w:val="00A43E22"/>
    <w:rsid w:val="00A946CF"/>
    <w:rsid w:val="00AD585D"/>
    <w:rsid w:val="00AE6FF1"/>
    <w:rsid w:val="00AF0919"/>
    <w:rsid w:val="00B21FF5"/>
    <w:rsid w:val="00B25732"/>
    <w:rsid w:val="00B31376"/>
    <w:rsid w:val="00B56190"/>
    <w:rsid w:val="00B66783"/>
    <w:rsid w:val="00B705D6"/>
    <w:rsid w:val="00B75657"/>
    <w:rsid w:val="00B81C1F"/>
    <w:rsid w:val="00BA16A5"/>
    <w:rsid w:val="00BC2B81"/>
    <w:rsid w:val="00BD1BCD"/>
    <w:rsid w:val="00BD2AD7"/>
    <w:rsid w:val="00BE1761"/>
    <w:rsid w:val="00BE3B1E"/>
    <w:rsid w:val="00C317E8"/>
    <w:rsid w:val="00C410BE"/>
    <w:rsid w:val="00C45609"/>
    <w:rsid w:val="00C70586"/>
    <w:rsid w:val="00C73C28"/>
    <w:rsid w:val="00C924BC"/>
    <w:rsid w:val="00CA5684"/>
    <w:rsid w:val="00CD4C94"/>
    <w:rsid w:val="00CD580F"/>
    <w:rsid w:val="00D077C2"/>
    <w:rsid w:val="00D10086"/>
    <w:rsid w:val="00D16FE8"/>
    <w:rsid w:val="00D17C7B"/>
    <w:rsid w:val="00D47766"/>
    <w:rsid w:val="00D66765"/>
    <w:rsid w:val="00DA485D"/>
    <w:rsid w:val="00DA6ECF"/>
    <w:rsid w:val="00E25B13"/>
    <w:rsid w:val="00E97B80"/>
    <w:rsid w:val="00EA2F0B"/>
    <w:rsid w:val="00EF5C48"/>
    <w:rsid w:val="00EF6330"/>
    <w:rsid w:val="00F12827"/>
    <w:rsid w:val="00F33DAB"/>
    <w:rsid w:val="00F80B77"/>
    <w:rsid w:val="00F90F91"/>
    <w:rsid w:val="00FA5BB2"/>
    <w:rsid w:val="00FB2559"/>
    <w:rsid w:val="00FE3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263B5F6"/>
  <w15:docId w15:val="{DAB68614-7FAB-480D-8D8E-74FF053F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A146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3D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line="240" w:lineRule="auto"/>
    </w:pPr>
    <w:rPr>
      <w:rFonts w:ascii="Times New Roman" w:eastAsia="Times New Roman" w:hAnsi="Times New Roman" w:cs="Times New Roman"/>
      <w:sz w:val="24"/>
      <w:szCs w:val="24"/>
      <w:lang w:val="pl-PL" w:eastAsia="pl-PL"/>
    </w:rPr>
  </w:style>
  <w:style w:type="paragraph" w:customStyle="1" w:styleId="CharCharCharChar0">
    <w:name w:val="Char Char Char Char"/>
    <w:basedOn w:val="Normal"/>
    <w:rsid w:val="003850FE"/>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paragraph" w:styleId="ListParagraph">
    <w:name w:val="List Paragraph"/>
    <w:basedOn w:val="Normal"/>
    <w:uiPriority w:val="34"/>
    <w:qFormat/>
    <w:rsid w:val="00D10086"/>
    <w:pPr>
      <w:ind w:left="720"/>
      <w:contextualSpacing/>
    </w:pPr>
  </w:style>
  <w:style w:type="character" w:customStyle="1" w:styleId="Heading3Char">
    <w:name w:val="Heading 3 Char"/>
    <w:basedOn w:val="DefaultParagraphFont"/>
    <w:link w:val="Heading3"/>
    <w:uiPriority w:val="9"/>
    <w:semiHidden/>
    <w:rsid w:val="00F33DAB"/>
    <w:rPr>
      <w:rFonts w:asciiTheme="majorHAnsi" w:eastAsiaTheme="majorEastAsia" w:hAnsiTheme="majorHAnsi" w:cstheme="majorBidi"/>
      <w:color w:val="1F4D78" w:themeColor="accent1" w:themeShade="7F"/>
      <w:sz w:val="24"/>
      <w:szCs w:val="24"/>
      <w:lang w:val="ro-RO"/>
    </w:rPr>
  </w:style>
  <w:style w:type="paragraph" w:styleId="ListBullet3">
    <w:name w:val="List Bullet 3"/>
    <w:basedOn w:val="Normal"/>
    <w:autoRedefine/>
    <w:uiPriority w:val="99"/>
    <w:semiHidden/>
    <w:unhideWhenUsed/>
    <w:rsid w:val="00AE6FF1"/>
    <w:pPr>
      <w:numPr>
        <w:numId w:val="4"/>
      </w:numPr>
      <w:tabs>
        <w:tab w:val="clear" w:pos="360"/>
        <w:tab w:val="num" w:pos="926"/>
      </w:tabs>
      <w:spacing w:after="0" w:line="240" w:lineRule="auto"/>
      <w:ind w:left="926"/>
    </w:pPr>
    <w:rPr>
      <w:rFonts w:ascii="Times New Roman" w:eastAsia="Times New Roman" w:hAnsi="Times New Roman" w:cs="Times New Roman"/>
      <w:sz w:val="24"/>
      <w:szCs w:val="24"/>
      <w:lang w:val="it-IT" w:eastAsia="it-IT"/>
    </w:rPr>
  </w:style>
  <w:style w:type="character" w:styleId="Hyperlink">
    <w:name w:val="Hyperlink"/>
    <w:basedOn w:val="DefaultParagraphFont"/>
    <w:uiPriority w:val="99"/>
    <w:unhideWhenUsed/>
    <w:rsid w:val="006805A2"/>
    <w:rPr>
      <w:color w:val="0563C1" w:themeColor="hyperlink"/>
      <w:u w:val="single"/>
    </w:rPr>
  </w:style>
  <w:style w:type="character" w:customStyle="1" w:styleId="UnresolvedMention1">
    <w:name w:val="Unresolved Mention1"/>
    <w:basedOn w:val="DefaultParagraphFont"/>
    <w:uiPriority w:val="99"/>
    <w:semiHidden/>
    <w:unhideWhenUsed/>
    <w:rsid w:val="006805A2"/>
    <w:rPr>
      <w:color w:val="605E5C"/>
      <w:shd w:val="clear" w:color="auto" w:fill="E1DFDD"/>
    </w:rPr>
  </w:style>
  <w:style w:type="character" w:styleId="UnresolvedMention">
    <w:name w:val="Unresolved Mention"/>
    <w:basedOn w:val="DefaultParagraphFont"/>
    <w:uiPriority w:val="99"/>
    <w:semiHidden/>
    <w:unhideWhenUsed/>
    <w:rsid w:val="00B705D6"/>
    <w:rPr>
      <w:color w:val="605E5C"/>
      <w:shd w:val="clear" w:color="auto" w:fill="E1DFDD"/>
    </w:rPr>
  </w:style>
  <w:style w:type="paragraph" w:customStyle="1" w:styleId="CharCharCharChar1">
    <w:name w:val="Char Char Char Char"/>
    <w:basedOn w:val="Normal"/>
    <w:rsid w:val="009B38BE"/>
    <w:pPr>
      <w:spacing w:after="0" w:line="240" w:lineRule="auto"/>
    </w:pPr>
    <w:rPr>
      <w:rFonts w:ascii="Times New Roman" w:eastAsia="Times New Roman" w:hAnsi="Times New Roman" w:cs="Times New Roman"/>
      <w:noProof/>
      <w:sz w:val="24"/>
      <w:szCs w:val="24"/>
      <w:lang w:val="pl-PL" w:eastAsia="pl-PL"/>
    </w:rPr>
  </w:style>
  <w:style w:type="paragraph" w:styleId="BodyTextIndent2">
    <w:name w:val="Body Text Indent 2"/>
    <w:basedOn w:val="Normal"/>
    <w:link w:val="BodyTextIndent2Char"/>
    <w:rsid w:val="008722F6"/>
    <w:pPr>
      <w:spacing w:after="0" w:line="240" w:lineRule="auto"/>
      <w:ind w:firstLine="72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8722F6"/>
    <w:rPr>
      <w:rFonts w:ascii="Times New Roman" w:eastAsia="Times New Roman" w:hAnsi="Times New Roman"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09375">
      <w:bodyDiv w:val="1"/>
      <w:marLeft w:val="0"/>
      <w:marRight w:val="0"/>
      <w:marTop w:val="0"/>
      <w:marBottom w:val="0"/>
      <w:divBdr>
        <w:top w:val="none" w:sz="0" w:space="0" w:color="auto"/>
        <w:left w:val="none" w:sz="0" w:space="0" w:color="auto"/>
        <w:bottom w:val="none" w:sz="0" w:space="0" w:color="auto"/>
        <w:right w:val="none" w:sz="0" w:space="0" w:color="auto"/>
      </w:divBdr>
    </w:div>
    <w:div w:id="126630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re@anre.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3823</TotalTime>
  <Pages>3</Pages>
  <Words>822</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15</cp:revision>
  <cp:lastPrinted>2018-12-04T09:31:00Z</cp:lastPrinted>
  <dcterms:created xsi:type="dcterms:W3CDTF">2018-12-06T10:45:00Z</dcterms:created>
  <dcterms:modified xsi:type="dcterms:W3CDTF">2024-02-28T10:07:00Z</dcterms:modified>
</cp:coreProperties>
</file>