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B0" w:rsidRPr="00752082" w:rsidRDefault="00525CCB" w:rsidP="002B3BD3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Proiect de </w:t>
      </w:r>
      <w:r w:rsidR="00A54013" w:rsidRPr="00752082">
        <w:rPr>
          <w:rFonts w:ascii="Times New Roman" w:hAnsi="Times New Roman" w:cs="Times New Roman"/>
          <w:b/>
          <w:bCs/>
          <w:sz w:val="24"/>
          <w:szCs w:val="24"/>
        </w:rPr>
        <w:t>Ordin</w:t>
      </w:r>
    </w:p>
    <w:p w:rsidR="000E29BD" w:rsidRPr="00752082" w:rsidRDefault="000E29BD" w:rsidP="002B3BD3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pentru aprobarea </w:t>
      </w:r>
      <w:r w:rsidR="00932091" w:rsidRPr="00752082">
        <w:rPr>
          <w:rFonts w:ascii="Times New Roman" w:hAnsi="Times New Roman" w:cs="Times New Roman"/>
          <w:b/>
          <w:bCs/>
          <w:sz w:val="24"/>
          <w:szCs w:val="24"/>
        </w:rPr>
        <w:t>Metodologiei</w:t>
      </w:r>
      <w:r w:rsidR="009A7E27"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AFB"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de stabilire a </w:t>
      </w:r>
      <w:r w:rsidR="00E601E0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prețului maximal pentru achiziționarea de către operatorul de transport și </w:t>
      </w:r>
      <w:r w:rsidR="007D36C1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de </w:t>
      </w:r>
      <w:r w:rsidR="00E601E0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sistem a </w:t>
      </w:r>
      <w:r w:rsidR="007D36C1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serviciului de sistem </w:t>
      </w:r>
      <w:r w:rsidR="00E601E0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pentru reglajul tensiunii în </w:t>
      </w:r>
      <w:r w:rsidR="007D36C1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reţeaua electrică de transport</w:t>
      </w:r>
    </w:p>
    <w:p w:rsidR="000E29BD" w:rsidRPr="00752082" w:rsidRDefault="000E29BD" w:rsidP="009E7C8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409F" w:rsidRPr="00752082" w:rsidRDefault="000E29BD" w:rsidP="009E7C8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>Având în vedere</w:t>
      </w:r>
      <w:r w:rsidR="00E54D1B" w:rsidRPr="00752082">
        <w:rPr>
          <w:rFonts w:ascii="Times New Roman" w:hAnsi="Times New Roman" w:cs="Times New Roman"/>
          <w:sz w:val="24"/>
          <w:szCs w:val="24"/>
        </w:rPr>
        <w:t xml:space="preserve"> </w:t>
      </w:r>
      <w:r w:rsidRPr="00752082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A1409F" w:rsidRPr="00752082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E601E0" w:rsidRPr="00752082">
        <w:rPr>
          <w:rFonts w:ascii="Times New Roman" w:eastAsia="Calibri" w:hAnsi="Times New Roman" w:cs="Times New Roman"/>
          <w:sz w:val="24"/>
          <w:szCs w:val="24"/>
        </w:rPr>
        <w:t xml:space="preserve">36 </w:t>
      </w:r>
      <w:r w:rsidR="00A1409F" w:rsidRPr="00752082">
        <w:rPr>
          <w:rFonts w:ascii="Times New Roman" w:eastAsia="Calibri" w:hAnsi="Times New Roman" w:cs="Times New Roman"/>
          <w:sz w:val="24"/>
          <w:szCs w:val="24"/>
        </w:rPr>
        <w:t>alin. (</w:t>
      </w:r>
      <w:r w:rsidR="00E601E0" w:rsidRPr="00752082">
        <w:rPr>
          <w:rFonts w:ascii="Times New Roman" w:eastAsia="Calibri" w:hAnsi="Times New Roman" w:cs="Times New Roman"/>
          <w:sz w:val="24"/>
          <w:szCs w:val="24"/>
        </w:rPr>
        <w:t>16</w:t>
      </w:r>
      <w:r w:rsidR="00A1409F" w:rsidRPr="0075208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52082">
        <w:rPr>
          <w:rFonts w:ascii="Times New Roman" w:hAnsi="Times New Roman" w:cs="Times New Roman"/>
          <w:sz w:val="24"/>
          <w:szCs w:val="24"/>
        </w:rPr>
        <w:t xml:space="preserve">din Legea energiei electrice </w:t>
      </w:r>
      <w:r w:rsidR="00667944" w:rsidRPr="00752082">
        <w:rPr>
          <w:rFonts w:ascii="Times New Roman" w:hAnsi="Times New Roman" w:cs="Times New Roman"/>
          <w:sz w:val="24"/>
          <w:szCs w:val="24"/>
        </w:rPr>
        <w:t>ș</w:t>
      </w:r>
      <w:r w:rsidRPr="00752082">
        <w:rPr>
          <w:rFonts w:ascii="Times New Roman" w:hAnsi="Times New Roman" w:cs="Times New Roman"/>
          <w:sz w:val="24"/>
          <w:szCs w:val="24"/>
        </w:rPr>
        <w:t>i a gazelor naturale nr. 123/2012</w:t>
      </w:r>
      <w:r w:rsidR="00112128" w:rsidRPr="00752082">
        <w:rPr>
          <w:rFonts w:ascii="Times New Roman" w:hAnsi="Times New Roman" w:cs="Times New Roman"/>
          <w:sz w:val="24"/>
          <w:szCs w:val="24"/>
        </w:rPr>
        <w:t>,</w:t>
      </w:r>
      <w:r w:rsidRPr="00752082">
        <w:rPr>
          <w:rFonts w:ascii="Times New Roman" w:hAnsi="Times New Roman" w:cs="Times New Roman"/>
          <w:sz w:val="24"/>
          <w:szCs w:val="24"/>
        </w:rPr>
        <w:t xml:space="preserve"> cu modificările </w:t>
      </w:r>
      <w:r w:rsidR="00667944" w:rsidRPr="00752082">
        <w:rPr>
          <w:rFonts w:ascii="Times New Roman" w:hAnsi="Times New Roman" w:cs="Times New Roman"/>
          <w:sz w:val="24"/>
          <w:szCs w:val="24"/>
        </w:rPr>
        <w:t>ș</w:t>
      </w:r>
      <w:r w:rsidRPr="00752082">
        <w:rPr>
          <w:rFonts w:ascii="Times New Roman" w:hAnsi="Times New Roman" w:cs="Times New Roman"/>
          <w:sz w:val="24"/>
          <w:szCs w:val="24"/>
        </w:rPr>
        <w:t>i completările ulterioare,</w:t>
      </w:r>
      <w:r w:rsidR="00E44409" w:rsidRPr="0075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9BD" w:rsidRDefault="000E29BD" w:rsidP="009E7C8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>în temeiul prevederilor art. 5 alin. (1) lit. c)</w:t>
      </w:r>
      <w:r w:rsidR="00782C46">
        <w:rPr>
          <w:rFonts w:ascii="Times New Roman" w:hAnsi="Times New Roman" w:cs="Times New Roman"/>
          <w:sz w:val="24"/>
          <w:szCs w:val="24"/>
        </w:rPr>
        <w:t xml:space="preserve">, alin. (5) </w:t>
      </w:r>
      <w:r w:rsidR="00667944" w:rsidRPr="00752082">
        <w:rPr>
          <w:rFonts w:ascii="Times New Roman" w:hAnsi="Times New Roman" w:cs="Times New Roman"/>
          <w:sz w:val="24"/>
          <w:szCs w:val="24"/>
        </w:rPr>
        <w:t>ș</w:t>
      </w:r>
      <w:r w:rsidRPr="00752082">
        <w:rPr>
          <w:rFonts w:ascii="Times New Roman" w:hAnsi="Times New Roman" w:cs="Times New Roman"/>
          <w:sz w:val="24"/>
          <w:szCs w:val="24"/>
        </w:rPr>
        <w:t>i ale art. 9 alin. (1) lit. h) din Ordonan</w:t>
      </w:r>
      <w:r w:rsidR="00043683" w:rsidRPr="00752082">
        <w:rPr>
          <w:rFonts w:ascii="Times New Roman" w:hAnsi="Times New Roman" w:cs="Times New Roman"/>
          <w:sz w:val="24"/>
          <w:szCs w:val="24"/>
        </w:rPr>
        <w:t>ț</w:t>
      </w:r>
      <w:r w:rsidRPr="00752082">
        <w:rPr>
          <w:rFonts w:ascii="Times New Roman" w:hAnsi="Times New Roman" w:cs="Times New Roman"/>
          <w:sz w:val="24"/>
          <w:szCs w:val="24"/>
        </w:rPr>
        <w:t>a de urgen</w:t>
      </w:r>
      <w:r w:rsidR="00043683" w:rsidRPr="00752082">
        <w:rPr>
          <w:rFonts w:ascii="Times New Roman" w:hAnsi="Times New Roman" w:cs="Times New Roman"/>
          <w:sz w:val="24"/>
          <w:szCs w:val="24"/>
        </w:rPr>
        <w:t>ț</w:t>
      </w:r>
      <w:r w:rsidRPr="00752082">
        <w:rPr>
          <w:rFonts w:ascii="Times New Roman" w:hAnsi="Times New Roman" w:cs="Times New Roman"/>
          <w:sz w:val="24"/>
          <w:szCs w:val="24"/>
        </w:rPr>
        <w:t xml:space="preserve">ă a Guvernului nr. 33/2007 privind organizarea </w:t>
      </w:r>
      <w:r w:rsidR="00667944" w:rsidRPr="00752082">
        <w:rPr>
          <w:rFonts w:ascii="Times New Roman" w:hAnsi="Times New Roman" w:cs="Times New Roman"/>
          <w:sz w:val="24"/>
          <w:szCs w:val="24"/>
        </w:rPr>
        <w:t>ș</w:t>
      </w:r>
      <w:r w:rsidRPr="00752082">
        <w:rPr>
          <w:rFonts w:ascii="Times New Roman" w:hAnsi="Times New Roman" w:cs="Times New Roman"/>
          <w:sz w:val="24"/>
          <w:szCs w:val="24"/>
        </w:rPr>
        <w:t>i func</w:t>
      </w:r>
      <w:r w:rsidR="00043683" w:rsidRPr="00752082">
        <w:rPr>
          <w:rFonts w:ascii="Times New Roman" w:hAnsi="Times New Roman" w:cs="Times New Roman"/>
          <w:sz w:val="24"/>
          <w:szCs w:val="24"/>
        </w:rPr>
        <w:t>ț</w:t>
      </w:r>
      <w:r w:rsidRPr="00752082">
        <w:rPr>
          <w:rFonts w:ascii="Times New Roman" w:hAnsi="Times New Roman" w:cs="Times New Roman"/>
          <w:sz w:val="24"/>
          <w:szCs w:val="24"/>
        </w:rPr>
        <w:t>ionarea Autorită</w:t>
      </w:r>
      <w:r w:rsidR="00043683" w:rsidRPr="00752082">
        <w:rPr>
          <w:rFonts w:ascii="Times New Roman" w:hAnsi="Times New Roman" w:cs="Times New Roman"/>
          <w:sz w:val="24"/>
          <w:szCs w:val="24"/>
        </w:rPr>
        <w:t>ț</w:t>
      </w:r>
      <w:r w:rsidRPr="00752082">
        <w:rPr>
          <w:rFonts w:ascii="Times New Roman" w:hAnsi="Times New Roman" w:cs="Times New Roman"/>
          <w:sz w:val="24"/>
          <w:szCs w:val="24"/>
        </w:rPr>
        <w:t>ii Na</w:t>
      </w:r>
      <w:r w:rsidR="00043683" w:rsidRPr="00752082">
        <w:rPr>
          <w:rFonts w:ascii="Times New Roman" w:hAnsi="Times New Roman" w:cs="Times New Roman"/>
          <w:sz w:val="24"/>
          <w:szCs w:val="24"/>
        </w:rPr>
        <w:t>ț</w:t>
      </w:r>
      <w:r w:rsidRPr="00752082">
        <w:rPr>
          <w:rFonts w:ascii="Times New Roman" w:hAnsi="Times New Roman" w:cs="Times New Roman"/>
          <w:sz w:val="24"/>
          <w:szCs w:val="24"/>
        </w:rPr>
        <w:t xml:space="preserve">ionale de Reglementare în Domeniul Energiei, aprobată cu modificări </w:t>
      </w:r>
      <w:r w:rsidR="00667944" w:rsidRPr="00752082">
        <w:rPr>
          <w:rFonts w:ascii="Times New Roman" w:hAnsi="Times New Roman" w:cs="Times New Roman"/>
          <w:sz w:val="24"/>
          <w:szCs w:val="24"/>
        </w:rPr>
        <w:t>ș</w:t>
      </w:r>
      <w:r w:rsidRPr="00752082">
        <w:rPr>
          <w:rFonts w:ascii="Times New Roman" w:hAnsi="Times New Roman" w:cs="Times New Roman"/>
          <w:sz w:val="24"/>
          <w:szCs w:val="24"/>
        </w:rPr>
        <w:t>i completări prin Legea nr. 160/2012,</w:t>
      </w:r>
      <w:r w:rsidR="00625110" w:rsidRPr="00752082">
        <w:rPr>
          <w:rFonts w:ascii="Times New Roman" w:hAnsi="Times New Roman" w:cs="Times New Roman"/>
          <w:sz w:val="24"/>
          <w:szCs w:val="24"/>
        </w:rPr>
        <w:t xml:space="preserve"> cu modificările </w:t>
      </w:r>
      <w:r w:rsidR="000D0F31" w:rsidRPr="00752082">
        <w:rPr>
          <w:rFonts w:ascii="Times New Roman" w:hAnsi="Times New Roman" w:cs="Times New Roman"/>
          <w:sz w:val="24"/>
          <w:szCs w:val="24"/>
        </w:rPr>
        <w:t xml:space="preserve">și </w:t>
      </w:r>
      <w:r w:rsidR="00625110" w:rsidRPr="00752082">
        <w:rPr>
          <w:rFonts w:ascii="Times New Roman" w:hAnsi="Times New Roman" w:cs="Times New Roman"/>
          <w:sz w:val="24"/>
          <w:szCs w:val="24"/>
        </w:rPr>
        <w:t>completările ulterioare,</w:t>
      </w:r>
    </w:p>
    <w:p w:rsidR="005D76F9" w:rsidRPr="00752082" w:rsidRDefault="005D76F9" w:rsidP="009E7C8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C46" w:rsidRDefault="000E29BD" w:rsidP="009E7C82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082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="00667944" w:rsidRPr="00752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752082">
        <w:rPr>
          <w:rFonts w:ascii="Times New Roman" w:hAnsi="Times New Roman" w:cs="Times New Roman"/>
          <w:b/>
          <w:bCs/>
          <w:sz w:val="24"/>
          <w:szCs w:val="24"/>
        </w:rPr>
        <w:t>edintele Autorită</w:t>
      </w:r>
      <w:r w:rsidR="00043683" w:rsidRPr="00752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52082">
        <w:rPr>
          <w:rFonts w:ascii="Times New Roman" w:hAnsi="Times New Roman" w:cs="Times New Roman"/>
          <w:b/>
          <w:bCs/>
          <w:sz w:val="24"/>
          <w:szCs w:val="24"/>
        </w:rPr>
        <w:t>ii Na</w:t>
      </w:r>
      <w:r w:rsidR="00043683" w:rsidRPr="00752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ionale de Reglementare în Domeniul Energiei emite </w:t>
      </w:r>
      <w:r w:rsidR="00782C46">
        <w:rPr>
          <w:rFonts w:ascii="Times New Roman" w:hAnsi="Times New Roman" w:cs="Times New Roman"/>
          <w:b/>
          <w:bCs/>
          <w:sz w:val="24"/>
          <w:szCs w:val="24"/>
        </w:rPr>
        <w:t>prezentul</w:t>
      </w:r>
    </w:p>
    <w:p w:rsidR="000E29BD" w:rsidRPr="00752082" w:rsidRDefault="00782C46" w:rsidP="00782C46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E29BD" w:rsidRPr="00752082">
        <w:rPr>
          <w:rFonts w:ascii="Times New Roman" w:hAnsi="Times New Roman" w:cs="Times New Roman"/>
          <w:b/>
          <w:bCs/>
          <w:sz w:val="24"/>
          <w:szCs w:val="24"/>
        </w:rPr>
        <w:t>rdin</w:t>
      </w:r>
    </w:p>
    <w:p w:rsidR="00372D3A" w:rsidRPr="00752082" w:rsidRDefault="00625110" w:rsidP="009E7C8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52082">
        <w:rPr>
          <w:rFonts w:ascii="Times New Roman" w:hAnsi="Times New Roman" w:cs="Times New Roman"/>
          <w:sz w:val="24"/>
          <w:szCs w:val="24"/>
        </w:rPr>
        <w:t xml:space="preserve">Art. </w:t>
      </w:r>
      <w:r w:rsidR="000E29BD" w:rsidRPr="00752082">
        <w:rPr>
          <w:rFonts w:ascii="Times New Roman" w:hAnsi="Times New Roman" w:cs="Times New Roman"/>
          <w:sz w:val="24"/>
          <w:szCs w:val="24"/>
        </w:rPr>
        <w:t>1</w:t>
      </w:r>
      <w:r w:rsidR="00FB7648" w:rsidRPr="00752082">
        <w:rPr>
          <w:rFonts w:ascii="Times New Roman" w:hAnsi="Times New Roman" w:cs="Times New Roman"/>
          <w:sz w:val="24"/>
          <w:szCs w:val="24"/>
        </w:rPr>
        <w:t xml:space="preserve"> </w:t>
      </w:r>
      <w:r w:rsidR="009939EA">
        <w:rPr>
          <w:rFonts w:ascii="Times New Roman" w:hAnsi="Times New Roman" w:cs="Times New Roman"/>
          <w:sz w:val="24"/>
          <w:szCs w:val="24"/>
        </w:rPr>
        <w:t xml:space="preserve">- </w:t>
      </w:r>
      <w:r w:rsidR="000E29BD" w:rsidRPr="00752082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7D36C1"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Metodologia de stabilire a </w:t>
      </w:r>
      <w:r w:rsidR="007D36C1"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prețului maximal pentru achiziționarea de către operatorul de transport și de sistem a serviciului de sistem pentru reglajul tensiunii în reţeaua electrică de transport</w:t>
      </w:r>
      <w:r w:rsidR="000E29BD" w:rsidRPr="00752082">
        <w:rPr>
          <w:rFonts w:ascii="Times New Roman" w:hAnsi="Times New Roman" w:cs="Times New Roman"/>
          <w:sz w:val="24"/>
          <w:szCs w:val="24"/>
        </w:rPr>
        <w:t>, prevăzută în anexa care face parte integrantă din prezentul ordin.</w:t>
      </w:r>
    </w:p>
    <w:p w:rsidR="000E29BD" w:rsidRPr="00752082" w:rsidRDefault="00625110" w:rsidP="009E7C82">
      <w:pPr>
        <w:pStyle w:val="Heading1"/>
        <w:spacing w:line="288" w:lineRule="auto"/>
        <w:jc w:val="both"/>
        <w:rPr>
          <w:rFonts w:cs="Times New Roman"/>
          <w:b w:val="0"/>
          <w:sz w:val="24"/>
          <w:szCs w:val="24"/>
        </w:rPr>
      </w:pPr>
      <w:r w:rsidRPr="00752082">
        <w:rPr>
          <w:rFonts w:cs="Times New Roman"/>
          <w:b w:val="0"/>
          <w:sz w:val="24"/>
          <w:szCs w:val="24"/>
        </w:rPr>
        <w:t xml:space="preserve">Art. </w:t>
      </w:r>
      <w:r w:rsidR="00B120C7" w:rsidRPr="00752082">
        <w:rPr>
          <w:rFonts w:cs="Times New Roman"/>
          <w:b w:val="0"/>
          <w:sz w:val="24"/>
          <w:szCs w:val="24"/>
        </w:rPr>
        <w:t>2</w:t>
      </w:r>
      <w:r w:rsidRPr="00752082">
        <w:rPr>
          <w:rFonts w:cs="Times New Roman"/>
          <w:b w:val="0"/>
          <w:sz w:val="24"/>
          <w:szCs w:val="24"/>
        </w:rPr>
        <w:t xml:space="preserve"> </w:t>
      </w:r>
      <w:r w:rsidR="009939EA">
        <w:rPr>
          <w:rFonts w:cs="Times New Roman"/>
          <w:b w:val="0"/>
          <w:sz w:val="24"/>
          <w:szCs w:val="24"/>
        </w:rPr>
        <w:t xml:space="preserve">- </w:t>
      </w:r>
      <w:r w:rsidR="007B7DAD" w:rsidRPr="00752082">
        <w:rPr>
          <w:rFonts w:cs="Times New Roman"/>
          <w:b w:val="0"/>
          <w:sz w:val="24"/>
          <w:szCs w:val="24"/>
        </w:rPr>
        <w:t xml:space="preserve">Operatorul de transport și de sistem </w:t>
      </w:r>
      <w:r w:rsidR="000E29BD" w:rsidRPr="00752082">
        <w:rPr>
          <w:rFonts w:cs="Times New Roman"/>
          <w:b w:val="0"/>
          <w:sz w:val="24"/>
          <w:szCs w:val="24"/>
        </w:rPr>
        <w:t>duc</w:t>
      </w:r>
      <w:r w:rsidR="001F74B6" w:rsidRPr="00752082">
        <w:rPr>
          <w:rFonts w:cs="Times New Roman"/>
          <w:b w:val="0"/>
          <w:sz w:val="24"/>
          <w:szCs w:val="24"/>
        </w:rPr>
        <w:t>e</w:t>
      </w:r>
      <w:r w:rsidR="000E29BD" w:rsidRPr="00752082">
        <w:rPr>
          <w:rFonts w:cs="Times New Roman"/>
          <w:b w:val="0"/>
          <w:sz w:val="24"/>
          <w:szCs w:val="24"/>
        </w:rPr>
        <w:t xml:space="preserve"> la îndeplinire prevederile prezentului ordin, iar entită</w:t>
      </w:r>
      <w:r w:rsidR="00043683" w:rsidRPr="00752082">
        <w:rPr>
          <w:rFonts w:cs="Times New Roman"/>
          <w:b w:val="0"/>
          <w:sz w:val="24"/>
          <w:szCs w:val="24"/>
        </w:rPr>
        <w:t>ț</w:t>
      </w:r>
      <w:r w:rsidR="000E29BD" w:rsidRPr="00752082">
        <w:rPr>
          <w:rFonts w:cs="Times New Roman"/>
          <w:b w:val="0"/>
          <w:sz w:val="24"/>
          <w:szCs w:val="24"/>
        </w:rPr>
        <w:t>ile organizatorice din cadrul Autorită</w:t>
      </w:r>
      <w:r w:rsidR="00043683" w:rsidRPr="00752082">
        <w:rPr>
          <w:rFonts w:cs="Times New Roman"/>
          <w:b w:val="0"/>
          <w:sz w:val="24"/>
          <w:szCs w:val="24"/>
        </w:rPr>
        <w:t>ț</w:t>
      </w:r>
      <w:r w:rsidR="000E29BD" w:rsidRPr="00752082">
        <w:rPr>
          <w:rFonts w:cs="Times New Roman"/>
          <w:b w:val="0"/>
          <w:sz w:val="24"/>
          <w:szCs w:val="24"/>
        </w:rPr>
        <w:t>ii Na</w:t>
      </w:r>
      <w:r w:rsidR="00043683" w:rsidRPr="00752082">
        <w:rPr>
          <w:rFonts w:cs="Times New Roman"/>
          <w:b w:val="0"/>
          <w:sz w:val="24"/>
          <w:szCs w:val="24"/>
        </w:rPr>
        <w:t>ț</w:t>
      </w:r>
      <w:r w:rsidR="000E29BD" w:rsidRPr="00752082">
        <w:rPr>
          <w:rFonts w:cs="Times New Roman"/>
          <w:b w:val="0"/>
          <w:sz w:val="24"/>
          <w:szCs w:val="24"/>
        </w:rPr>
        <w:t>ionale de Reglementare în Domeniul Energiei urmăresc respectarea prevederilor prezentului ordin.</w:t>
      </w:r>
    </w:p>
    <w:p w:rsidR="00FB7648" w:rsidRPr="00752082" w:rsidRDefault="00FB7648" w:rsidP="009E7C82">
      <w:pPr>
        <w:pStyle w:val="Heading1"/>
        <w:spacing w:line="288" w:lineRule="auto"/>
        <w:jc w:val="both"/>
        <w:rPr>
          <w:rFonts w:cs="Times New Roman"/>
          <w:b w:val="0"/>
          <w:sz w:val="24"/>
          <w:szCs w:val="24"/>
        </w:rPr>
      </w:pPr>
      <w:r w:rsidRPr="00752082">
        <w:rPr>
          <w:rFonts w:cs="Times New Roman"/>
          <w:b w:val="0"/>
          <w:sz w:val="24"/>
          <w:szCs w:val="24"/>
        </w:rPr>
        <w:t xml:space="preserve">Art. 3 </w:t>
      </w:r>
      <w:r w:rsidR="009939EA">
        <w:rPr>
          <w:rFonts w:cs="Times New Roman"/>
          <w:b w:val="0"/>
          <w:sz w:val="24"/>
          <w:szCs w:val="24"/>
        </w:rPr>
        <w:t xml:space="preserve">- </w:t>
      </w:r>
      <w:r w:rsidRPr="00752082">
        <w:rPr>
          <w:rFonts w:cs="Times New Roman"/>
          <w:b w:val="0"/>
          <w:sz w:val="24"/>
          <w:szCs w:val="24"/>
        </w:rPr>
        <w:t xml:space="preserve">Prezentul </w:t>
      </w:r>
      <w:r w:rsidR="00F13A7E" w:rsidRPr="00752082">
        <w:rPr>
          <w:rFonts w:cs="Times New Roman"/>
          <w:b w:val="0"/>
          <w:sz w:val="24"/>
          <w:szCs w:val="24"/>
        </w:rPr>
        <w:t xml:space="preserve">Ordin </w:t>
      </w:r>
      <w:r w:rsidR="002B3BD3" w:rsidRPr="00752082">
        <w:rPr>
          <w:rFonts w:cs="Times New Roman"/>
          <w:b w:val="0"/>
          <w:sz w:val="24"/>
          <w:szCs w:val="24"/>
        </w:rPr>
        <w:t>se publică</w:t>
      </w:r>
      <w:r w:rsidRPr="00752082">
        <w:rPr>
          <w:rFonts w:cs="Times New Roman"/>
          <w:b w:val="0"/>
          <w:sz w:val="24"/>
          <w:szCs w:val="24"/>
        </w:rPr>
        <w:t xml:space="preserve"> în Monitorul Oficial al României, Partea I</w:t>
      </w:r>
      <w:r w:rsidR="00FC619A" w:rsidRPr="00752082">
        <w:rPr>
          <w:rFonts w:cs="Times New Roman"/>
          <w:b w:val="0"/>
          <w:sz w:val="24"/>
          <w:szCs w:val="24"/>
        </w:rPr>
        <w:t xml:space="preserve"> </w:t>
      </w:r>
    </w:p>
    <w:p w:rsidR="000E29BD" w:rsidRPr="00752082" w:rsidRDefault="000E29BD" w:rsidP="002B3BD3">
      <w:pPr>
        <w:spacing w:before="120" w:after="120" w:line="288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9BD" w:rsidRPr="00752082" w:rsidRDefault="000E29BD" w:rsidP="002B3BD3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hAnsi="Times New Roman" w:cs="Times New Roman"/>
          <w:b/>
          <w:sz w:val="24"/>
          <w:szCs w:val="24"/>
        </w:rPr>
        <w:t>Pre</w:t>
      </w:r>
      <w:r w:rsidR="00667944" w:rsidRPr="00752082">
        <w:rPr>
          <w:rFonts w:ascii="Times New Roman" w:hAnsi="Times New Roman" w:cs="Times New Roman"/>
          <w:b/>
          <w:sz w:val="24"/>
          <w:szCs w:val="24"/>
        </w:rPr>
        <w:t>ș</w:t>
      </w:r>
      <w:r w:rsidRPr="00752082">
        <w:rPr>
          <w:rFonts w:ascii="Times New Roman" w:hAnsi="Times New Roman" w:cs="Times New Roman"/>
          <w:b/>
          <w:sz w:val="24"/>
          <w:szCs w:val="24"/>
        </w:rPr>
        <w:t>edinte</w:t>
      </w:r>
      <w:r w:rsidR="008B0F53" w:rsidRPr="00752082">
        <w:rPr>
          <w:rFonts w:ascii="Times New Roman" w:hAnsi="Times New Roman" w:cs="Times New Roman"/>
          <w:b/>
          <w:sz w:val="24"/>
          <w:szCs w:val="24"/>
        </w:rPr>
        <w:t>le Autorită</w:t>
      </w:r>
      <w:r w:rsidR="00043683" w:rsidRPr="00752082">
        <w:rPr>
          <w:rFonts w:ascii="Times New Roman" w:hAnsi="Times New Roman" w:cs="Times New Roman"/>
          <w:b/>
          <w:sz w:val="24"/>
          <w:szCs w:val="24"/>
        </w:rPr>
        <w:t>ț</w:t>
      </w:r>
      <w:r w:rsidR="008B0F53" w:rsidRPr="00752082">
        <w:rPr>
          <w:rFonts w:ascii="Times New Roman" w:hAnsi="Times New Roman" w:cs="Times New Roman"/>
          <w:b/>
          <w:sz w:val="24"/>
          <w:szCs w:val="24"/>
        </w:rPr>
        <w:t>ii Na</w:t>
      </w:r>
      <w:r w:rsidR="00043683" w:rsidRPr="00752082">
        <w:rPr>
          <w:rFonts w:ascii="Times New Roman" w:hAnsi="Times New Roman" w:cs="Times New Roman"/>
          <w:b/>
          <w:sz w:val="24"/>
          <w:szCs w:val="24"/>
        </w:rPr>
        <w:t>ț</w:t>
      </w:r>
      <w:r w:rsidR="008B0F53" w:rsidRPr="00752082">
        <w:rPr>
          <w:rFonts w:ascii="Times New Roman" w:hAnsi="Times New Roman" w:cs="Times New Roman"/>
          <w:b/>
          <w:sz w:val="24"/>
          <w:szCs w:val="24"/>
        </w:rPr>
        <w:t>ionale de Reglementare în Domeniul Energiei</w:t>
      </w:r>
      <w:r w:rsidR="00510CFF" w:rsidRPr="00752082">
        <w:rPr>
          <w:rFonts w:ascii="Times New Roman" w:hAnsi="Times New Roman" w:cs="Times New Roman"/>
          <w:b/>
          <w:sz w:val="24"/>
          <w:szCs w:val="24"/>
        </w:rPr>
        <w:t>,</w:t>
      </w:r>
    </w:p>
    <w:p w:rsidR="005D0EB9" w:rsidRPr="00752082" w:rsidRDefault="007B7DAD" w:rsidP="002B3BD3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hAnsi="Times New Roman" w:cs="Times New Roman"/>
          <w:b/>
          <w:sz w:val="24"/>
          <w:szCs w:val="24"/>
        </w:rPr>
        <w:t>George-Sergiu NICULESCU</w:t>
      </w:r>
    </w:p>
    <w:p w:rsidR="00510CFF" w:rsidRPr="00752082" w:rsidRDefault="005D0EB9" w:rsidP="002D2A7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2082">
        <w:rPr>
          <w:rFonts w:ascii="Times New Roman" w:hAnsi="Times New Roman" w:cs="Times New Roman"/>
          <w:bCs/>
          <w:sz w:val="24"/>
          <w:szCs w:val="24"/>
        </w:rPr>
        <w:br w:type="page"/>
      </w:r>
      <w:r w:rsidR="00BF6311" w:rsidRPr="00752082">
        <w:rPr>
          <w:rFonts w:ascii="Times New Roman" w:hAnsi="Times New Roman" w:cs="Times New Roman"/>
          <w:bCs/>
          <w:sz w:val="24"/>
          <w:szCs w:val="24"/>
        </w:rPr>
        <w:t>ANEXA</w:t>
      </w:r>
    </w:p>
    <w:p w:rsidR="00BF6311" w:rsidRPr="00752082" w:rsidRDefault="007D36C1" w:rsidP="007D36C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752082">
        <w:rPr>
          <w:rFonts w:ascii="Times New Roman" w:hAnsi="Times New Roman" w:cs="Times New Roman"/>
          <w:b/>
          <w:bCs/>
          <w:sz w:val="24"/>
          <w:szCs w:val="24"/>
        </w:rPr>
        <w:t xml:space="preserve">Metodologie de stabilire a </w:t>
      </w:r>
      <w:r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prețului maximal pentru achiziționarea de către operatorul de transport și de sistem a serviciului de sistem pentru reglajul tensiunii în reţeaua electrică de transport</w:t>
      </w:r>
    </w:p>
    <w:p w:rsidR="003F038F" w:rsidRPr="00752082" w:rsidRDefault="003F038F" w:rsidP="009E7C82">
      <w:pPr>
        <w:pStyle w:val="Title"/>
        <w:spacing w:before="0" w:after="0" w:line="288" w:lineRule="auto"/>
        <w:contextualSpacing w:val="0"/>
        <w:jc w:val="both"/>
        <w:rPr>
          <w:rFonts w:cs="Times New Roman"/>
          <w:sz w:val="24"/>
          <w:szCs w:val="24"/>
        </w:rPr>
      </w:pPr>
    </w:p>
    <w:p w:rsidR="00BF6311" w:rsidRPr="00752082" w:rsidRDefault="00BF6311" w:rsidP="00890518">
      <w:pPr>
        <w:pStyle w:val="Title"/>
        <w:spacing w:before="0" w:after="0" w:line="288" w:lineRule="auto"/>
        <w:contextualSpacing w:val="0"/>
        <w:rPr>
          <w:rFonts w:cs="Times New Roman"/>
          <w:sz w:val="24"/>
          <w:szCs w:val="24"/>
        </w:rPr>
      </w:pPr>
      <w:r w:rsidRPr="00752082">
        <w:rPr>
          <w:rFonts w:cs="Times New Roman"/>
          <w:sz w:val="24"/>
          <w:szCs w:val="24"/>
        </w:rPr>
        <w:t>Capitolul I</w:t>
      </w:r>
    </w:p>
    <w:p w:rsidR="00BA72D3" w:rsidRPr="00752082" w:rsidRDefault="00BF6311" w:rsidP="00890518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hAnsi="Times New Roman" w:cs="Times New Roman"/>
          <w:b/>
          <w:sz w:val="24"/>
          <w:szCs w:val="24"/>
        </w:rPr>
        <w:t>Scop</w:t>
      </w:r>
      <w:r w:rsidR="00ED2A7A" w:rsidRPr="00752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D3" w:rsidRPr="00752082">
        <w:rPr>
          <w:rFonts w:ascii="Times New Roman" w:hAnsi="Times New Roman" w:cs="Times New Roman"/>
          <w:b/>
          <w:sz w:val="24"/>
          <w:szCs w:val="24"/>
        </w:rPr>
        <w:t>și domeniu de aplicare</w:t>
      </w:r>
    </w:p>
    <w:p w:rsidR="0029670E" w:rsidRPr="00752082" w:rsidRDefault="002A248D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52082">
        <w:rPr>
          <w:rFonts w:ascii="Times New Roman" w:hAnsi="Times New Roman" w:cs="Times New Roman"/>
          <w:sz w:val="24"/>
          <w:szCs w:val="24"/>
        </w:rPr>
        <w:t xml:space="preserve">- </w:t>
      </w:r>
      <w:r w:rsidR="00F96179" w:rsidRPr="00752082">
        <w:rPr>
          <w:rFonts w:ascii="Times New Roman" w:hAnsi="Times New Roman" w:cs="Times New Roman"/>
          <w:sz w:val="24"/>
          <w:szCs w:val="24"/>
        </w:rPr>
        <w:t>Prezenta metodologie stabileşte</w:t>
      </w:r>
      <w:r w:rsidR="00564ADA" w:rsidRPr="00752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AFB" w:rsidRPr="00752082">
        <w:rPr>
          <w:rFonts w:ascii="Times New Roman" w:hAnsi="Times New Roman" w:cs="Times New Roman"/>
          <w:sz w:val="24"/>
          <w:szCs w:val="24"/>
        </w:rPr>
        <w:t xml:space="preserve">modul de </w:t>
      </w:r>
      <w:r w:rsidR="00F96179" w:rsidRPr="00752082">
        <w:rPr>
          <w:rFonts w:ascii="Times New Roman" w:hAnsi="Times New Roman" w:cs="Times New Roman"/>
          <w:sz w:val="24"/>
          <w:szCs w:val="24"/>
        </w:rPr>
        <w:t>calcul</w:t>
      </w:r>
      <w:r w:rsidR="00B72AFB" w:rsidRPr="00752082">
        <w:rPr>
          <w:rFonts w:ascii="Times New Roman" w:hAnsi="Times New Roman" w:cs="Times New Roman"/>
          <w:sz w:val="24"/>
          <w:szCs w:val="24"/>
        </w:rPr>
        <w:t xml:space="preserve"> a</w:t>
      </w:r>
      <w:r w:rsidR="00B33545" w:rsidRPr="00752082">
        <w:rPr>
          <w:rFonts w:ascii="Times New Roman" w:hAnsi="Times New Roman" w:cs="Times New Roman"/>
          <w:sz w:val="24"/>
          <w:szCs w:val="24"/>
        </w:rPr>
        <w:t>l</w:t>
      </w:r>
      <w:r w:rsidR="00B72AFB" w:rsidRPr="007520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130151"/>
      <w:r w:rsidR="00B72AFB" w:rsidRPr="00752082">
        <w:rPr>
          <w:rFonts w:ascii="Times New Roman" w:hAnsi="Times New Roman" w:cs="Times New Roman"/>
          <w:sz w:val="24"/>
          <w:szCs w:val="24"/>
        </w:rPr>
        <w:t xml:space="preserve">prețului maximal pentru achiziționarea de către operatorul de transport și </w:t>
      </w:r>
      <w:r w:rsidR="00F96179" w:rsidRPr="00752082">
        <w:rPr>
          <w:rFonts w:ascii="Times New Roman" w:hAnsi="Times New Roman" w:cs="Times New Roman"/>
          <w:sz w:val="24"/>
          <w:szCs w:val="24"/>
        </w:rPr>
        <w:t xml:space="preserve">de </w:t>
      </w:r>
      <w:r w:rsidR="00B72AFB" w:rsidRPr="00752082">
        <w:rPr>
          <w:rFonts w:ascii="Times New Roman" w:hAnsi="Times New Roman" w:cs="Times New Roman"/>
          <w:sz w:val="24"/>
          <w:szCs w:val="24"/>
        </w:rPr>
        <w:t xml:space="preserve">sistem a </w:t>
      </w:r>
      <w:r w:rsidR="00F96179" w:rsidRPr="00752082">
        <w:rPr>
          <w:rFonts w:ascii="Times New Roman" w:hAnsi="Times New Roman" w:cs="Times New Roman"/>
          <w:sz w:val="24"/>
          <w:szCs w:val="24"/>
        </w:rPr>
        <w:t xml:space="preserve">serviciului de sistem </w:t>
      </w:r>
      <w:r w:rsidR="00B72AFB" w:rsidRPr="00752082">
        <w:rPr>
          <w:rFonts w:ascii="Times New Roman" w:hAnsi="Times New Roman" w:cs="Times New Roman"/>
          <w:sz w:val="24"/>
          <w:szCs w:val="24"/>
        </w:rPr>
        <w:t>pentru reglajul tensiunii în</w:t>
      </w:r>
      <w:r w:rsidR="00F96179" w:rsidRPr="00752082">
        <w:rPr>
          <w:rFonts w:ascii="Times New Roman" w:hAnsi="Times New Roman" w:cs="Times New Roman"/>
          <w:sz w:val="24"/>
          <w:szCs w:val="24"/>
        </w:rPr>
        <w:t xml:space="preserve"> reţeaua electrică de transport</w:t>
      </w:r>
      <w:r w:rsidR="00E85EBA" w:rsidRPr="00752082">
        <w:rPr>
          <w:rFonts w:ascii="Times New Roman" w:eastAsia="Times New Roman" w:hAnsi="Times New Roman" w:cs="Times New Roman"/>
          <w:spacing w:val="5"/>
          <w:kern w:val="28"/>
          <w:sz w:val="24"/>
          <w:szCs w:val="24"/>
          <w:lang w:bidi="en-US"/>
        </w:rPr>
        <w:t>.</w:t>
      </w:r>
    </w:p>
    <w:bookmarkEnd w:id="0"/>
    <w:p w:rsidR="00564ADA" w:rsidRPr="00752082" w:rsidRDefault="002A248D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 xml:space="preserve">- </w:t>
      </w:r>
      <w:r w:rsidR="006329C1" w:rsidRPr="00752082">
        <w:rPr>
          <w:rFonts w:ascii="Times New Roman" w:hAnsi="Times New Roman" w:cs="Times New Roman"/>
          <w:sz w:val="24"/>
          <w:szCs w:val="24"/>
        </w:rPr>
        <w:t>Metodologia este aplicată de</w:t>
      </w:r>
      <w:r w:rsidR="00564ADA" w:rsidRPr="00752082">
        <w:rPr>
          <w:rFonts w:ascii="Times New Roman" w:hAnsi="Times New Roman" w:cs="Times New Roman"/>
          <w:sz w:val="24"/>
          <w:szCs w:val="24"/>
        </w:rPr>
        <w:t xml:space="preserve"> operatorul de transport şi de sistem </w:t>
      </w:r>
      <w:r w:rsidR="006329C1" w:rsidRPr="00752082">
        <w:rPr>
          <w:rFonts w:ascii="Times New Roman" w:hAnsi="Times New Roman" w:cs="Times New Roman"/>
          <w:sz w:val="24"/>
          <w:szCs w:val="24"/>
        </w:rPr>
        <w:t>pentru stabilirea preţului maximal avut în vedere în cadrul procedurilor de achiziţie a serviciului de sistem pentru reglajul tensiunii în reţeaua electrică de transport</w:t>
      </w:r>
      <w:r w:rsidR="00564ADA" w:rsidRPr="00752082">
        <w:rPr>
          <w:rFonts w:ascii="Times New Roman" w:hAnsi="Times New Roman" w:cs="Times New Roman"/>
          <w:sz w:val="24"/>
          <w:szCs w:val="24"/>
        </w:rPr>
        <w:t>.</w:t>
      </w:r>
    </w:p>
    <w:p w:rsidR="003F038F" w:rsidRPr="00752082" w:rsidRDefault="003F038F" w:rsidP="009E7C8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311" w:rsidRPr="00752082" w:rsidRDefault="00BF6311" w:rsidP="0089051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Capitolul</w:t>
      </w:r>
      <w:r w:rsidRPr="00752082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BF6311" w:rsidRPr="00752082" w:rsidRDefault="00BF6311" w:rsidP="00890518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hAnsi="Times New Roman" w:cs="Times New Roman"/>
          <w:b/>
          <w:sz w:val="24"/>
          <w:szCs w:val="24"/>
        </w:rPr>
        <w:t>Defini</w:t>
      </w:r>
      <w:r w:rsidR="00043683" w:rsidRPr="00752082">
        <w:rPr>
          <w:rFonts w:ascii="Times New Roman" w:hAnsi="Times New Roman" w:cs="Times New Roman"/>
          <w:b/>
          <w:sz w:val="24"/>
          <w:szCs w:val="24"/>
        </w:rPr>
        <w:t>ț</w:t>
      </w:r>
      <w:r w:rsidRPr="00752082">
        <w:rPr>
          <w:rFonts w:ascii="Times New Roman" w:hAnsi="Times New Roman" w:cs="Times New Roman"/>
          <w:b/>
          <w:sz w:val="24"/>
          <w:szCs w:val="24"/>
        </w:rPr>
        <w:t>ii</w:t>
      </w:r>
      <w:r w:rsidR="001119A3" w:rsidRPr="00752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944" w:rsidRPr="00752082">
        <w:rPr>
          <w:rFonts w:ascii="Times New Roman" w:hAnsi="Times New Roman" w:cs="Times New Roman"/>
          <w:b/>
          <w:sz w:val="24"/>
          <w:szCs w:val="24"/>
        </w:rPr>
        <w:t>ș</w:t>
      </w:r>
      <w:r w:rsidR="001119A3" w:rsidRPr="00752082">
        <w:rPr>
          <w:rFonts w:ascii="Times New Roman" w:hAnsi="Times New Roman" w:cs="Times New Roman"/>
          <w:b/>
          <w:sz w:val="24"/>
          <w:szCs w:val="24"/>
        </w:rPr>
        <w:t>i abrevieri</w:t>
      </w:r>
    </w:p>
    <w:p w:rsidR="00C356A5" w:rsidRPr="00752082" w:rsidRDefault="00752082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34BFA" w:rsidRPr="00752082">
        <w:rPr>
          <w:rFonts w:ascii="Times New Roman" w:hAnsi="Times New Roman" w:cs="Times New Roman"/>
          <w:bCs/>
          <w:sz w:val="24"/>
          <w:szCs w:val="24"/>
        </w:rPr>
        <w:t>(1)</w:t>
      </w:r>
      <w:r w:rsidR="00B940FC" w:rsidRPr="00752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0A8" w:rsidRPr="00752082">
        <w:rPr>
          <w:rFonts w:ascii="Times New Roman" w:hAnsi="Times New Roman" w:cs="Times New Roman"/>
          <w:sz w:val="24"/>
          <w:szCs w:val="24"/>
        </w:rPr>
        <w:t>Termenii utiliza</w:t>
      </w:r>
      <w:r w:rsidR="00200742" w:rsidRPr="00752082">
        <w:rPr>
          <w:rFonts w:ascii="Times New Roman" w:hAnsi="Times New Roman" w:cs="Times New Roman"/>
          <w:sz w:val="24"/>
          <w:szCs w:val="24"/>
        </w:rPr>
        <w:t>ţi</w:t>
      </w:r>
      <w:r w:rsidR="007D70A8" w:rsidRPr="00752082">
        <w:rPr>
          <w:rFonts w:ascii="Times New Roman" w:hAnsi="Times New Roman" w:cs="Times New Roman"/>
          <w:sz w:val="24"/>
          <w:szCs w:val="24"/>
        </w:rPr>
        <w:t xml:space="preserve"> în prezenta </w:t>
      </w:r>
      <w:r w:rsidR="00CC3A03" w:rsidRPr="00752082">
        <w:rPr>
          <w:rFonts w:ascii="Times New Roman" w:hAnsi="Times New Roman" w:cs="Times New Roman"/>
          <w:sz w:val="24"/>
          <w:szCs w:val="24"/>
        </w:rPr>
        <w:t>metodologie</w:t>
      </w:r>
      <w:r w:rsidR="007D70A8" w:rsidRPr="00752082">
        <w:rPr>
          <w:rFonts w:ascii="Times New Roman" w:hAnsi="Times New Roman" w:cs="Times New Roman"/>
          <w:sz w:val="24"/>
          <w:szCs w:val="24"/>
        </w:rPr>
        <w:t xml:space="preserve"> sunt defini</w:t>
      </w:r>
      <w:r w:rsidR="00043683" w:rsidRPr="00752082">
        <w:rPr>
          <w:rFonts w:ascii="Times New Roman" w:hAnsi="Times New Roman" w:cs="Times New Roman"/>
          <w:sz w:val="24"/>
          <w:szCs w:val="24"/>
        </w:rPr>
        <w:t>ț</w:t>
      </w:r>
      <w:r w:rsidR="007D70A8" w:rsidRPr="00752082">
        <w:rPr>
          <w:rFonts w:ascii="Times New Roman" w:hAnsi="Times New Roman" w:cs="Times New Roman"/>
          <w:sz w:val="24"/>
          <w:szCs w:val="24"/>
        </w:rPr>
        <w:t>i în</w:t>
      </w:r>
      <w:r w:rsidR="00C356A5" w:rsidRPr="00752082">
        <w:rPr>
          <w:rFonts w:ascii="Times New Roman" w:hAnsi="Times New Roman" w:cs="Times New Roman"/>
          <w:sz w:val="24"/>
          <w:szCs w:val="24"/>
        </w:rPr>
        <w:t>:</w:t>
      </w:r>
    </w:p>
    <w:p w:rsidR="00745672" w:rsidRPr="00752082" w:rsidRDefault="00745672" w:rsidP="005C47CE">
      <w:pPr>
        <w:pStyle w:val="ListParagraph"/>
        <w:numPr>
          <w:ilvl w:val="0"/>
          <w:numId w:val="4"/>
        </w:numPr>
        <w:tabs>
          <w:tab w:val="left" w:pos="36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>Directiv</w:t>
      </w:r>
      <w:r w:rsidR="00CC3A03" w:rsidRPr="00752082">
        <w:rPr>
          <w:rFonts w:ascii="Times New Roman" w:hAnsi="Times New Roman" w:cs="Times New Roman"/>
          <w:sz w:val="24"/>
          <w:szCs w:val="24"/>
        </w:rPr>
        <w:t>a</w:t>
      </w:r>
      <w:r w:rsidRPr="00752082">
        <w:rPr>
          <w:rFonts w:ascii="Times New Roman" w:hAnsi="Times New Roman" w:cs="Times New Roman"/>
          <w:sz w:val="24"/>
          <w:szCs w:val="24"/>
        </w:rPr>
        <w:t xml:space="preserve"> (UE) 2019/944 a Parlamentului European şi a Consiliului din 5 iunie 2019 privind normele comune pentru piaţa internă de energie electrică şi de modificare a Directivei 2012/27/UE;</w:t>
      </w:r>
    </w:p>
    <w:p w:rsidR="00745672" w:rsidRPr="00752082" w:rsidRDefault="00745672" w:rsidP="005C47CE">
      <w:pPr>
        <w:pStyle w:val="ListParagraph"/>
        <w:numPr>
          <w:ilvl w:val="0"/>
          <w:numId w:val="4"/>
        </w:numPr>
        <w:tabs>
          <w:tab w:val="left" w:pos="36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>Regulamentul (UE) 2019/943 al Parlamentului European şi al Consiliului din 5 iunie 2019 privind piaţa internă de energie electrică;</w:t>
      </w:r>
    </w:p>
    <w:p w:rsidR="009F6F0F" w:rsidRPr="00752082" w:rsidRDefault="00745672" w:rsidP="005C47CE">
      <w:pPr>
        <w:pStyle w:val="ListParagraph"/>
        <w:numPr>
          <w:ilvl w:val="0"/>
          <w:numId w:val="4"/>
        </w:numPr>
        <w:tabs>
          <w:tab w:val="left" w:pos="36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>Leg</w:t>
      </w:r>
      <w:r w:rsidR="00CC3A03" w:rsidRPr="00752082">
        <w:rPr>
          <w:rFonts w:ascii="Times New Roman" w:hAnsi="Times New Roman" w:cs="Times New Roman"/>
          <w:sz w:val="24"/>
          <w:szCs w:val="24"/>
        </w:rPr>
        <w:t>ea</w:t>
      </w:r>
      <w:r w:rsidRPr="00752082">
        <w:rPr>
          <w:rFonts w:ascii="Times New Roman" w:hAnsi="Times New Roman" w:cs="Times New Roman"/>
          <w:sz w:val="24"/>
          <w:szCs w:val="24"/>
        </w:rPr>
        <w:t xml:space="preserve"> energiei electrice şi a gazelor naturale nr. 123/2012, cu modificările şi completările ulterioare.</w:t>
      </w:r>
    </w:p>
    <w:p w:rsidR="00710F41" w:rsidRPr="00752082" w:rsidRDefault="00710F41" w:rsidP="005C47CE">
      <w:pPr>
        <w:pStyle w:val="ListParagraph"/>
        <w:numPr>
          <w:ilvl w:val="3"/>
          <w:numId w:val="2"/>
        </w:numPr>
        <w:tabs>
          <w:tab w:val="left" w:pos="360"/>
        </w:tabs>
        <w:spacing w:after="0" w:line="288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1" w:name="_Hlk149137884"/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Abrevierile utilizate în cadrul </w:t>
      </w:r>
      <w:r w:rsidR="00200742" w:rsidRPr="00752082">
        <w:rPr>
          <w:rFonts w:ascii="Times New Roman" w:hAnsi="Times New Roman" w:cs="Times New Roman"/>
          <w:sz w:val="24"/>
          <w:szCs w:val="24"/>
        </w:rPr>
        <w:t xml:space="preserve">prezentei </w:t>
      </w:r>
      <w:r w:rsidR="00EA10EA" w:rsidRPr="00752082">
        <w:rPr>
          <w:rFonts w:ascii="Times New Roman" w:hAnsi="Times New Roman" w:cs="Times New Roman"/>
          <w:sz w:val="24"/>
          <w:szCs w:val="24"/>
        </w:rPr>
        <w:t>metodologii</w:t>
      </w:r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au următoarele semnificații:</w:t>
      </w:r>
    </w:p>
    <w:p w:rsidR="00710F41" w:rsidRPr="00752082" w:rsidRDefault="00710F41" w:rsidP="005C47CE">
      <w:pPr>
        <w:numPr>
          <w:ilvl w:val="0"/>
          <w:numId w:val="3"/>
        </w:numPr>
        <w:tabs>
          <w:tab w:val="clear" w:pos="1080"/>
          <w:tab w:val="num" w:pos="36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2" w:name="_Hlk149137861"/>
      <w:bookmarkEnd w:id="1"/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ANRE </w:t>
      </w:r>
      <w:bookmarkStart w:id="3" w:name="_Hlk77764012"/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bookmarkEnd w:id="3"/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>Autoritatea Naţională de Reglementare în Domeniul Energiei;</w:t>
      </w:r>
    </w:p>
    <w:p w:rsidR="00D716A1" w:rsidRPr="00752082" w:rsidRDefault="00710F41" w:rsidP="005C47CE">
      <w:pPr>
        <w:numPr>
          <w:ilvl w:val="0"/>
          <w:numId w:val="3"/>
        </w:numPr>
        <w:tabs>
          <w:tab w:val="clear" w:pos="1080"/>
          <w:tab w:val="num" w:pos="36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>OTS – operator de transport și de sistem</w:t>
      </w:r>
      <w:r w:rsidR="00D716A1"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0B32A0" w:rsidRPr="00752082" w:rsidRDefault="00D716A1" w:rsidP="005C47CE">
      <w:pPr>
        <w:numPr>
          <w:ilvl w:val="0"/>
          <w:numId w:val="3"/>
        </w:numPr>
        <w:tabs>
          <w:tab w:val="clear" w:pos="1080"/>
          <w:tab w:val="num" w:pos="36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>RET – reţea electrică de transport</w:t>
      </w:r>
      <w:r w:rsidR="000B32A0"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710F41" w:rsidRPr="00752082" w:rsidRDefault="000B32A0" w:rsidP="005C47CE">
      <w:pPr>
        <w:numPr>
          <w:ilvl w:val="0"/>
          <w:numId w:val="3"/>
        </w:numPr>
        <w:tabs>
          <w:tab w:val="clear" w:pos="1080"/>
          <w:tab w:val="num" w:pos="36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Lege - </w:t>
      </w:r>
      <w:r w:rsidRPr="00752082">
        <w:rPr>
          <w:rFonts w:ascii="Times New Roman" w:hAnsi="Times New Roman" w:cs="Times New Roman"/>
          <w:sz w:val="24"/>
          <w:szCs w:val="24"/>
        </w:rPr>
        <w:t>Legea energiei electrice şi a gazelor naturale nr. 123/2012, cu modificările şi completările ulterioare</w:t>
      </w:r>
      <w:r w:rsidR="00C24617" w:rsidRPr="00752082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bookmarkEnd w:id="2"/>
    <w:p w:rsidR="00B940FC" w:rsidRPr="00752082" w:rsidRDefault="00B940FC" w:rsidP="009E7C82">
      <w:pPr>
        <w:spacing w:after="0" w:line="288" w:lineRule="auto"/>
        <w:jc w:val="both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highlight w:val="yellow"/>
        </w:rPr>
      </w:pPr>
    </w:p>
    <w:p w:rsidR="00BF6311" w:rsidRPr="00752082" w:rsidRDefault="00BF6311" w:rsidP="0089051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Capitolul</w:t>
      </w:r>
      <w:r w:rsidRPr="0075208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B0F76" w:rsidRPr="00752082">
        <w:rPr>
          <w:rFonts w:ascii="Times New Roman" w:hAnsi="Times New Roman" w:cs="Times New Roman"/>
          <w:b/>
          <w:sz w:val="24"/>
          <w:szCs w:val="24"/>
        </w:rPr>
        <w:t>II</w:t>
      </w:r>
    </w:p>
    <w:p w:rsidR="00745672" w:rsidRPr="00752082" w:rsidRDefault="002C41B7" w:rsidP="0089051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75208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Principii</w:t>
      </w:r>
      <w:r w:rsidR="00E210DD" w:rsidRPr="0075208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745672" w:rsidRPr="0075208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privind stabilirea prețului maximal pentru achiziționarea de către operatorul de transport și </w:t>
      </w:r>
      <w:r w:rsidRPr="0075208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de </w:t>
      </w:r>
      <w:r w:rsidR="00745672" w:rsidRPr="0075208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sistem a </w:t>
      </w:r>
      <w:r w:rsidRPr="0075208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serviciului de sistem pentru reglajul tensiunii în reţeaua electrică de transport</w:t>
      </w:r>
    </w:p>
    <w:p w:rsidR="005912C5" w:rsidRPr="00752082" w:rsidRDefault="005912C5" w:rsidP="009E7C82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D55FE8" w:rsidRPr="00752082" w:rsidRDefault="00562950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- </w:t>
      </w:r>
      <w:r w:rsidR="005767A7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(1) </w:t>
      </w:r>
      <w:r w:rsidR="00D55FE8" w:rsidRPr="00562950">
        <w:rPr>
          <w:rFonts w:ascii="Times New Roman" w:hAnsi="Times New Roman" w:cs="Times New Roman"/>
          <w:bCs/>
          <w:sz w:val="24"/>
          <w:szCs w:val="24"/>
        </w:rPr>
        <w:t>OTS</w:t>
      </w:r>
      <w:r w:rsidR="00D55FE8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achiziţionează </w:t>
      </w:r>
      <w:r w:rsidR="00D716A1" w:rsidRPr="00752082">
        <w:rPr>
          <w:rFonts w:ascii="Times New Roman" w:hAnsi="Times New Roman" w:cs="Times New Roman"/>
          <w:sz w:val="24"/>
          <w:szCs w:val="24"/>
        </w:rPr>
        <w:t>servici</w:t>
      </w:r>
      <w:r w:rsidR="00D36B7E">
        <w:rPr>
          <w:rFonts w:ascii="Times New Roman" w:hAnsi="Times New Roman" w:cs="Times New Roman"/>
          <w:sz w:val="24"/>
          <w:szCs w:val="24"/>
        </w:rPr>
        <w:t>ul</w:t>
      </w:r>
      <w:r w:rsidR="00D716A1" w:rsidRPr="00752082">
        <w:rPr>
          <w:rFonts w:ascii="Times New Roman" w:hAnsi="Times New Roman" w:cs="Times New Roman"/>
          <w:sz w:val="24"/>
          <w:szCs w:val="24"/>
        </w:rPr>
        <w:t xml:space="preserve"> de sistem pentru reglajul tensiunii în RET</w:t>
      </w:r>
      <w:r w:rsidR="00D716A1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D55FE8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de la oricare participant la piaţă, inclusiv participanţii la piaţă care oferă energie din surse regenerabile, participanţii la piaţă care oferă servicii de consum dispecerizabil, operatorii instalaţiilor de stocare a energiei şi participanţii la piaţă angajaţi în agregare</w:t>
      </w:r>
      <w:r w:rsidR="00D716A1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care îndeplinesc condiţiile de </w:t>
      </w:r>
      <w:r w:rsidR="00DA1941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calificare tehnică</w:t>
      </w:r>
      <w:r w:rsidR="00BB7BEC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stabilite </w:t>
      </w:r>
      <w:r w:rsidR="00F3327F">
        <w:rPr>
          <w:rFonts w:ascii="Times New Roman" w:eastAsia="Calibri" w:hAnsi="Times New Roman" w:cs="Times New Roman"/>
          <w:sz w:val="24"/>
          <w:szCs w:val="24"/>
          <w:lang w:eastAsia="ro-RO"/>
        </w:rPr>
        <w:t>prin</w:t>
      </w:r>
      <w:r w:rsidR="00BB7BEC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15553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reglementările </w:t>
      </w:r>
      <w:r w:rsidR="00BB7BEC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ANRE</w:t>
      </w:r>
      <w:r w:rsidR="00F3327F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. </w:t>
      </w:r>
      <w:r w:rsidR="00BB7BEC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</w:p>
    <w:p w:rsidR="000B32A0" w:rsidRPr="00752082" w:rsidRDefault="000B32A0" w:rsidP="005C47CE">
      <w:pPr>
        <w:pStyle w:val="ListParagraph"/>
        <w:numPr>
          <w:ilvl w:val="3"/>
          <w:numId w:val="3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OTS achiziţionează </w:t>
      </w:r>
      <w:r w:rsidRPr="00752082">
        <w:rPr>
          <w:rFonts w:ascii="Times New Roman" w:hAnsi="Times New Roman" w:cs="Times New Roman"/>
          <w:sz w:val="24"/>
          <w:szCs w:val="24"/>
        </w:rPr>
        <w:t>servici</w:t>
      </w:r>
      <w:r w:rsidR="00D36B7E">
        <w:rPr>
          <w:rFonts w:ascii="Times New Roman" w:hAnsi="Times New Roman" w:cs="Times New Roman"/>
          <w:sz w:val="24"/>
          <w:szCs w:val="24"/>
        </w:rPr>
        <w:t>ul</w:t>
      </w:r>
      <w:r w:rsidRPr="00752082">
        <w:rPr>
          <w:rFonts w:ascii="Times New Roman" w:hAnsi="Times New Roman" w:cs="Times New Roman"/>
          <w:sz w:val="24"/>
          <w:szCs w:val="24"/>
        </w:rPr>
        <w:t xml:space="preserve"> de sistem pentru reglajul tensiunii în RET </w:t>
      </w:r>
      <w:r w:rsidR="00F3327F">
        <w:rPr>
          <w:rFonts w:ascii="Times New Roman" w:hAnsi="Times New Roman" w:cs="Times New Roman"/>
          <w:sz w:val="24"/>
          <w:szCs w:val="24"/>
        </w:rPr>
        <w:t xml:space="preserve">în condițiile Legii, </w:t>
      </w:r>
      <w:r w:rsidRPr="00752082">
        <w:rPr>
          <w:rFonts w:ascii="Times New Roman" w:hAnsi="Times New Roman" w:cs="Times New Roman"/>
          <w:sz w:val="24"/>
          <w:szCs w:val="24"/>
        </w:rPr>
        <w:t>prin proceduri transparente, nediscriminatorii şi bazate pe piaţă</w:t>
      </w:r>
      <w:r w:rsidR="00F3327F">
        <w:rPr>
          <w:rFonts w:ascii="Times New Roman" w:hAnsi="Times New Roman" w:cs="Times New Roman"/>
          <w:sz w:val="24"/>
          <w:szCs w:val="24"/>
        </w:rPr>
        <w:t xml:space="preserve">. </w:t>
      </w:r>
      <w:r w:rsidRPr="0075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D27" w:rsidRPr="00752082" w:rsidRDefault="00483D27" w:rsidP="005C47CE">
      <w:pPr>
        <w:pStyle w:val="ListParagraph"/>
        <w:numPr>
          <w:ilvl w:val="3"/>
          <w:numId w:val="3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Procedurile de achiziţie prevăzute la alin. (2) au în vedere un preţ maximal stabilit de OTS în conformitate cu prevederile prezentei metodologii.</w:t>
      </w:r>
    </w:p>
    <w:p w:rsidR="00D55FE8" w:rsidRPr="00752082" w:rsidRDefault="00562950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33AEF" w:rsidRPr="00752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307" w:rsidRPr="00752082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434D05" w:rsidRPr="00562950">
        <w:rPr>
          <w:rFonts w:ascii="Times New Roman" w:eastAsia="Calibri" w:hAnsi="Times New Roman" w:cs="Times New Roman"/>
          <w:sz w:val="24"/>
          <w:szCs w:val="24"/>
          <w:lang w:eastAsia="ro-RO"/>
        </w:rPr>
        <w:t>OTS</w:t>
      </w:r>
      <w:r w:rsidR="00434D05" w:rsidRPr="00752082">
        <w:rPr>
          <w:rFonts w:ascii="Times New Roman" w:hAnsi="Times New Roman" w:cs="Times New Roman"/>
          <w:bCs/>
          <w:sz w:val="24"/>
          <w:szCs w:val="24"/>
        </w:rPr>
        <w:t xml:space="preserve"> stabileşte p</w:t>
      </w:r>
      <w:r w:rsidR="00D55FE8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rețul maximal </w:t>
      </w:r>
      <w:r w:rsidR="001F140B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prevăzut la art. 4 alin. (3) </w:t>
      </w:r>
      <w:r w:rsidR="00EA7793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pentru fiecare zonă de rețea în care </w:t>
      </w:r>
      <w:r w:rsidR="00521221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OTS identifică necesitatea</w:t>
      </w:r>
      <w:r w:rsidR="00EA7793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reglajul</w:t>
      </w:r>
      <w:r w:rsidR="00521221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ui</w:t>
      </w:r>
      <w:r w:rsidR="00EA7793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tensiunii prin achiziția </w:t>
      </w:r>
      <w:r w:rsidR="00F3327F" w:rsidRPr="00F3327F">
        <w:rPr>
          <w:rFonts w:ascii="Times New Roman" w:eastAsia="Calibri" w:hAnsi="Times New Roman" w:cs="Times New Roman"/>
          <w:sz w:val="24"/>
          <w:szCs w:val="24"/>
          <w:lang w:eastAsia="ro-RO"/>
        </w:rPr>
        <w:t>serviciului de sistem pentru reglajul tensiunii</w:t>
      </w:r>
      <w:r w:rsidR="00F3327F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:rsidR="00267A34" w:rsidRPr="00752082" w:rsidRDefault="00C17080" w:rsidP="005C47CE">
      <w:pPr>
        <w:pStyle w:val="ListParagraph"/>
        <w:numPr>
          <w:ilvl w:val="0"/>
          <w:numId w:val="6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Preţul maximal </w:t>
      </w:r>
      <w:r w:rsidR="001F140B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prevăzut la alin. (1) </w:t>
      </w:r>
      <w:r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se </w:t>
      </w:r>
      <w:r w:rsidR="00267A34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determină pe baza costului anual unitar </w:t>
      </w:r>
      <w:r w:rsidR="006A47EA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minim </w:t>
      </w:r>
      <w:r w:rsidR="00267A34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aferent mijloacelor proprii de compensare pe care OTS evită să le achiziţioneze/instaleze.</w:t>
      </w:r>
    </w:p>
    <w:p w:rsidR="001113E8" w:rsidRPr="001113E8" w:rsidRDefault="005C0010" w:rsidP="001113E8">
      <w:pPr>
        <w:pStyle w:val="ListParagraph"/>
        <w:numPr>
          <w:ilvl w:val="0"/>
          <w:numId w:val="6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96282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Costul anual unitar </w:t>
      </w:r>
      <w:r w:rsidR="00BB0907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minim </w:t>
      </w:r>
      <w:r w:rsidRPr="0096282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prevăzut la alin. (2) se determină </w:t>
      </w:r>
      <w:r w:rsidR="00C17080" w:rsidRPr="0096282C">
        <w:rPr>
          <w:rFonts w:ascii="Times New Roman" w:eastAsia="Calibri" w:hAnsi="Times New Roman" w:cs="Times New Roman"/>
          <w:sz w:val="24"/>
          <w:szCs w:val="24"/>
          <w:lang w:eastAsia="ro-RO"/>
        </w:rPr>
        <w:t>prin raportarea c</w:t>
      </w:r>
      <w:r w:rsidRPr="0096282C">
        <w:rPr>
          <w:rFonts w:ascii="Times New Roman" w:eastAsia="Calibri" w:hAnsi="Times New Roman" w:cs="Times New Roman"/>
          <w:sz w:val="24"/>
          <w:szCs w:val="24"/>
          <w:lang w:eastAsia="ro-RO"/>
        </w:rPr>
        <w:t>heltuielilor</w:t>
      </w:r>
      <w:r w:rsidR="00C17080" w:rsidRPr="0096282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96282C">
        <w:rPr>
          <w:rFonts w:ascii="Times New Roman" w:eastAsia="Calibri" w:hAnsi="Times New Roman" w:cs="Times New Roman"/>
          <w:sz w:val="24"/>
          <w:szCs w:val="24"/>
          <w:lang w:eastAsia="ro-RO"/>
        </w:rPr>
        <w:t>cu amortizarea anuală</w:t>
      </w:r>
      <w:r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</w:t>
      </w:r>
      <w:r w:rsidR="00C17080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mijloacelor proprii de compensare pe care OTS evită să le achiziţioneze/instaleze,</w:t>
      </w:r>
      <w:r w:rsidR="003603D2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la capacitatea instalaţiilor de compensare şi </w:t>
      </w:r>
      <w:r w:rsidR="00C17080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la numărul de ore în care acestea ar fi necesar să funcţioneze</w:t>
      </w:r>
      <w:r w:rsidR="00E64AE5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3603D2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în cursul unui an</w:t>
      </w:r>
      <w:r w:rsidR="00C17080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:rsidR="001A5320" w:rsidRPr="00752082" w:rsidRDefault="00562950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D505F" w:rsidRPr="00752082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r w:rsidR="001A5320" w:rsidRPr="00752082">
        <w:rPr>
          <w:rFonts w:ascii="Times New Roman" w:hAnsi="Times New Roman" w:cs="Times New Roman"/>
          <w:bCs/>
          <w:sz w:val="24"/>
          <w:szCs w:val="24"/>
        </w:rPr>
        <w:t xml:space="preserve">Instalaţiile de compensare ale căror costuri sunt luate în considerare conform prevederilor art. 5 alin. (3) </w:t>
      </w:r>
      <w:r w:rsidR="008F73FC" w:rsidRPr="00752082">
        <w:rPr>
          <w:rFonts w:ascii="Times New Roman" w:hAnsi="Times New Roman" w:cs="Times New Roman"/>
          <w:bCs/>
          <w:sz w:val="24"/>
          <w:szCs w:val="24"/>
        </w:rPr>
        <w:t xml:space="preserve">corespund soluţiei tehnice identificate de OTS pentru </w:t>
      </w:r>
      <w:r w:rsidR="008F73FC" w:rsidRPr="00752082">
        <w:rPr>
          <w:rFonts w:ascii="Times New Roman" w:hAnsi="Times New Roman" w:cs="Times New Roman"/>
          <w:sz w:val="24"/>
          <w:szCs w:val="24"/>
        </w:rPr>
        <w:t>asigurarea reglajului de tensiune pentru zona respectivă</w:t>
      </w:r>
      <w:r w:rsidR="008F73FC">
        <w:rPr>
          <w:rFonts w:ascii="Times New Roman" w:hAnsi="Times New Roman" w:cs="Times New Roman"/>
          <w:sz w:val="24"/>
          <w:szCs w:val="24"/>
        </w:rPr>
        <w:t>.</w:t>
      </w:r>
      <w:r w:rsidR="008F73FC" w:rsidRPr="008F7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320" w:rsidRPr="00734BC8" w:rsidRDefault="0060104C" w:rsidP="005C47CE">
      <w:pPr>
        <w:pStyle w:val="ListParagraph"/>
        <w:numPr>
          <w:ilvl w:val="0"/>
          <w:numId w:val="7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082">
        <w:rPr>
          <w:rFonts w:ascii="Times New Roman" w:hAnsi="Times New Roman" w:cs="Times New Roman"/>
          <w:bCs/>
          <w:sz w:val="24"/>
          <w:szCs w:val="24"/>
        </w:rPr>
        <w:t xml:space="preserve">Soluţia tehnică ale cărei costuri sunt luate în </w:t>
      </w:r>
      <w:r w:rsidRPr="00734BC8">
        <w:rPr>
          <w:rFonts w:ascii="Times New Roman" w:hAnsi="Times New Roman" w:cs="Times New Roman"/>
          <w:bCs/>
          <w:sz w:val="24"/>
          <w:szCs w:val="24"/>
        </w:rPr>
        <w:t xml:space="preserve">considerare la stabilirea preţului maximal </w:t>
      </w:r>
      <w:r w:rsidR="00BB0907">
        <w:rPr>
          <w:rFonts w:ascii="Times New Roman" w:hAnsi="Times New Roman" w:cs="Times New Roman"/>
          <w:bCs/>
          <w:sz w:val="24"/>
          <w:szCs w:val="24"/>
        </w:rPr>
        <w:t>corespunde alternativei care asigură costuri minime</w:t>
      </w:r>
      <w:r w:rsidR="00105F48">
        <w:rPr>
          <w:rFonts w:ascii="Times New Roman" w:hAnsi="Times New Roman" w:cs="Times New Roman"/>
          <w:bCs/>
          <w:sz w:val="24"/>
          <w:szCs w:val="24"/>
        </w:rPr>
        <w:t>,</w:t>
      </w:r>
      <w:r w:rsidR="00301F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907">
        <w:rPr>
          <w:rFonts w:ascii="Times New Roman" w:hAnsi="Times New Roman" w:cs="Times New Roman"/>
          <w:bCs/>
          <w:sz w:val="24"/>
          <w:szCs w:val="24"/>
        </w:rPr>
        <w:t xml:space="preserve">respectiv </w:t>
      </w:r>
      <w:r w:rsidR="002F64F1">
        <w:rPr>
          <w:rFonts w:ascii="Times New Roman" w:hAnsi="Times New Roman" w:cs="Times New Roman"/>
          <w:bCs/>
          <w:sz w:val="24"/>
          <w:szCs w:val="24"/>
        </w:rPr>
        <w:t xml:space="preserve">utilizarea de </w:t>
      </w:r>
      <w:r w:rsidR="00A13CD8" w:rsidRPr="00734BC8">
        <w:rPr>
          <w:rFonts w:ascii="Times New Roman" w:hAnsi="Times New Roman" w:cs="Times New Roman"/>
          <w:bCs/>
          <w:sz w:val="24"/>
          <w:szCs w:val="24"/>
        </w:rPr>
        <w:t>bobine</w:t>
      </w:r>
      <w:r w:rsidR="004D2A56" w:rsidRPr="00734BC8">
        <w:rPr>
          <w:rFonts w:ascii="Times New Roman" w:hAnsi="Times New Roman" w:cs="Times New Roman"/>
          <w:bCs/>
          <w:sz w:val="24"/>
          <w:szCs w:val="24"/>
        </w:rPr>
        <w:t xml:space="preserve"> de reactanţă</w:t>
      </w:r>
      <w:r w:rsidR="00BB0907">
        <w:rPr>
          <w:rFonts w:ascii="Times New Roman" w:hAnsi="Times New Roman" w:cs="Times New Roman"/>
          <w:bCs/>
          <w:sz w:val="24"/>
          <w:szCs w:val="24"/>
        </w:rPr>
        <w:t xml:space="preserve"> pentru compensarea energiei reactive</w:t>
      </w:r>
      <w:r w:rsidR="00B43DFB" w:rsidRPr="00734BC8">
        <w:rPr>
          <w:rFonts w:ascii="Times New Roman" w:hAnsi="Times New Roman" w:cs="Times New Roman"/>
          <w:bCs/>
          <w:sz w:val="24"/>
          <w:szCs w:val="24"/>
        </w:rPr>
        <w:t>.</w:t>
      </w:r>
    </w:p>
    <w:p w:rsidR="006B4CBA" w:rsidRDefault="00562950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7BFA" w:rsidRPr="00752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2786" w:rsidRPr="00752082">
        <w:rPr>
          <w:rFonts w:ascii="Times New Roman" w:hAnsi="Times New Roman" w:cs="Times New Roman"/>
          <w:sz w:val="24"/>
          <w:szCs w:val="24"/>
        </w:rPr>
        <w:t xml:space="preserve"> </w:t>
      </w:r>
      <w:r w:rsidR="005260C4" w:rsidRPr="00752082">
        <w:rPr>
          <w:rFonts w:ascii="Times New Roman" w:hAnsi="Times New Roman" w:cs="Times New Roman"/>
          <w:sz w:val="24"/>
          <w:szCs w:val="24"/>
        </w:rPr>
        <w:t>(</w:t>
      </w:r>
      <w:r w:rsidR="00D76823" w:rsidRPr="00752082">
        <w:rPr>
          <w:rFonts w:ascii="Times New Roman" w:hAnsi="Times New Roman" w:cs="Times New Roman"/>
          <w:sz w:val="24"/>
          <w:szCs w:val="24"/>
        </w:rPr>
        <w:t>1</w:t>
      </w:r>
      <w:r w:rsidR="005260C4" w:rsidRPr="00752082">
        <w:rPr>
          <w:rFonts w:ascii="Times New Roman" w:hAnsi="Times New Roman" w:cs="Times New Roman"/>
          <w:sz w:val="24"/>
          <w:szCs w:val="24"/>
        </w:rPr>
        <w:t>)</w:t>
      </w:r>
      <w:r w:rsidR="006C0E66" w:rsidRPr="00752082">
        <w:rPr>
          <w:rFonts w:ascii="Times New Roman" w:hAnsi="Times New Roman" w:cs="Times New Roman"/>
          <w:sz w:val="24"/>
          <w:szCs w:val="24"/>
        </w:rPr>
        <w:t xml:space="preserve"> </w:t>
      </w:r>
      <w:r w:rsidR="009C1B28" w:rsidRPr="00752082">
        <w:rPr>
          <w:rFonts w:ascii="Times New Roman" w:hAnsi="Times New Roman" w:cs="Times New Roman"/>
          <w:sz w:val="24"/>
          <w:szCs w:val="24"/>
        </w:rPr>
        <w:t xml:space="preserve"> </w:t>
      </w:r>
      <w:r w:rsidR="006B4CBA" w:rsidRPr="00752082">
        <w:rPr>
          <w:rFonts w:ascii="Times New Roman" w:hAnsi="Times New Roman" w:cs="Times New Roman"/>
          <w:sz w:val="24"/>
          <w:szCs w:val="24"/>
        </w:rPr>
        <w:t xml:space="preserve">OTS </w:t>
      </w:r>
      <w:r w:rsidR="00786D6F" w:rsidRPr="00752082">
        <w:rPr>
          <w:rFonts w:ascii="Times New Roman" w:hAnsi="Times New Roman" w:cs="Times New Roman"/>
          <w:sz w:val="24"/>
          <w:szCs w:val="24"/>
        </w:rPr>
        <w:t>determină</w:t>
      </w:r>
      <w:r w:rsidR="006B4CBA" w:rsidRPr="00752082">
        <w:rPr>
          <w:rFonts w:ascii="Times New Roman" w:hAnsi="Times New Roman" w:cs="Times New Roman"/>
          <w:sz w:val="24"/>
          <w:szCs w:val="24"/>
        </w:rPr>
        <w:t xml:space="preserve"> prețul maximal utilizând următoarea formulă:</w:t>
      </w:r>
    </w:p>
    <w:p w:rsidR="00FD4D20" w:rsidRDefault="00FD4D20" w:rsidP="00FD4D20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D20" w:rsidRPr="00FD4D20" w:rsidRDefault="00FD4D20" w:rsidP="00FD4D20">
      <w:pPr>
        <w:pStyle w:val="ListParagraph"/>
        <w:spacing w:after="72" w:line="276" w:lineRule="auto"/>
        <w:ind w:left="360" w:right="144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Preţ maximal</w:t>
      </w:r>
      <w:r w:rsidRPr="00FD4D20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=  </w:t>
      </w:r>
      <m:oMath>
        <m:f>
          <m:fPr>
            <m:ctrlPr>
              <w:rPr>
                <w:rStyle w:val="salnbdy"/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fPr>
          <m:num>
            <m:r>
              <w:rPr>
                <w:rStyle w:val="salnbdy"/>
                <w:rFonts w:ascii="Cambria Math" w:eastAsia="Times New Roman" w:hAnsi="Cambria Math" w:cs="Times New Roman"/>
                <w:color w:val="auto"/>
                <w:sz w:val="24"/>
                <w:szCs w:val="24"/>
              </w:rPr>
              <m:t>AM [lei]</m:t>
            </m:r>
          </m:num>
          <m:den>
            <m:r>
              <w:rPr>
                <w:rStyle w:val="salnbdy"/>
                <w:rFonts w:ascii="Cambria Math" w:eastAsia="Times New Roman" w:hAnsi="Cambria Math" w:cs="Times New Roman"/>
                <w:color w:val="auto"/>
                <w:sz w:val="24"/>
                <w:szCs w:val="24"/>
              </w:rPr>
              <m:t>Qnom</m:t>
            </m:r>
            <m:d>
              <m:dPr>
                <m:begChr m:val="["/>
                <m:endChr m:val="]"/>
                <m:ctrlPr>
                  <w:rPr>
                    <w:rStyle w:val="salnbdy"/>
                    <w:rFonts w:ascii="Cambria Math" w:eastAsia="Times New Roman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r>
                  <w:rPr>
                    <w:rStyle w:val="salnbdy"/>
                    <w:rFonts w:ascii="Cambria Math" w:eastAsia="Times New Roman" w:hAnsi="Cambria Math" w:cs="Times New Roman"/>
                    <w:color w:val="auto"/>
                    <w:sz w:val="24"/>
                    <w:szCs w:val="24"/>
                  </w:rPr>
                  <m:t>MVAr</m:t>
                </m:r>
              </m:e>
            </m:d>
            <m:r>
              <w:rPr>
                <w:rStyle w:val="salnbdy"/>
                <w:rFonts w:ascii="Cambria Math" w:eastAsia="Times New Roman" w:hAnsi="Cambria Math" w:cs="Times New Roman"/>
                <w:color w:val="auto"/>
                <w:sz w:val="24"/>
                <w:szCs w:val="24"/>
              </w:rPr>
              <m:t>*Nr. ore de funcţionare [h]</m:t>
            </m:r>
          </m:den>
        </m:f>
      </m:oMath>
      <w:r w:rsidRPr="00FD4D20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43DFB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</w:t>
      </w:r>
      <w:r w:rsidR="0036365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Pr="00FD4D20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lei</w:t>
      </w:r>
      <w:r w:rsidR="0036365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/(MVAr * h</w:t>
      </w:r>
      <w:r w:rsidRPr="00FD4D20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36365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]</w:t>
      </w:r>
    </w:p>
    <w:p w:rsidR="00FD4D20" w:rsidRPr="00752082" w:rsidRDefault="00FD4D20" w:rsidP="00FD4D20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BA" w:rsidRPr="00752082" w:rsidRDefault="006B4CBA" w:rsidP="009E7C82">
      <w:pPr>
        <w:pStyle w:val="NormalWeb"/>
        <w:jc w:val="both"/>
        <w:rPr>
          <w:lang w:val="ro-RO"/>
        </w:rPr>
      </w:pPr>
      <w:r w:rsidRPr="00752082">
        <w:rPr>
          <w:rFonts w:eastAsiaTheme="minorHAnsi"/>
          <w:lang w:val="ro-RO"/>
        </w:rPr>
        <w:t xml:space="preserve">Unde:  </w:t>
      </w:r>
      <w:r w:rsidRPr="00752082">
        <w:rPr>
          <w:lang w:val="ro-RO"/>
        </w:rPr>
        <w:t xml:space="preserve">AM </w:t>
      </w:r>
      <w:r w:rsidR="00786D6F" w:rsidRPr="00752082">
        <w:rPr>
          <w:lang w:val="ro-RO"/>
        </w:rPr>
        <w:t>–</w:t>
      </w:r>
      <w:r w:rsidRPr="00752082">
        <w:rPr>
          <w:lang w:val="ro-RO"/>
        </w:rPr>
        <w:t xml:space="preserve"> </w:t>
      </w:r>
      <w:r w:rsidR="00786D6F" w:rsidRPr="00752082">
        <w:rPr>
          <w:lang w:val="ro-RO"/>
        </w:rPr>
        <w:t xml:space="preserve">cheltuielile cu </w:t>
      </w:r>
      <w:r w:rsidRPr="00752082">
        <w:rPr>
          <w:lang w:val="ro-RO"/>
        </w:rPr>
        <w:t xml:space="preserve">amortizarea reglementată </w:t>
      </w:r>
      <w:r w:rsidR="008265E5" w:rsidRPr="00752082">
        <w:rPr>
          <w:lang w:val="ro-RO"/>
        </w:rPr>
        <w:t xml:space="preserve">anuală a </w:t>
      </w:r>
      <w:r w:rsidRPr="00752082">
        <w:rPr>
          <w:lang w:val="ro-RO"/>
        </w:rPr>
        <w:t>mijlocului</w:t>
      </w:r>
      <w:r w:rsidR="008265E5" w:rsidRPr="00752082">
        <w:rPr>
          <w:lang w:val="ro-RO"/>
        </w:rPr>
        <w:t>/mijloacelor</w:t>
      </w:r>
      <w:r w:rsidRPr="00752082">
        <w:rPr>
          <w:lang w:val="ro-RO"/>
        </w:rPr>
        <w:t xml:space="preserve"> fix</w:t>
      </w:r>
      <w:r w:rsidR="008265E5" w:rsidRPr="00752082">
        <w:rPr>
          <w:lang w:val="ro-RO"/>
        </w:rPr>
        <w:t xml:space="preserve">e </w:t>
      </w:r>
      <w:r w:rsidR="001A5320" w:rsidRPr="00752082">
        <w:rPr>
          <w:lang w:val="ro-RO"/>
        </w:rPr>
        <w:t>ce compun</w:t>
      </w:r>
      <w:r w:rsidRPr="00752082">
        <w:rPr>
          <w:lang w:val="ro-RO"/>
        </w:rPr>
        <w:t xml:space="preserve"> </w:t>
      </w:r>
      <w:r w:rsidR="008265E5" w:rsidRPr="00752082">
        <w:rPr>
          <w:lang w:val="ro-RO"/>
        </w:rPr>
        <w:t>instalaţiil</w:t>
      </w:r>
      <w:r w:rsidR="001A5320" w:rsidRPr="00752082">
        <w:rPr>
          <w:lang w:val="ro-RO"/>
        </w:rPr>
        <w:t>e</w:t>
      </w:r>
      <w:r w:rsidR="008265E5" w:rsidRPr="00752082">
        <w:rPr>
          <w:lang w:val="ro-RO"/>
        </w:rPr>
        <w:t xml:space="preserve"> </w:t>
      </w:r>
      <w:r w:rsidR="008265E5" w:rsidRPr="00752082">
        <w:rPr>
          <w:rFonts w:eastAsia="Calibri"/>
          <w:lang w:val="ro-RO" w:eastAsia="ro-RO"/>
        </w:rPr>
        <w:t>proprii de compensare pe care OTS evită să le achiziţioneze/instaleze</w:t>
      </w:r>
      <w:r w:rsidR="008265E5" w:rsidRPr="00752082">
        <w:rPr>
          <w:lang w:val="ro-RO"/>
        </w:rPr>
        <w:t xml:space="preserve"> </w:t>
      </w:r>
      <w:r w:rsidR="009E7C82" w:rsidRPr="00752082">
        <w:rPr>
          <w:lang w:val="ro-RO"/>
        </w:rPr>
        <w:t xml:space="preserve">în propria rețea </w:t>
      </w:r>
      <w:r w:rsidR="008265E5" w:rsidRPr="00752082">
        <w:rPr>
          <w:lang w:val="ro-RO"/>
        </w:rPr>
        <w:t xml:space="preserve">în scopul </w:t>
      </w:r>
      <w:r w:rsidR="009E7C82" w:rsidRPr="00752082">
        <w:rPr>
          <w:lang w:val="ro-RO"/>
        </w:rPr>
        <w:t>asigur</w:t>
      </w:r>
      <w:r w:rsidR="008265E5" w:rsidRPr="00752082">
        <w:rPr>
          <w:lang w:val="ro-RO"/>
        </w:rPr>
        <w:t>ării</w:t>
      </w:r>
      <w:r w:rsidR="009E7C82" w:rsidRPr="00752082">
        <w:rPr>
          <w:lang w:val="ro-RO"/>
        </w:rPr>
        <w:t xml:space="preserve"> reglajului de tensiune</w:t>
      </w:r>
      <w:r w:rsidR="008265E5" w:rsidRPr="00752082">
        <w:rPr>
          <w:lang w:val="ro-RO"/>
        </w:rPr>
        <w:t xml:space="preserve"> </w:t>
      </w:r>
      <w:r w:rsidR="009E7C82" w:rsidRPr="00752082">
        <w:rPr>
          <w:lang w:val="ro-RO"/>
        </w:rPr>
        <w:t>pentru zon</w:t>
      </w:r>
      <w:r w:rsidR="008265E5" w:rsidRPr="00752082">
        <w:rPr>
          <w:lang w:val="ro-RO"/>
        </w:rPr>
        <w:t>a respectivă</w:t>
      </w:r>
      <w:r w:rsidRPr="00752082">
        <w:rPr>
          <w:lang w:val="ro-RO"/>
        </w:rPr>
        <w:t>;</w:t>
      </w:r>
    </w:p>
    <w:p w:rsidR="006B4CBA" w:rsidRPr="00752082" w:rsidRDefault="006B4CBA" w:rsidP="009E7C82">
      <w:pPr>
        <w:pStyle w:val="NormalWeb"/>
        <w:jc w:val="both"/>
        <w:rPr>
          <w:lang w:val="ro-RO"/>
        </w:rPr>
      </w:pPr>
      <w:r w:rsidRPr="00752082">
        <w:rPr>
          <w:lang w:val="ro-RO"/>
        </w:rPr>
        <w:t xml:space="preserve">            </w:t>
      </w:r>
      <w:r w:rsidR="008265E5" w:rsidRPr="00752082">
        <w:rPr>
          <w:lang w:val="ro-RO"/>
        </w:rPr>
        <w:t>Q</w:t>
      </w:r>
      <w:r w:rsidRPr="00752082">
        <w:rPr>
          <w:lang w:val="ro-RO"/>
        </w:rPr>
        <w:t xml:space="preserve"> nom – </w:t>
      </w:r>
      <w:r w:rsidR="00FF42F2">
        <w:rPr>
          <w:lang w:val="ro-RO"/>
        </w:rPr>
        <w:t>puterea</w:t>
      </w:r>
      <w:r w:rsidR="00E44752">
        <w:rPr>
          <w:lang w:val="ro-RO"/>
        </w:rPr>
        <w:t xml:space="preserve"> reactivă</w:t>
      </w:r>
      <w:r w:rsidRPr="00752082">
        <w:rPr>
          <w:lang w:val="ro-RO"/>
        </w:rPr>
        <w:t xml:space="preserve"> nominală a </w:t>
      </w:r>
      <w:r w:rsidR="008265E5" w:rsidRPr="00752082">
        <w:rPr>
          <w:lang w:val="ro-RO"/>
        </w:rPr>
        <w:t xml:space="preserve">instalaţiilor de compensare </w:t>
      </w:r>
      <w:r w:rsidR="008265E5" w:rsidRPr="00752082">
        <w:rPr>
          <w:rFonts w:eastAsia="Calibri"/>
          <w:lang w:val="ro-RO" w:eastAsia="ro-RO"/>
        </w:rPr>
        <w:t>pe care OTS evită să le achiziţioneze/instaleze</w:t>
      </w:r>
      <w:r w:rsidR="008265E5" w:rsidRPr="00752082">
        <w:rPr>
          <w:lang w:val="ro-RO"/>
        </w:rPr>
        <w:t xml:space="preserve"> în propria rețea în scopul asigurării reglajului de tensiune pentru zona respectivă</w:t>
      </w:r>
      <w:r w:rsidR="0036365D">
        <w:rPr>
          <w:lang w:val="ro-RO"/>
        </w:rPr>
        <w:t>,</w:t>
      </w:r>
      <w:r w:rsidR="0036365D" w:rsidRPr="0036365D">
        <w:rPr>
          <w:lang w:val="ro-RO"/>
        </w:rPr>
        <w:t xml:space="preserve"> </w:t>
      </w:r>
      <w:r w:rsidR="0036365D">
        <w:rPr>
          <w:lang w:val="ro-RO"/>
        </w:rPr>
        <w:t>masurata in MVAr</w:t>
      </w:r>
      <w:r w:rsidRPr="00752082">
        <w:rPr>
          <w:lang w:val="ro-RO"/>
        </w:rPr>
        <w:t>;</w:t>
      </w:r>
    </w:p>
    <w:p w:rsidR="006B4CBA" w:rsidRPr="00752082" w:rsidRDefault="006B4CBA" w:rsidP="009E7C82">
      <w:pPr>
        <w:pStyle w:val="NormalWeb"/>
        <w:jc w:val="both"/>
        <w:rPr>
          <w:lang w:val="ro-RO"/>
        </w:rPr>
      </w:pPr>
      <w:r w:rsidRPr="00752082">
        <w:rPr>
          <w:lang w:val="ro-RO"/>
        </w:rPr>
        <w:t xml:space="preserve">            Nr. ore funcționare – n</w:t>
      </w:r>
      <w:r w:rsidR="009F7C5E" w:rsidRPr="00752082">
        <w:rPr>
          <w:lang w:val="ro-RO"/>
        </w:rPr>
        <w:t xml:space="preserve">umărul de </w:t>
      </w:r>
      <w:r w:rsidRPr="00752082">
        <w:rPr>
          <w:lang w:val="ro-RO"/>
        </w:rPr>
        <w:t xml:space="preserve">ore de funcționare </w:t>
      </w:r>
      <w:r w:rsidR="009F7C5E" w:rsidRPr="00752082">
        <w:rPr>
          <w:lang w:val="ro-RO"/>
        </w:rPr>
        <w:t>estimat pentru</w:t>
      </w:r>
      <w:r w:rsidRPr="00752082">
        <w:rPr>
          <w:lang w:val="ro-RO"/>
        </w:rPr>
        <w:t xml:space="preserve"> anul t</w:t>
      </w:r>
      <w:r w:rsidR="009F7C5E" w:rsidRPr="00752082">
        <w:rPr>
          <w:lang w:val="ro-RO"/>
        </w:rPr>
        <w:t>.</w:t>
      </w:r>
    </w:p>
    <w:p w:rsidR="00525CCB" w:rsidRPr="00752082" w:rsidRDefault="004524C4" w:rsidP="005C47CE">
      <w:pPr>
        <w:pStyle w:val="ListParagraph"/>
        <w:numPr>
          <w:ilvl w:val="0"/>
          <w:numId w:val="8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 xml:space="preserve">Amortizarea </w:t>
      </w:r>
      <w:r w:rsidR="00B43DFB">
        <w:rPr>
          <w:rFonts w:ascii="Times New Roman" w:hAnsi="Times New Roman" w:cs="Times New Roman"/>
          <w:sz w:val="24"/>
          <w:szCs w:val="24"/>
        </w:rPr>
        <w:t xml:space="preserve">anuală </w:t>
      </w:r>
      <w:r w:rsidRPr="00752082">
        <w:rPr>
          <w:rFonts w:ascii="Times New Roman" w:hAnsi="Times New Roman" w:cs="Times New Roman"/>
          <w:sz w:val="24"/>
          <w:szCs w:val="24"/>
        </w:rPr>
        <w:t xml:space="preserve">reglementată prevăzută la </w:t>
      </w:r>
      <w:r w:rsidRPr="00752082">
        <w:rPr>
          <w:rFonts w:ascii="Times New Roman" w:hAnsi="Times New Roman" w:cs="Times New Roman"/>
          <w:bCs/>
          <w:sz w:val="24"/>
          <w:szCs w:val="24"/>
        </w:rPr>
        <w:t>alin</w:t>
      </w:r>
      <w:r w:rsidRPr="00752082">
        <w:rPr>
          <w:rFonts w:ascii="Times New Roman" w:hAnsi="Times New Roman" w:cs="Times New Roman"/>
          <w:sz w:val="24"/>
          <w:szCs w:val="24"/>
        </w:rPr>
        <w:t xml:space="preserve">. (1) se calculează utilizând durata de </w:t>
      </w:r>
      <w:r w:rsidR="00327453" w:rsidRPr="00752082">
        <w:rPr>
          <w:rFonts w:ascii="Times New Roman" w:hAnsi="Times New Roman" w:cs="Times New Roman"/>
          <w:sz w:val="24"/>
          <w:szCs w:val="24"/>
        </w:rPr>
        <w:t xml:space="preserve">funcţionare reglementată aprobată prin </w:t>
      </w:r>
      <w:r w:rsidR="00C31921" w:rsidRPr="00752082">
        <w:rPr>
          <w:rFonts w:ascii="Times New Roman" w:hAnsi="Times New Roman" w:cs="Times New Roman"/>
          <w:sz w:val="24"/>
          <w:szCs w:val="24"/>
        </w:rPr>
        <w:t>Metodologia de stabilire a tarifelor pentru serviciul de transport al energiei electrice, aprobată prin Ordinul președintelui ANRE nr. 171/2019, cu modificările și completările ulterioare.</w:t>
      </w:r>
    </w:p>
    <w:p w:rsidR="009F7C5E" w:rsidRPr="00752082" w:rsidRDefault="009F7C5E" w:rsidP="005C47CE">
      <w:pPr>
        <w:pStyle w:val="ListParagraph"/>
        <w:numPr>
          <w:ilvl w:val="0"/>
          <w:numId w:val="8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2082">
        <w:rPr>
          <w:rFonts w:ascii="Times New Roman" w:hAnsi="Times New Roman" w:cs="Times New Roman"/>
          <w:sz w:val="24"/>
          <w:szCs w:val="24"/>
        </w:rPr>
        <w:t xml:space="preserve">OTS stabilește </w:t>
      </w:r>
      <w:r w:rsidR="00F316BD" w:rsidRPr="00752082">
        <w:rPr>
          <w:rFonts w:ascii="Times New Roman" w:hAnsi="Times New Roman" w:cs="Times New Roman"/>
          <w:sz w:val="24"/>
          <w:szCs w:val="24"/>
        </w:rPr>
        <w:t>numărul</w:t>
      </w:r>
      <w:r w:rsidRPr="00752082">
        <w:rPr>
          <w:rFonts w:ascii="Times New Roman" w:hAnsi="Times New Roman" w:cs="Times New Roman"/>
          <w:sz w:val="24"/>
          <w:szCs w:val="24"/>
        </w:rPr>
        <w:t xml:space="preserve"> de ore de funcționare </w:t>
      </w:r>
      <w:r w:rsidR="00F316BD" w:rsidRPr="00752082">
        <w:rPr>
          <w:rFonts w:ascii="Times New Roman" w:hAnsi="Times New Roman" w:cs="Times New Roman"/>
          <w:sz w:val="24"/>
          <w:szCs w:val="24"/>
        </w:rPr>
        <w:t xml:space="preserve">prevăzut la alin. (1) pe baza </w:t>
      </w:r>
      <w:r w:rsidRPr="00752082">
        <w:rPr>
          <w:rFonts w:ascii="Times New Roman" w:hAnsi="Times New Roman" w:cs="Times New Roman"/>
          <w:sz w:val="24"/>
          <w:szCs w:val="24"/>
        </w:rPr>
        <w:t>n</w:t>
      </w:r>
      <w:r w:rsidR="00F316BD" w:rsidRPr="00752082">
        <w:rPr>
          <w:rFonts w:ascii="Times New Roman" w:hAnsi="Times New Roman" w:cs="Times New Roman"/>
          <w:sz w:val="24"/>
          <w:szCs w:val="24"/>
        </w:rPr>
        <w:t>umărului</w:t>
      </w:r>
      <w:r w:rsidRPr="00752082">
        <w:rPr>
          <w:rFonts w:ascii="Times New Roman" w:hAnsi="Times New Roman" w:cs="Times New Roman"/>
          <w:sz w:val="24"/>
          <w:szCs w:val="24"/>
        </w:rPr>
        <w:t xml:space="preserve"> </w:t>
      </w:r>
      <w:r w:rsidR="00F316BD" w:rsidRPr="00752082">
        <w:rPr>
          <w:rFonts w:ascii="Times New Roman" w:hAnsi="Times New Roman" w:cs="Times New Roman"/>
          <w:sz w:val="24"/>
          <w:szCs w:val="24"/>
        </w:rPr>
        <w:t xml:space="preserve">mediu </w:t>
      </w:r>
      <w:r w:rsidRPr="00752082">
        <w:rPr>
          <w:rFonts w:ascii="Times New Roman" w:hAnsi="Times New Roman" w:cs="Times New Roman"/>
          <w:sz w:val="24"/>
          <w:szCs w:val="24"/>
        </w:rPr>
        <w:t>de ore</w:t>
      </w:r>
      <w:r w:rsidR="00F316BD" w:rsidRPr="00752082">
        <w:rPr>
          <w:rFonts w:ascii="Times New Roman" w:hAnsi="Times New Roman" w:cs="Times New Roman"/>
          <w:sz w:val="24"/>
          <w:szCs w:val="24"/>
        </w:rPr>
        <w:t xml:space="preserve"> în care a achiziţionat serviciul de sistem pentru o zonă de reţea în anul calendaristic încheiat în momentul efectuării calculului</w:t>
      </w:r>
      <w:r w:rsidRPr="00752082">
        <w:rPr>
          <w:rFonts w:ascii="Times New Roman" w:hAnsi="Times New Roman" w:cs="Times New Roman"/>
          <w:sz w:val="24"/>
          <w:szCs w:val="24"/>
        </w:rPr>
        <w:t>.</w:t>
      </w:r>
    </w:p>
    <w:p w:rsidR="00AD5F15" w:rsidRPr="00752082" w:rsidRDefault="00AD5F15" w:rsidP="009E7C82">
      <w:pPr>
        <w:pStyle w:val="Title"/>
        <w:spacing w:before="0" w:after="0" w:line="288" w:lineRule="auto"/>
        <w:contextualSpacing w:val="0"/>
        <w:jc w:val="both"/>
        <w:rPr>
          <w:rFonts w:cs="Times New Roman"/>
          <w:b w:val="0"/>
          <w:sz w:val="24"/>
          <w:szCs w:val="24"/>
        </w:rPr>
      </w:pPr>
    </w:p>
    <w:p w:rsidR="005875FA" w:rsidRPr="00752082" w:rsidRDefault="00435A96" w:rsidP="00890518">
      <w:pPr>
        <w:pStyle w:val="Title"/>
        <w:spacing w:before="0" w:after="0" w:line="288" w:lineRule="auto"/>
        <w:contextualSpacing w:val="0"/>
        <w:rPr>
          <w:rFonts w:cs="Times New Roman"/>
          <w:sz w:val="24"/>
          <w:szCs w:val="24"/>
        </w:rPr>
      </w:pPr>
      <w:r w:rsidRPr="00752082">
        <w:rPr>
          <w:rFonts w:cs="Times New Roman"/>
          <w:sz w:val="24"/>
          <w:szCs w:val="24"/>
        </w:rPr>
        <w:t>Capitolul V</w:t>
      </w:r>
    </w:p>
    <w:p w:rsidR="009661F5" w:rsidRPr="00752082" w:rsidRDefault="00435A96" w:rsidP="00890518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82">
        <w:rPr>
          <w:rFonts w:ascii="Times New Roman" w:hAnsi="Times New Roman" w:cs="Times New Roman"/>
          <w:b/>
          <w:sz w:val="24"/>
          <w:szCs w:val="24"/>
        </w:rPr>
        <w:t>Dispozi</w:t>
      </w:r>
      <w:r w:rsidR="00043683" w:rsidRPr="00752082">
        <w:rPr>
          <w:rFonts w:ascii="Times New Roman" w:hAnsi="Times New Roman" w:cs="Times New Roman"/>
          <w:b/>
          <w:sz w:val="24"/>
          <w:szCs w:val="24"/>
        </w:rPr>
        <w:t>ț</w:t>
      </w:r>
      <w:r w:rsidRPr="00752082">
        <w:rPr>
          <w:rFonts w:ascii="Times New Roman" w:hAnsi="Times New Roman" w:cs="Times New Roman"/>
          <w:b/>
          <w:sz w:val="24"/>
          <w:szCs w:val="24"/>
        </w:rPr>
        <w:t>ii finale</w:t>
      </w:r>
    </w:p>
    <w:p w:rsidR="0080454D" w:rsidRPr="0080454D" w:rsidRDefault="00F502F5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74CEE" w:rsidRPr="00752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D7952" w:rsidRPr="00752082">
        <w:rPr>
          <w:rFonts w:ascii="Times New Roman" w:hAnsi="Times New Roman" w:cs="Times New Roman"/>
          <w:sz w:val="24"/>
          <w:szCs w:val="24"/>
        </w:rPr>
        <w:t>OTS publică pe pagina proprie de internet preţul maximal şi macheta de calcul a acestuia pentru fiecare zonă de rețea</w:t>
      </w:r>
      <w:r w:rsidR="00AE7545" w:rsidRPr="00752082">
        <w:rPr>
          <w:rFonts w:ascii="Times New Roman" w:hAnsi="Times New Roman" w:cs="Times New Roman"/>
          <w:sz w:val="24"/>
          <w:szCs w:val="24"/>
        </w:rPr>
        <w:t xml:space="preserve"> în care a </w:t>
      </w:r>
      <w:r w:rsidR="00AE7545" w:rsidRPr="0075208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identificat necesitatea reglajului tensiunii prin achiziția de energie reactivă, </w:t>
      </w:r>
      <w:r w:rsidR="0080454D">
        <w:rPr>
          <w:rFonts w:ascii="Times New Roman" w:eastAsia="Calibri" w:hAnsi="Times New Roman" w:cs="Times New Roman"/>
          <w:sz w:val="24"/>
          <w:szCs w:val="24"/>
          <w:lang w:eastAsia="ro-RO"/>
        </w:rPr>
        <w:t>conform Anexei nr. 1 care face parte integrantă din prezenta metodologie.</w:t>
      </w:r>
    </w:p>
    <w:p w:rsidR="000D7952" w:rsidRPr="00752082" w:rsidRDefault="00F502F5" w:rsidP="005C47CE">
      <w:pPr>
        <w:pStyle w:val="ListParagraph"/>
        <w:numPr>
          <w:ilvl w:val="0"/>
          <w:numId w:val="9"/>
        </w:numPr>
        <w:tabs>
          <w:tab w:val="left" w:pos="450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Simultan cu publicarea datelor prevăzute la alin. (1), </w:t>
      </w:r>
      <w:r w:rsidRPr="00752082">
        <w:rPr>
          <w:rFonts w:ascii="Times New Roman" w:hAnsi="Times New Roman" w:cs="Times New Roman"/>
          <w:sz w:val="24"/>
          <w:szCs w:val="24"/>
        </w:rPr>
        <w:t xml:space="preserve">OTS publică pe pagina proprie de internet </w:t>
      </w:r>
      <w:r w:rsidR="00AE7545" w:rsidRPr="00752082">
        <w:rPr>
          <w:rFonts w:ascii="Times New Roman" w:hAnsi="Times New Roman" w:cs="Times New Roman"/>
          <w:sz w:val="24"/>
          <w:szCs w:val="24"/>
        </w:rPr>
        <w:t>lista participanţilor la piaţă calificaţi pentru furnizarea servici</w:t>
      </w:r>
      <w:r w:rsidR="00D36B7E">
        <w:rPr>
          <w:rFonts w:ascii="Times New Roman" w:hAnsi="Times New Roman" w:cs="Times New Roman"/>
          <w:sz w:val="24"/>
          <w:szCs w:val="24"/>
        </w:rPr>
        <w:t>ului</w:t>
      </w:r>
      <w:r w:rsidR="00AE7545" w:rsidRPr="00752082">
        <w:rPr>
          <w:rFonts w:ascii="Times New Roman" w:hAnsi="Times New Roman" w:cs="Times New Roman"/>
          <w:sz w:val="24"/>
          <w:szCs w:val="24"/>
        </w:rPr>
        <w:t xml:space="preserve"> de sistem pentru reglajul tensiunii în RET în zona respectivă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conform Anexei nr. 2 care face parte integrantă din prezenta metodologie</w:t>
      </w:r>
      <w:r w:rsidR="000D7952" w:rsidRPr="00752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733" w:rsidRPr="00752082" w:rsidRDefault="00274CEE" w:rsidP="005C47CE">
      <w:pPr>
        <w:numPr>
          <w:ilvl w:val="0"/>
          <w:numId w:val="1"/>
        </w:numPr>
        <w:tabs>
          <w:tab w:val="left" w:pos="709"/>
        </w:tabs>
        <w:spacing w:after="0" w:line="288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72FA0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ANRE monitorizează costurile </w:t>
      </w:r>
      <w:r w:rsidR="00AE7545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>OTS cu</w:t>
      </w:r>
      <w:r w:rsidR="004E34F8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achiz</w:t>
      </w:r>
      <w:r w:rsidR="00FC619A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E34F8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ția </w:t>
      </w:r>
      <w:r w:rsidR="00230EB7" w:rsidRPr="00752082">
        <w:rPr>
          <w:rFonts w:ascii="Times New Roman" w:hAnsi="Times New Roman" w:cs="Times New Roman"/>
          <w:sz w:val="24"/>
          <w:szCs w:val="24"/>
        </w:rPr>
        <w:t>servici</w:t>
      </w:r>
      <w:r w:rsidR="00D36B7E">
        <w:rPr>
          <w:rFonts w:ascii="Times New Roman" w:hAnsi="Times New Roman" w:cs="Times New Roman"/>
          <w:sz w:val="24"/>
          <w:szCs w:val="24"/>
        </w:rPr>
        <w:t>ului</w:t>
      </w:r>
      <w:r w:rsidR="00230EB7" w:rsidRPr="00752082">
        <w:rPr>
          <w:rFonts w:ascii="Times New Roman" w:hAnsi="Times New Roman" w:cs="Times New Roman"/>
          <w:sz w:val="24"/>
          <w:szCs w:val="24"/>
        </w:rPr>
        <w:t xml:space="preserve"> de sistem pentru reglajul tensiunii în RET</w:t>
      </w:r>
      <w:r w:rsidR="00072FA0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>, pe baza datelor transmise de OTS, în conformitate cu prevederile Ghidului de completare a machetelor de monitorizare a activităţii OTS, aprobat prin decizie a preşedintelui ANRE</w:t>
      </w:r>
      <w:r w:rsidR="00890518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2FA0" w:rsidRPr="0075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61F6" w:rsidRPr="00752082" w:rsidRDefault="003661F6" w:rsidP="009E7C8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C1" w:rsidRDefault="00B25CC1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C1" w:rsidRDefault="00B25CC1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C1" w:rsidRDefault="00B25CC1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C1" w:rsidRDefault="00B25CC1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P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DE">
        <w:rPr>
          <w:rFonts w:ascii="Times New Roman" w:hAnsi="Times New Roman" w:cs="Times New Roman"/>
          <w:sz w:val="24"/>
          <w:szCs w:val="24"/>
        </w:rPr>
        <w:t xml:space="preserve">ANEXA nr. 1 </w:t>
      </w:r>
    </w:p>
    <w:p w:rsidR="005E6EDE" w:rsidRP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DE">
        <w:rPr>
          <w:rFonts w:ascii="Times New Roman" w:hAnsi="Times New Roman" w:cs="Times New Roman"/>
          <w:sz w:val="24"/>
          <w:szCs w:val="24"/>
        </w:rPr>
        <w:t>la metodologie</w:t>
      </w:r>
    </w:p>
    <w:p w:rsidR="005E6EDE" w:rsidRP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Pr="005E6EDE" w:rsidRDefault="005E6EDE" w:rsidP="005E6EDE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DE" w:rsidRPr="005E6EDE" w:rsidRDefault="005E6EDE" w:rsidP="005E6EDE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EDE">
        <w:rPr>
          <w:rFonts w:ascii="Times New Roman" w:hAnsi="Times New Roman" w:cs="Times New Roman"/>
          <w:sz w:val="24"/>
          <w:szCs w:val="24"/>
        </w:rPr>
        <w:t>Macheta de calcul a preţului maximal pentru achiziționarea de către OTS a serviciului de sistem pentru reglajul tensiunii în RET</w:t>
      </w:r>
    </w:p>
    <w:p w:rsidR="005E6EDE" w:rsidRPr="005E6EDE" w:rsidRDefault="005E6EDE" w:rsidP="005E6EDE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EDE" w:rsidRPr="005E6EDE" w:rsidRDefault="005E6EDE" w:rsidP="005E6EDE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495"/>
        <w:gridCol w:w="5490"/>
      </w:tblGrid>
      <w:tr w:rsidR="005E6EDE" w:rsidRPr="005E6EDE" w:rsidTr="00C41702">
        <w:trPr>
          <w:trHeight w:val="30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DE" w:rsidRPr="005E6EDE" w:rsidRDefault="005E6EDE" w:rsidP="00C4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MACHETA CALCUL PREȚ MAXIMAL </w:t>
            </w:r>
          </w:p>
        </w:tc>
      </w:tr>
      <w:tr w:rsidR="002A19EC" w:rsidRPr="005E6EDE" w:rsidTr="00C41702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EC" w:rsidRPr="005E6EDE" w:rsidRDefault="002A19EC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Data efectuării/revizuirii calculului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EC" w:rsidRPr="005E6EDE" w:rsidRDefault="002A19E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98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113398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Z</w:t>
            </w:r>
            <w:r w:rsidR="005E6EDE" w:rsidRPr="005E6EDE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ona de rețea în care OTS a identificat necesitatea reglajului tensiunii prin achiziția de energie reactivă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98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5E6EDE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</w:t>
            </w:r>
            <w:r w:rsidR="0011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investiţie</w:t>
            </w:r>
            <w:r w:rsidR="0011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constând în </w:t>
            </w:r>
            <w:r w:rsidRPr="005E6EDE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mijloacel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e </w:t>
            </w:r>
            <w:r w:rsidRPr="005E6EDE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proprii de compensare pe care OTS evită să le achiziţioneze/instaleze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71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DE" w:rsidRPr="005E6EDE" w:rsidRDefault="002A19EC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Puterea nominală </w:t>
            </w:r>
            <w:r w:rsidR="0011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</w:t>
            </w:r>
            <w:r w:rsidR="00D3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pament</w:t>
            </w:r>
            <w:r w:rsidR="00113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ului/ echipamentelor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compensare</w:t>
            </w:r>
            <w:r w:rsidR="005E6EDE"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[MVA</w:t>
            </w:r>
            <w:r w:rsidR="00BE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E6EDE"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44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2A19EC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Valoarea investiţiei</w:t>
            </w:r>
            <w:r w:rsidR="005E6EDE"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[leiI]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71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2A19EC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Cheltuielile cu amortizarea anuală aferentă investiţiei</w:t>
            </w:r>
            <w:r w:rsidR="005E6EDE"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</w:t>
            </w:r>
            <w:r w:rsidR="005E6EDE"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125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2A19EC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Număr mediu de ore </w:t>
            </w:r>
            <w:r w:rsidRPr="00752082">
              <w:rPr>
                <w:rFonts w:ascii="Times New Roman" w:hAnsi="Times New Roman" w:cs="Times New Roman"/>
                <w:sz w:val="24"/>
                <w:szCs w:val="24"/>
              </w:rPr>
              <w:t xml:space="preserve">în care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OTS </w:t>
            </w:r>
            <w:r w:rsidRPr="00752082">
              <w:rPr>
                <w:rFonts w:ascii="Times New Roman" w:hAnsi="Times New Roman" w:cs="Times New Roman"/>
                <w:sz w:val="24"/>
                <w:szCs w:val="24"/>
              </w:rPr>
              <w:t>a achiziţionat serviciul de sistem pentru o zonă de reţea în anul calendaristic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anterior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19EC" w:rsidRPr="005E6EDE" w:rsidTr="002A19EC">
        <w:trPr>
          <w:trHeight w:val="44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EC" w:rsidRPr="005E6EDE" w:rsidRDefault="002A19EC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 estimat de ore de funcţionare [ore]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EC" w:rsidRPr="005E6EDE" w:rsidRDefault="002A19E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EDE" w:rsidRPr="005E6EDE" w:rsidTr="002A19EC">
        <w:trPr>
          <w:trHeight w:val="525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DE" w:rsidRPr="005E6EDE" w:rsidRDefault="005E6EDE" w:rsidP="002A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A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reţ maximal</w:t>
            </w: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r w:rsidR="002A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</w:t>
            </w: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2A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MVA</w:t>
            </w:r>
            <w:r w:rsidR="002A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 * h)</w:t>
            </w:r>
            <w:r w:rsidRPr="005E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EDE" w:rsidRPr="005E6EDE" w:rsidRDefault="005E6EDE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0EB9" w:rsidRPr="005E6EDE" w:rsidRDefault="005D0EB9" w:rsidP="009E7C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40" w:rsidRDefault="000B1940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5C" w:rsidRPr="000B1940" w:rsidRDefault="0072135C" w:rsidP="0072135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940">
        <w:rPr>
          <w:rFonts w:ascii="Times New Roman" w:hAnsi="Times New Roman" w:cs="Times New Roman"/>
          <w:sz w:val="24"/>
          <w:szCs w:val="24"/>
        </w:rPr>
        <w:t xml:space="preserve">ANEXA nr. 2 </w:t>
      </w:r>
    </w:p>
    <w:p w:rsidR="005D0EB9" w:rsidRPr="000B1940" w:rsidRDefault="0072135C" w:rsidP="0072135C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940">
        <w:rPr>
          <w:rFonts w:ascii="Times New Roman" w:hAnsi="Times New Roman" w:cs="Times New Roman"/>
          <w:sz w:val="24"/>
          <w:szCs w:val="24"/>
        </w:rPr>
        <w:t>la metodologie</w:t>
      </w:r>
    </w:p>
    <w:p w:rsidR="005D0EB9" w:rsidRPr="000B1940" w:rsidRDefault="005D0EB9" w:rsidP="009E7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35C" w:rsidRPr="000B1940" w:rsidRDefault="0072135C" w:rsidP="0072135C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940">
        <w:rPr>
          <w:rFonts w:ascii="Times New Roman" w:hAnsi="Times New Roman" w:cs="Times New Roman"/>
          <w:sz w:val="24"/>
          <w:szCs w:val="24"/>
        </w:rPr>
        <w:t>Lista participanţilor la piaţă calificaţi pentru furnizarea servici</w:t>
      </w:r>
      <w:r w:rsidR="00D36B7E">
        <w:rPr>
          <w:rFonts w:ascii="Times New Roman" w:hAnsi="Times New Roman" w:cs="Times New Roman"/>
          <w:sz w:val="24"/>
          <w:szCs w:val="24"/>
        </w:rPr>
        <w:t>ului</w:t>
      </w:r>
      <w:r w:rsidRPr="000B1940">
        <w:rPr>
          <w:rFonts w:ascii="Times New Roman" w:hAnsi="Times New Roman" w:cs="Times New Roman"/>
          <w:sz w:val="24"/>
          <w:szCs w:val="24"/>
        </w:rPr>
        <w:t xml:space="preserve"> de sistem pentru reglajul tensiunii în RET în zona de reţea .........................</w:t>
      </w:r>
    </w:p>
    <w:p w:rsidR="0072135C" w:rsidRPr="000B1940" w:rsidRDefault="0072135C" w:rsidP="0072135C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915" w:type="dxa"/>
        <w:tblLook w:val="04A0" w:firstRow="1" w:lastRow="0" w:firstColumn="1" w:lastColumn="0" w:noHBand="0" w:noVBand="1"/>
      </w:tblPr>
      <w:tblGrid>
        <w:gridCol w:w="743"/>
        <w:gridCol w:w="4230"/>
        <w:gridCol w:w="3060"/>
      </w:tblGrid>
      <w:tr w:rsidR="0072135C" w:rsidRPr="000B1940" w:rsidTr="0072135C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BB3394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BB3394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DENUMIRE </w:t>
            </w:r>
            <w:r w:rsidR="00BE71CD"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BE71CD" w:rsidRPr="00BB33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ARTICIPANT</w:t>
            </w:r>
            <w:r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BB3394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PUTERE APROBATĂ [</w:t>
            </w:r>
            <w:proofErr w:type="spellStart"/>
            <w:r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MVAr</w:t>
            </w:r>
            <w:proofErr w:type="spellEnd"/>
            <w:r w:rsidRPr="00BB3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135C" w:rsidRPr="000B1940" w:rsidTr="007213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5C" w:rsidRPr="000B1940" w:rsidRDefault="0072135C" w:rsidP="00C4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72135C" w:rsidRPr="000B1940" w:rsidRDefault="0072135C" w:rsidP="0072135C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EB9" w:rsidRPr="000B1940" w:rsidRDefault="005D0EB9" w:rsidP="009E7C8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0EB9" w:rsidRPr="000B1940" w:rsidSect="00E10842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1C7" w:rsidRDefault="002231C7" w:rsidP="00456EA5">
      <w:pPr>
        <w:spacing w:after="0" w:line="240" w:lineRule="auto"/>
      </w:pPr>
      <w:r>
        <w:separator/>
      </w:r>
    </w:p>
  </w:endnote>
  <w:endnote w:type="continuationSeparator" w:id="0">
    <w:p w:rsidR="002231C7" w:rsidRDefault="002231C7" w:rsidP="0045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EA5" w:rsidRPr="000D0F31" w:rsidRDefault="00456EA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0D0F31">
      <w:rPr>
        <w:caps/>
      </w:rPr>
      <w:fldChar w:fldCharType="begin"/>
    </w:r>
    <w:r w:rsidRPr="000D0F31">
      <w:rPr>
        <w:caps/>
      </w:rPr>
      <w:instrText xml:space="preserve"> PAGE   \* MERGEFORMAT </w:instrText>
    </w:r>
    <w:r w:rsidRPr="000D0F31">
      <w:rPr>
        <w:caps/>
      </w:rPr>
      <w:fldChar w:fldCharType="separate"/>
    </w:r>
    <w:r w:rsidR="0091567E">
      <w:rPr>
        <w:caps/>
        <w:noProof/>
      </w:rPr>
      <w:t>1</w:t>
    </w:r>
    <w:r w:rsidRPr="000D0F31">
      <w:rPr>
        <w:caps/>
        <w:noProof/>
      </w:rPr>
      <w:fldChar w:fldCharType="end"/>
    </w:r>
  </w:p>
  <w:p w:rsidR="00456EA5" w:rsidRDefault="0045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1C7" w:rsidRDefault="002231C7" w:rsidP="00456EA5">
      <w:pPr>
        <w:spacing w:after="0" w:line="240" w:lineRule="auto"/>
      </w:pPr>
      <w:r>
        <w:separator/>
      </w:r>
    </w:p>
  </w:footnote>
  <w:footnote w:type="continuationSeparator" w:id="0">
    <w:p w:rsidR="002231C7" w:rsidRDefault="002231C7" w:rsidP="0045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1174"/>
    <w:multiLevelType w:val="hybridMultilevel"/>
    <w:tmpl w:val="8196F646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607" w:hanging="887"/>
      </w:pPr>
      <w:rPr>
        <w:rFonts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079" w:hanging="360"/>
      </w:pPr>
    </w:lvl>
    <w:lvl w:ilvl="2" w:tplc="FFFFFFFF">
      <w:start w:val="1"/>
      <w:numFmt w:val="lowerLetter"/>
      <w:lvlText w:val="%3."/>
      <w:lvlJc w:val="left"/>
      <w:pPr>
        <w:ind w:left="1979" w:hanging="360"/>
      </w:pPr>
      <w:rPr>
        <w:rFonts w:hint="default"/>
        <w:sz w:val="24"/>
      </w:rPr>
    </w:lvl>
    <w:lvl w:ilvl="3" w:tplc="68142CBA">
      <w:start w:val="2"/>
      <w:numFmt w:val="decimal"/>
      <w:lvlText w:val="(%4)"/>
      <w:lvlJc w:val="left"/>
      <w:pPr>
        <w:ind w:left="360" w:hanging="360"/>
      </w:pPr>
      <w:rPr>
        <w:rFonts w:hint="default"/>
        <w:b/>
      </w:rPr>
    </w:lvl>
    <w:lvl w:ilvl="4" w:tplc="FFFFFFFF">
      <w:start w:val="1"/>
      <w:numFmt w:val="lowerRoman"/>
      <w:lvlText w:val="%5)"/>
      <w:lvlJc w:val="left"/>
      <w:pPr>
        <w:ind w:left="3599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" w15:restartNumberingAfterBreak="0">
    <w:nsid w:val="214A497C"/>
    <w:multiLevelType w:val="hybridMultilevel"/>
    <w:tmpl w:val="0A8E45EC"/>
    <w:lvl w:ilvl="0" w:tplc="05BAF31A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1BA3"/>
    <w:multiLevelType w:val="hybridMultilevel"/>
    <w:tmpl w:val="88385316"/>
    <w:lvl w:ilvl="0" w:tplc="FFFFFFFF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A39F6"/>
    <w:multiLevelType w:val="hybridMultilevel"/>
    <w:tmpl w:val="88385316"/>
    <w:lvl w:ilvl="0" w:tplc="FFFFFFFF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D7380"/>
    <w:multiLevelType w:val="multilevel"/>
    <w:tmpl w:val="A664FB2C"/>
    <w:styleLink w:val="CurrentList1"/>
    <w:lvl w:ilvl="0">
      <w:start w:val="1"/>
      <w:numFmt w:val="decimal"/>
      <w:lvlText w:val="Art. %1"/>
      <w:lvlJc w:val="left"/>
      <w:pPr>
        <w:tabs>
          <w:tab w:val="num" w:pos="1353"/>
        </w:tabs>
        <w:ind w:left="1880" w:hanging="887"/>
      </w:pPr>
      <w:rPr>
        <w:rFonts w:hint="default"/>
        <w:b/>
        <w:color w:val="auto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264" w:hanging="360"/>
      </w:pPr>
      <w:rPr>
        <w:rFonts w:hint="default"/>
        <w:sz w:val="24"/>
      </w:rPr>
    </w:lvl>
    <w:lvl w:ilvl="3">
      <w:start w:val="2"/>
      <w:numFmt w:val="decimal"/>
      <w:lvlText w:val="(%4)"/>
      <w:lvlJc w:val="left"/>
      <w:pPr>
        <w:ind w:left="2804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884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690" w:hanging="69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634B80"/>
    <w:multiLevelType w:val="hybridMultilevel"/>
    <w:tmpl w:val="88385316"/>
    <w:lvl w:ilvl="0" w:tplc="FFFFFFFF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7E06"/>
    <w:multiLevelType w:val="hybridMultilevel"/>
    <w:tmpl w:val="B2D40222"/>
    <w:lvl w:ilvl="0" w:tplc="1B1C5D1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4F13F4"/>
    <w:multiLevelType w:val="hybridMultilevel"/>
    <w:tmpl w:val="5BEE57B4"/>
    <w:lvl w:ilvl="0" w:tplc="EE92F932">
      <w:start w:val="1"/>
      <w:numFmt w:val="lowerLetter"/>
      <w:lvlText w:val="%1)"/>
      <w:lvlJc w:val="left"/>
      <w:pPr>
        <w:tabs>
          <w:tab w:val="num" w:pos="1080"/>
        </w:tabs>
        <w:ind w:left="1607" w:hanging="887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079" w:hanging="360"/>
      </w:pPr>
    </w:lvl>
    <w:lvl w:ilvl="2" w:tplc="FFFFFFFF">
      <w:start w:val="1"/>
      <w:numFmt w:val="lowerLetter"/>
      <w:lvlText w:val="%3."/>
      <w:lvlJc w:val="left"/>
      <w:pPr>
        <w:ind w:left="1979" w:hanging="360"/>
      </w:pPr>
      <w:rPr>
        <w:rFonts w:hint="default"/>
        <w:sz w:val="24"/>
      </w:rPr>
    </w:lvl>
    <w:lvl w:ilvl="3" w:tplc="FFFFFFFF">
      <w:start w:val="2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FFFFFFFF">
      <w:start w:val="1"/>
      <w:numFmt w:val="lowerRoman"/>
      <w:lvlText w:val="%5)"/>
      <w:lvlJc w:val="left"/>
      <w:pPr>
        <w:ind w:left="3599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8" w15:restartNumberingAfterBreak="0">
    <w:nsid w:val="7C676119"/>
    <w:multiLevelType w:val="hybridMultilevel"/>
    <w:tmpl w:val="88385316"/>
    <w:lvl w:ilvl="0" w:tplc="FFFFFFFF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BD"/>
    <w:rsid w:val="0000002A"/>
    <w:rsid w:val="00002786"/>
    <w:rsid w:val="00002B2A"/>
    <w:rsid w:val="0001162A"/>
    <w:rsid w:val="00013ABC"/>
    <w:rsid w:val="00016F48"/>
    <w:rsid w:val="00020386"/>
    <w:rsid w:val="0002115D"/>
    <w:rsid w:val="000224F3"/>
    <w:rsid w:val="0002383B"/>
    <w:rsid w:val="00032C77"/>
    <w:rsid w:val="00040D89"/>
    <w:rsid w:val="00040E83"/>
    <w:rsid w:val="00041B5A"/>
    <w:rsid w:val="00043594"/>
    <w:rsid w:val="00043683"/>
    <w:rsid w:val="000454A6"/>
    <w:rsid w:val="00045884"/>
    <w:rsid w:val="0004763C"/>
    <w:rsid w:val="000501FA"/>
    <w:rsid w:val="00050F8C"/>
    <w:rsid w:val="00051479"/>
    <w:rsid w:val="0005165C"/>
    <w:rsid w:val="00051B1C"/>
    <w:rsid w:val="00052EB0"/>
    <w:rsid w:val="00053507"/>
    <w:rsid w:val="00054AF3"/>
    <w:rsid w:val="000552ED"/>
    <w:rsid w:val="00055DD8"/>
    <w:rsid w:val="0006103E"/>
    <w:rsid w:val="00063E78"/>
    <w:rsid w:val="000668FF"/>
    <w:rsid w:val="00067A70"/>
    <w:rsid w:val="0007212F"/>
    <w:rsid w:val="00072FA0"/>
    <w:rsid w:val="0007409F"/>
    <w:rsid w:val="0008489B"/>
    <w:rsid w:val="0009406F"/>
    <w:rsid w:val="0009575C"/>
    <w:rsid w:val="000A1F40"/>
    <w:rsid w:val="000A32B6"/>
    <w:rsid w:val="000A4A4B"/>
    <w:rsid w:val="000B07CF"/>
    <w:rsid w:val="000B1940"/>
    <w:rsid w:val="000B2AAE"/>
    <w:rsid w:val="000B32A0"/>
    <w:rsid w:val="000B4954"/>
    <w:rsid w:val="000C1DD0"/>
    <w:rsid w:val="000C22A4"/>
    <w:rsid w:val="000C293A"/>
    <w:rsid w:val="000C2D5C"/>
    <w:rsid w:val="000C6800"/>
    <w:rsid w:val="000C7AA3"/>
    <w:rsid w:val="000D03A5"/>
    <w:rsid w:val="000D0F31"/>
    <w:rsid w:val="000D1C55"/>
    <w:rsid w:val="000D3930"/>
    <w:rsid w:val="000D5070"/>
    <w:rsid w:val="000D56AA"/>
    <w:rsid w:val="000D74A2"/>
    <w:rsid w:val="000D7708"/>
    <w:rsid w:val="000D7952"/>
    <w:rsid w:val="000E29BD"/>
    <w:rsid w:val="000E3C14"/>
    <w:rsid w:val="000E751E"/>
    <w:rsid w:val="000F1419"/>
    <w:rsid w:val="00102770"/>
    <w:rsid w:val="00102C71"/>
    <w:rsid w:val="00103F5C"/>
    <w:rsid w:val="00105F48"/>
    <w:rsid w:val="00107369"/>
    <w:rsid w:val="001113E8"/>
    <w:rsid w:val="001119A3"/>
    <w:rsid w:val="00112128"/>
    <w:rsid w:val="00113398"/>
    <w:rsid w:val="001158C3"/>
    <w:rsid w:val="00120949"/>
    <w:rsid w:val="001227C8"/>
    <w:rsid w:val="0012739E"/>
    <w:rsid w:val="00134144"/>
    <w:rsid w:val="001358FD"/>
    <w:rsid w:val="00136C40"/>
    <w:rsid w:val="001374B0"/>
    <w:rsid w:val="00137E23"/>
    <w:rsid w:val="00145FCB"/>
    <w:rsid w:val="001509B5"/>
    <w:rsid w:val="00153C4B"/>
    <w:rsid w:val="0015432B"/>
    <w:rsid w:val="0015553C"/>
    <w:rsid w:val="001605A0"/>
    <w:rsid w:val="00163F04"/>
    <w:rsid w:val="00167B84"/>
    <w:rsid w:val="00167FD8"/>
    <w:rsid w:val="00170EB2"/>
    <w:rsid w:val="00175CC1"/>
    <w:rsid w:val="00176AA6"/>
    <w:rsid w:val="00177168"/>
    <w:rsid w:val="00177D3C"/>
    <w:rsid w:val="001810ED"/>
    <w:rsid w:val="00181307"/>
    <w:rsid w:val="001821ED"/>
    <w:rsid w:val="00182900"/>
    <w:rsid w:val="00184751"/>
    <w:rsid w:val="001851F4"/>
    <w:rsid w:val="00185AC3"/>
    <w:rsid w:val="0018702D"/>
    <w:rsid w:val="00190634"/>
    <w:rsid w:val="001917F0"/>
    <w:rsid w:val="001931A7"/>
    <w:rsid w:val="00195687"/>
    <w:rsid w:val="001A07F9"/>
    <w:rsid w:val="001A269E"/>
    <w:rsid w:val="001A3DE0"/>
    <w:rsid w:val="001A5320"/>
    <w:rsid w:val="001B1BE3"/>
    <w:rsid w:val="001B39CA"/>
    <w:rsid w:val="001B3D22"/>
    <w:rsid w:val="001B53A9"/>
    <w:rsid w:val="001C309B"/>
    <w:rsid w:val="001C5500"/>
    <w:rsid w:val="001D0269"/>
    <w:rsid w:val="001D0E50"/>
    <w:rsid w:val="001D4128"/>
    <w:rsid w:val="001D6831"/>
    <w:rsid w:val="001D77E5"/>
    <w:rsid w:val="001E246C"/>
    <w:rsid w:val="001E6EB3"/>
    <w:rsid w:val="001F140B"/>
    <w:rsid w:val="001F4E21"/>
    <w:rsid w:val="001F4EDD"/>
    <w:rsid w:val="001F74B6"/>
    <w:rsid w:val="00200742"/>
    <w:rsid w:val="002058B4"/>
    <w:rsid w:val="00221C4F"/>
    <w:rsid w:val="00222E2B"/>
    <w:rsid w:val="00223058"/>
    <w:rsid w:val="002231C7"/>
    <w:rsid w:val="002251BD"/>
    <w:rsid w:val="00225348"/>
    <w:rsid w:val="00226586"/>
    <w:rsid w:val="0022747A"/>
    <w:rsid w:val="002274B6"/>
    <w:rsid w:val="00227D5A"/>
    <w:rsid w:val="00230316"/>
    <w:rsid w:val="00230EB7"/>
    <w:rsid w:val="00232E65"/>
    <w:rsid w:val="0023653E"/>
    <w:rsid w:val="00236C1A"/>
    <w:rsid w:val="00243F8F"/>
    <w:rsid w:val="00244A66"/>
    <w:rsid w:val="00246760"/>
    <w:rsid w:val="002471DC"/>
    <w:rsid w:val="002472AC"/>
    <w:rsid w:val="002477E8"/>
    <w:rsid w:val="00247B39"/>
    <w:rsid w:val="00247C4B"/>
    <w:rsid w:val="00250595"/>
    <w:rsid w:val="00250999"/>
    <w:rsid w:val="0025268F"/>
    <w:rsid w:val="00253CC4"/>
    <w:rsid w:val="0025794C"/>
    <w:rsid w:val="0026091D"/>
    <w:rsid w:val="00261622"/>
    <w:rsid w:val="00267639"/>
    <w:rsid w:val="00267A34"/>
    <w:rsid w:val="00267C30"/>
    <w:rsid w:val="0027235D"/>
    <w:rsid w:val="002739A8"/>
    <w:rsid w:val="00274CEE"/>
    <w:rsid w:val="00275C49"/>
    <w:rsid w:val="00283A91"/>
    <w:rsid w:val="0028536E"/>
    <w:rsid w:val="002873A1"/>
    <w:rsid w:val="002906F5"/>
    <w:rsid w:val="00290743"/>
    <w:rsid w:val="0029102F"/>
    <w:rsid w:val="002919C5"/>
    <w:rsid w:val="002921BC"/>
    <w:rsid w:val="0029670E"/>
    <w:rsid w:val="002A19EC"/>
    <w:rsid w:val="002A1E58"/>
    <w:rsid w:val="002A248D"/>
    <w:rsid w:val="002A65D9"/>
    <w:rsid w:val="002A6A37"/>
    <w:rsid w:val="002B0B9E"/>
    <w:rsid w:val="002B1D91"/>
    <w:rsid w:val="002B397E"/>
    <w:rsid w:val="002B3BD3"/>
    <w:rsid w:val="002B42FB"/>
    <w:rsid w:val="002B548D"/>
    <w:rsid w:val="002C0579"/>
    <w:rsid w:val="002C0CC2"/>
    <w:rsid w:val="002C2C8B"/>
    <w:rsid w:val="002C36D3"/>
    <w:rsid w:val="002C3F08"/>
    <w:rsid w:val="002C41B7"/>
    <w:rsid w:val="002D08D2"/>
    <w:rsid w:val="002D2A71"/>
    <w:rsid w:val="002D5D4F"/>
    <w:rsid w:val="002E1160"/>
    <w:rsid w:val="002E179F"/>
    <w:rsid w:val="002E729F"/>
    <w:rsid w:val="002F2F10"/>
    <w:rsid w:val="002F42CB"/>
    <w:rsid w:val="002F64F1"/>
    <w:rsid w:val="003017AA"/>
    <w:rsid w:val="00301FDC"/>
    <w:rsid w:val="00310095"/>
    <w:rsid w:val="00310EE4"/>
    <w:rsid w:val="00312F3F"/>
    <w:rsid w:val="003243F2"/>
    <w:rsid w:val="003246A4"/>
    <w:rsid w:val="00325499"/>
    <w:rsid w:val="003257FA"/>
    <w:rsid w:val="00326919"/>
    <w:rsid w:val="00327453"/>
    <w:rsid w:val="0033366C"/>
    <w:rsid w:val="00335955"/>
    <w:rsid w:val="003364E3"/>
    <w:rsid w:val="00336A46"/>
    <w:rsid w:val="00345EA3"/>
    <w:rsid w:val="00352D1B"/>
    <w:rsid w:val="00352EDF"/>
    <w:rsid w:val="0035552D"/>
    <w:rsid w:val="003603D2"/>
    <w:rsid w:val="00361253"/>
    <w:rsid w:val="00362FC9"/>
    <w:rsid w:val="0036365D"/>
    <w:rsid w:val="00363778"/>
    <w:rsid w:val="003642AC"/>
    <w:rsid w:val="00364FC1"/>
    <w:rsid w:val="00365085"/>
    <w:rsid w:val="00365313"/>
    <w:rsid w:val="003661F6"/>
    <w:rsid w:val="003709DB"/>
    <w:rsid w:val="003712D2"/>
    <w:rsid w:val="00372D3A"/>
    <w:rsid w:val="00374440"/>
    <w:rsid w:val="00376AD1"/>
    <w:rsid w:val="00377CCC"/>
    <w:rsid w:val="0038043B"/>
    <w:rsid w:val="00381570"/>
    <w:rsid w:val="00383B73"/>
    <w:rsid w:val="0038557E"/>
    <w:rsid w:val="00387118"/>
    <w:rsid w:val="00391733"/>
    <w:rsid w:val="00394A26"/>
    <w:rsid w:val="003A0963"/>
    <w:rsid w:val="003A4508"/>
    <w:rsid w:val="003A45E4"/>
    <w:rsid w:val="003A6204"/>
    <w:rsid w:val="003A69BE"/>
    <w:rsid w:val="003B5630"/>
    <w:rsid w:val="003B5A66"/>
    <w:rsid w:val="003B5C39"/>
    <w:rsid w:val="003C0A03"/>
    <w:rsid w:val="003C0E8D"/>
    <w:rsid w:val="003C2DB7"/>
    <w:rsid w:val="003C48B9"/>
    <w:rsid w:val="003C667A"/>
    <w:rsid w:val="003D3B9A"/>
    <w:rsid w:val="003D3DB7"/>
    <w:rsid w:val="003F02BD"/>
    <w:rsid w:val="003F038F"/>
    <w:rsid w:val="00406D2E"/>
    <w:rsid w:val="00410E7C"/>
    <w:rsid w:val="004129C1"/>
    <w:rsid w:val="0041324A"/>
    <w:rsid w:val="0041624D"/>
    <w:rsid w:val="00417A51"/>
    <w:rsid w:val="00425B03"/>
    <w:rsid w:val="004266E4"/>
    <w:rsid w:val="00427ACF"/>
    <w:rsid w:val="004327EB"/>
    <w:rsid w:val="00434D05"/>
    <w:rsid w:val="00435A96"/>
    <w:rsid w:val="0044105C"/>
    <w:rsid w:val="00441AFC"/>
    <w:rsid w:val="00444728"/>
    <w:rsid w:val="0044550A"/>
    <w:rsid w:val="004460D6"/>
    <w:rsid w:val="00447BFA"/>
    <w:rsid w:val="00450A52"/>
    <w:rsid w:val="00451949"/>
    <w:rsid w:val="00451FA4"/>
    <w:rsid w:val="004524C4"/>
    <w:rsid w:val="00456EA5"/>
    <w:rsid w:val="00461308"/>
    <w:rsid w:val="00466CFA"/>
    <w:rsid w:val="00466F03"/>
    <w:rsid w:val="004719BC"/>
    <w:rsid w:val="00473898"/>
    <w:rsid w:val="004808FC"/>
    <w:rsid w:val="00483027"/>
    <w:rsid w:val="00483D27"/>
    <w:rsid w:val="0048745D"/>
    <w:rsid w:val="00487CAD"/>
    <w:rsid w:val="0049007E"/>
    <w:rsid w:val="00491348"/>
    <w:rsid w:val="00494537"/>
    <w:rsid w:val="00495FC9"/>
    <w:rsid w:val="004A08C3"/>
    <w:rsid w:val="004A0FBF"/>
    <w:rsid w:val="004A110A"/>
    <w:rsid w:val="004B4213"/>
    <w:rsid w:val="004B5E95"/>
    <w:rsid w:val="004B6D15"/>
    <w:rsid w:val="004C11F6"/>
    <w:rsid w:val="004C606D"/>
    <w:rsid w:val="004D149B"/>
    <w:rsid w:val="004D1A25"/>
    <w:rsid w:val="004D2A56"/>
    <w:rsid w:val="004D5B4E"/>
    <w:rsid w:val="004D5FA7"/>
    <w:rsid w:val="004D789A"/>
    <w:rsid w:val="004E34F8"/>
    <w:rsid w:val="004E4C8F"/>
    <w:rsid w:val="0050108B"/>
    <w:rsid w:val="00506E8A"/>
    <w:rsid w:val="00506F86"/>
    <w:rsid w:val="00510CFF"/>
    <w:rsid w:val="005115EE"/>
    <w:rsid w:val="00511AB7"/>
    <w:rsid w:val="00513369"/>
    <w:rsid w:val="00513C89"/>
    <w:rsid w:val="00521221"/>
    <w:rsid w:val="00521608"/>
    <w:rsid w:val="00524735"/>
    <w:rsid w:val="00525CCB"/>
    <w:rsid w:val="005260C4"/>
    <w:rsid w:val="00526317"/>
    <w:rsid w:val="0053571C"/>
    <w:rsid w:val="005416C7"/>
    <w:rsid w:val="00543D7E"/>
    <w:rsid w:val="00547BDD"/>
    <w:rsid w:val="0055038B"/>
    <w:rsid w:val="00552A6D"/>
    <w:rsid w:val="0055583B"/>
    <w:rsid w:val="00556C92"/>
    <w:rsid w:val="00557829"/>
    <w:rsid w:val="00562950"/>
    <w:rsid w:val="00564ADA"/>
    <w:rsid w:val="0056526E"/>
    <w:rsid w:val="00570721"/>
    <w:rsid w:val="005727A1"/>
    <w:rsid w:val="00574972"/>
    <w:rsid w:val="005755AE"/>
    <w:rsid w:val="00575AC6"/>
    <w:rsid w:val="005767A7"/>
    <w:rsid w:val="00582FA9"/>
    <w:rsid w:val="005831C8"/>
    <w:rsid w:val="00586AC9"/>
    <w:rsid w:val="005875FA"/>
    <w:rsid w:val="00587EF2"/>
    <w:rsid w:val="00590C62"/>
    <w:rsid w:val="005912C5"/>
    <w:rsid w:val="0059608D"/>
    <w:rsid w:val="005A0C14"/>
    <w:rsid w:val="005A0FDD"/>
    <w:rsid w:val="005A1F58"/>
    <w:rsid w:val="005A26F6"/>
    <w:rsid w:val="005A32A2"/>
    <w:rsid w:val="005A34BC"/>
    <w:rsid w:val="005A3D21"/>
    <w:rsid w:val="005A6295"/>
    <w:rsid w:val="005B02D3"/>
    <w:rsid w:val="005B0875"/>
    <w:rsid w:val="005B1E61"/>
    <w:rsid w:val="005B5460"/>
    <w:rsid w:val="005B5FAD"/>
    <w:rsid w:val="005B606F"/>
    <w:rsid w:val="005B6672"/>
    <w:rsid w:val="005C0010"/>
    <w:rsid w:val="005C15B1"/>
    <w:rsid w:val="005C47CE"/>
    <w:rsid w:val="005D0EB9"/>
    <w:rsid w:val="005D32C1"/>
    <w:rsid w:val="005D3DA7"/>
    <w:rsid w:val="005D6BEA"/>
    <w:rsid w:val="005D76F9"/>
    <w:rsid w:val="005E6EDE"/>
    <w:rsid w:val="005E75CA"/>
    <w:rsid w:val="005F1BFE"/>
    <w:rsid w:val="005F4165"/>
    <w:rsid w:val="005F7EBB"/>
    <w:rsid w:val="0060104C"/>
    <w:rsid w:val="00602072"/>
    <w:rsid w:val="006052F0"/>
    <w:rsid w:val="006110A0"/>
    <w:rsid w:val="0061117D"/>
    <w:rsid w:val="00612E91"/>
    <w:rsid w:val="00614AA6"/>
    <w:rsid w:val="0061737B"/>
    <w:rsid w:val="00621E6D"/>
    <w:rsid w:val="006220C9"/>
    <w:rsid w:val="00623BD6"/>
    <w:rsid w:val="00625110"/>
    <w:rsid w:val="00626350"/>
    <w:rsid w:val="00630E8D"/>
    <w:rsid w:val="0063270F"/>
    <w:rsid w:val="006329C1"/>
    <w:rsid w:val="00634BFA"/>
    <w:rsid w:val="00641E13"/>
    <w:rsid w:val="00647655"/>
    <w:rsid w:val="006507E5"/>
    <w:rsid w:val="00653E82"/>
    <w:rsid w:val="0065477A"/>
    <w:rsid w:val="006560D0"/>
    <w:rsid w:val="00660F81"/>
    <w:rsid w:val="00664B53"/>
    <w:rsid w:val="0066535B"/>
    <w:rsid w:val="00666A77"/>
    <w:rsid w:val="00667944"/>
    <w:rsid w:val="0067129B"/>
    <w:rsid w:val="00677CC3"/>
    <w:rsid w:val="006869E3"/>
    <w:rsid w:val="006927A6"/>
    <w:rsid w:val="0069477F"/>
    <w:rsid w:val="00696F8D"/>
    <w:rsid w:val="006A07AC"/>
    <w:rsid w:val="006A0A8B"/>
    <w:rsid w:val="006A2BFA"/>
    <w:rsid w:val="006A3E17"/>
    <w:rsid w:val="006A4029"/>
    <w:rsid w:val="006A47EA"/>
    <w:rsid w:val="006A578D"/>
    <w:rsid w:val="006A5A34"/>
    <w:rsid w:val="006A6CBD"/>
    <w:rsid w:val="006B306D"/>
    <w:rsid w:val="006B4CBA"/>
    <w:rsid w:val="006B5469"/>
    <w:rsid w:val="006B61B9"/>
    <w:rsid w:val="006C0E66"/>
    <w:rsid w:val="006C1386"/>
    <w:rsid w:val="006C1DD2"/>
    <w:rsid w:val="006C2A94"/>
    <w:rsid w:val="006C64E2"/>
    <w:rsid w:val="006D505F"/>
    <w:rsid w:val="006E21B0"/>
    <w:rsid w:val="006E6978"/>
    <w:rsid w:val="006E7D73"/>
    <w:rsid w:val="006F4926"/>
    <w:rsid w:val="006F585B"/>
    <w:rsid w:val="006F65E3"/>
    <w:rsid w:val="00700BCA"/>
    <w:rsid w:val="0070529E"/>
    <w:rsid w:val="00710F41"/>
    <w:rsid w:val="007143B1"/>
    <w:rsid w:val="00716296"/>
    <w:rsid w:val="007179AE"/>
    <w:rsid w:val="0072135C"/>
    <w:rsid w:val="007261C8"/>
    <w:rsid w:val="00726D40"/>
    <w:rsid w:val="007313D2"/>
    <w:rsid w:val="0073275E"/>
    <w:rsid w:val="00734BC8"/>
    <w:rsid w:val="00745672"/>
    <w:rsid w:val="00745734"/>
    <w:rsid w:val="00750B7F"/>
    <w:rsid w:val="00750F79"/>
    <w:rsid w:val="00752082"/>
    <w:rsid w:val="0075236D"/>
    <w:rsid w:val="00752629"/>
    <w:rsid w:val="007534FD"/>
    <w:rsid w:val="007667B4"/>
    <w:rsid w:val="007710FB"/>
    <w:rsid w:val="00774B2D"/>
    <w:rsid w:val="00776062"/>
    <w:rsid w:val="007810B4"/>
    <w:rsid w:val="0078253A"/>
    <w:rsid w:val="00782C46"/>
    <w:rsid w:val="00785D82"/>
    <w:rsid w:val="00786D6F"/>
    <w:rsid w:val="007904D9"/>
    <w:rsid w:val="0079050B"/>
    <w:rsid w:val="0079362D"/>
    <w:rsid w:val="007945DA"/>
    <w:rsid w:val="0079606F"/>
    <w:rsid w:val="00796504"/>
    <w:rsid w:val="00797E8B"/>
    <w:rsid w:val="007A1118"/>
    <w:rsid w:val="007A1AA3"/>
    <w:rsid w:val="007A66FB"/>
    <w:rsid w:val="007B0BA3"/>
    <w:rsid w:val="007B1318"/>
    <w:rsid w:val="007B22EE"/>
    <w:rsid w:val="007B6949"/>
    <w:rsid w:val="007B7DAD"/>
    <w:rsid w:val="007B7FF2"/>
    <w:rsid w:val="007C0DD4"/>
    <w:rsid w:val="007C1BD4"/>
    <w:rsid w:val="007C5350"/>
    <w:rsid w:val="007C7B64"/>
    <w:rsid w:val="007D141E"/>
    <w:rsid w:val="007D36C1"/>
    <w:rsid w:val="007D70A8"/>
    <w:rsid w:val="007E58F2"/>
    <w:rsid w:val="007F3A2C"/>
    <w:rsid w:val="007F5CD8"/>
    <w:rsid w:val="007F7881"/>
    <w:rsid w:val="00801421"/>
    <w:rsid w:val="00803F88"/>
    <w:rsid w:val="0080454D"/>
    <w:rsid w:val="008265E5"/>
    <w:rsid w:val="00826EB3"/>
    <w:rsid w:val="00833A1F"/>
    <w:rsid w:val="00843455"/>
    <w:rsid w:val="00844673"/>
    <w:rsid w:val="00844A12"/>
    <w:rsid w:val="00844C81"/>
    <w:rsid w:val="008519AB"/>
    <w:rsid w:val="00854E9D"/>
    <w:rsid w:val="0085651F"/>
    <w:rsid w:val="00860C6D"/>
    <w:rsid w:val="0086596B"/>
    <w:rsid w:val="008664A3"/>
    <w:rsid w:val="00867F00"/>
    <w:rsid w:val="00870F53"/>
    <w:rsid w:val="00877126"/>
    <w:rsid w:val="008800D9"/>
    <w:rsid w:val="00890518"/>
    <w:rsid w:val="0089274D"/>
    <w:rsid w:val="00893E6F"/>
    <w:rsid w:val="008A175D"/>
    <w:rsid w:val="008A4229"/>
    <w:rsid w:val="008B0F53"/>
    <w:rsid w:val="008B4A0F"/>
    <w:rsid w:val="008B66FE"/>
    <w:rsid w:val="008B76DF"/>
    <w:rsid w:val="008B7AF4"/>
    <w:rsid w:val="008C2940"/>
    <w:rsid w:val="008C3E0E"/>
    <w:rsid w:val="008C5A41"/>
    <w:rsid w:val="008C6E32"/>
    <w:rsid w:val="008D01E2"/>
    <w:rsid w:val="008D308A"/>
    <w:rsid w:val="008D7BE6"/>
    <w:rsid w:val="008E1573"/>
    <w:rsid w:val="008E1821"/>
    <w:rsid w:val="008E5D21"/>
    <w:rsid w:val="008E6A64"/>
    <w:rsid w:val="008E6D51"/>
    <w:rsid w:val="008F3FEE"/>
    <w:rsid w:val="008F4917"/>
    <w:rsid w:val="008F5E27"/>
    <w:rsid w:val="008F7075"/>
    <w:rsid w:val="008F737A"/>
    <w:rsid w:val="008F73FC"/>
    <w:rsid w:val="00901AE0"/>
    <w:rsid w:val="00901F0E"/>
    <w:rsid w:val="0090557B"/>
    <w:rsid w:val="00910288"/>
    <w:rsid w:val="00910744"/>
    <w:rsid w:val="00910E07"/>
    <w:rsid w:val="00914BEA"/>
    <w:rsid w:val="00914CCA"/>
    <w:rsid w:val="0091567E"/>
    <w:rsid w:val="00917D47"/>
    <w:rsid w:val="00930227"/>
    <w:rsid w:val="00932091"/>
    <w:rsid w:val="009357FB"/>
    <w:rsid w:val="009360E9"/>
    <w:rsid w:val="009374A0"/>
    <w:rsid w:val="00941D90"/>
    <w:rsid w:val="00944A45"/>
    <w:rsid w:val="00945F34"/>
    <w:rsid w:val="00950114"/>
    <w:rsid w:val="00951250"/>
    <w:rsid w:val="009549A9"/>
    <w:rsid w:val="0095658A"/>
    <w:rsid w:val="00957AC2"/>
    <w:rsid w:val="0096282C"/>
    <w:rsid w:val="00963F3F"/>
    <w:rsid w:val="009661F5"/>
    <w:rsid w:val="00967B0F"/>
    <w:rsid w:val="00972126"/>
    <w:rsid w:val="0097247F"/>
    <w:rsid w:val="009755F4"/>
    <w:rsid w:val="009800D9"/>
    <w:rsid w:val="00980470"/>
    <w:rsid w:val="00983C7B"/>
    <w:rsid w:val="00983EF9"/>
    <w:rsid w:val="00984EC2"/>
    <w:rsid w:val="009939EA"/>
    <w:rsid w:val="009966E8"/>
    <w:rsid w:val="00997B6F"/>
    <w:rsid w:val="009A1ACD"/>
    <w:rsid w:val="009A1CB1"/>
    <w:rsid w:val="009A33A0"/>
    <w:rsid w:val="009A55F7"/>
    <w:rsid w:val="009A6AF2"/>
    <w:rsid w:val="009A6F4E"/>
    <w:rsid w:val="009A7E27"/>
    <w:rsid w:val="009A7FA0"/>
    <w:rsid w:val="009B0F1A"/>
    <w:rsid w:val="009B2276"/>
    <w:rsid w:val="009B3E48"/>
    <w:rsid w:val="009C1B28"/>
    <w:rsid w:val="009C232D"/>
    <w:rsid w:val="009C5D14"/>
    <w:rsid w:val="009D39D7"/>
    <w:rsid w:val="009D67D2"/>
    <w:rsid w:val="009D7223"/>
    <w:rsid w:val="009E21FB"/>
    <w:rsid w:val="009E26D0"/>
    <w:rsid w:val="009E294A"/>
    <w:rsid w:val="009E31D2"/>
    <w:rsid w:val="009E7C82"/>
    <w:rsid w:val="009F20DE"/>
    <w:rsid w:val="009F6F0F"/>
    <w:rsid w:val="009F7C5E"/>
    <w:rsid w:val="00A02013"/>
    <w:rsid w:val="00A02DE5"/>
    <w:rsid w:val="00A03936"/>
    <w:rsid w:val="00A03D81"/>
    <w:rsid w:val="00A07BD9"/>
    <w:rsid w:val="00A110B9"/>
    <w:rsid w:val="00A13CD8"/>
    <w:rsid w:val="00A1409F"/>
    <w:rsid w:val="00A1457E"/>
    <w:rsid w:val="00A2558C"/>
    <w:rsid w:val="00A30A15"/>
    <w:rsid w:val="00A32029"/>
    <w:rsid w:val="00A331EE"/>
    <w:rsid w:val="00A33F32"/>
    <w:rsid w:val="00A4079F"/>
    <w:rsid w:val="00A437C3"/>
    <w:rsid w:val="00A4492A"/>
    <w:rsid w:val="00A46B3B"/>
    <w:rsid w:val="00A52ED7"/>
    <w:rsid w:val="00A54013"/>
    <w:rsid w:val="00A60A8F"/>
    <w:rsid w:val="00A62CE0"/>
    <w:rsid w:val="00A74416"/>
    <w:rsid w:val="00A7697B"/>
    <w:rsid w:val="00A769E8"/>
    <w:rsid w:val="00A83ADE"/>
    <w:rsid w:val="00A84DD8"/>
    <w:rsid w:val="00A8569F"/>
    <w:rsid w:val="00A85F97"/>
    <w:rsid w:val="00A87872"/>
    <w:rsid w:val="00A929DB"/>
    <w:rsid w:val="00A95DAC"/>
    <w:rsid w:val="00A95E2C"/>
    <w:rsid w:val="00AB0F76"/>
    <w:rsid w:val="00AB18BE"/>
    <w:rsid w:val="00AB4CF1"/>
    <w:rsid w:val="00AB550A"/>
    <w:rsid w:val="00AB55B9"/>
    <w:rsid w:val="00AC60A9"/>
    <w:rsid w:val="00AD5F15"/>
    <w:rsid w:val="00AE18C1"/>
    <w:rsid w:val="00AE7545"/>
    <w:rsid w:val="00AF0405"/>
    <w:rsid w:val="00AF2377"/>
    <w:rsid w:val="00AF322B"/>
    <w:rsid w:val="00AF5AE8"/>
    <w:rsid w:val="00B05995"/>
    <w:rsid w:val="00B120C7"/>
    <w:rsid w:val="00B1293B"/>
    <w:rsid w:val="00B13BBB"/>
    <w:rsid w:val="00B22AC4"/>
    <w:rsid w:val="00B24932"/>
    <w:rsid w:val="00B25CC1"/>
    <w:rsid w:val="00B32CF7"/>
    <w:rsid w:val="00B33545"/>
    <w:rsid w:val="00B33AEF"/>
    <w:rsid w:val="00B43DFB"/>
    <w:rsid w:val="00B5124A"/>
    <w:rsid w:val="00B5584A"/>
    <w:rsid w:val="00B67AD9"/>
    <w:rsid w:val="00B71280"/>
    <w:rsid w:val="00B72AFB"/>
    <w:rsid w:val="00B733EE"/>
    <w:rsid w:val="00B75AE2"/>
    <w:rsid w:val="00B80130"/>
    <w:rsid w:val="00B811A7"/>
    <w:rsid w:val="00B812E0"/>
    <w:rsid w:val="00B82E9F"/>
    <w:rsid w:val="00B84AEA"/>
    <w:rsid w:val="00B867E4"/>
    <w:rsid w:val="00B91AE7"/>
    <w:rsid w:val="00B92F22"/>
    <w:rsid w:val="00B940FC"/>
    <w:rsid w:val="00B951C4"/>
    <w:rsid w:val="00B9564B"/>
    <w:rsid w:val="00BA72D3"/>
    <w:rsid w:val="00BB0907"/>
    <w:rsid w:val="00BB3394"/>
    <w:rsid w:val="00BB7BEC"/>
    <w:rsid w:val="00BC02DE"/>
    <w:rsid w:val="00BC0446"/>
    <w:rsid w:val="00BC0767"/>
    <w:rsid w:val="00BC3FCE"/>
    <w:rsid w:val="00BC698F"/>
    <w:rsid w:val="00BD03AB"/>
    <w:rsid w:val="00BD5BE3"/>
    <w:rsid w:val="00BE71CD"/>
    <w:rsid w:val="00BE7729"/>
    <w:rsid w:val="00BF28F7"/>
    <w:rsid w:val="00BF4DA1"/>
    <w:rsid w:val="00BF5914"/>
    <w:rsid w:val="00BF6311"/>
    <w:rsid w:val="00C02E52"/>
    <w:rsid w:val="00C072FB"/>
    <w:rsid w:val="00C12D17"/>
    <w:rsid w:val="00C15A9A"/>
    <w:rsid w:val="00C16878"/>
    <w:rsid w:val="00C17080"/>
    <w:rsid w:val="00C206AF"/>
    <w:rsid w:val="00C20CF9"/>
    <w:rsid w:val="00C24617"/>
    <w:rsid w:val="00C24862"/>
    <w:rsid w:val="00C3105B"/>
    <w:rsid w:val="00C31921"/>
    <w:rsid w:val="00C355CC"/>
    <w:rsid w:val="00C356A5"/>
    <w:rsid w:val="00C37FC3"/>
    <w:rsid w:val="00C41AC6"/>
    <w:rsid w:val="00C5142A"/>
    <w:rsid w:val="00C56A31"/>
    <w:rsid w:val="00C66A31"/>
    <w:rsid w:val="00C67610"/>
    <w:rsid w:val="00C7237F"/>
    <w:rsid w:val="00C74B25"/>
    <w:rsid w:val="00C777BB"/>
    <w:rsid w:val="00C838DA"/>
    <w:rsid w:val="00C84CFA"/>
    <w:rsid w:val="00C86AA1"/>
    <w:rsid w:val="00C86B79"/>
    <w:rsid w:val="00C8771E"/>
    <w:rsid w:val="00C97497"/>
    <w:rsid w:val="00CA372D"/>
    <w:rsid w:val="00CA55B4"/>
    <w:rsid w:val="00CA6B53"/>
    <w:rsid w:val="00CB0538"/>
    <w:rsid w:val="00CB7FE2"/>
    <w:rsid w:val="00CC3A03"/>
    <w:rsid w:val="00CC4947"/>
    <w:rsid w:val="00CC5011"/>
    <w:rsid w:val="00CC5DE7"/>
    <w:rsid w:val="00CC63BB"/>
    <w:rsid w:val="00CC6D88"/>
    <w:rsid w:val="00CC7506"/>
    <w:rsid w:val="00CD1A0A"/>
    <w:rsid w:val="00CD240D"/>
    <w:rsid w:val="00CD5147"/>
    <w:rsid w:val="00CE22BA"/>
    <w:rsid w:val="00CE2FA5"/>
    <w:rsid w:val="00CE455E"/>
    <w:rsid w:val="00CE6749"/>
    <w:rsid w:val="00CF0F46"/>
    <w:rsid w:val="00CF1807"/>
    <w:rsid w:val="00CF37A4"/>
    <w:rsid w:val="00CF5963"/>
    <w:rsid w:val="00D00096"/>
    <w:rsid w:val="00D00711"/>
    <w:rsid w:val="00D07A23"/>
    <w:rsid w:val="00D127FF"/>
    <w:rsid w:val="00D135D9"/>
    <w:rsid w:val="00D143A0"/>
    <w:rsid w:val="00D15FBC"/>
    <w:rsid w:val="00D2266D"/>
    <w:rsid w:val="00D279C2"/>
    <w:rsid w:val="00D34133"/>
    <w:rsid w:val="00D36B7E"/>
    <w:rsid w:val="00D37460"/>
    <w:rsid w:val="00D416C8"/>
    <w:rsid w:val="00D41D69"/>
    <w:rsid w:val="00D50D3F"/>
    <w:rsid w:val="00D51825"/>
    <w:rsid w:val="00D53603"/>
    <w:rsid w:val="00D55FE8"/>
    <w:rsid w:val="00D56433"/>
    <w:rsid w:val="00D653C1"/>
    <w:rsid w:val="00D6746F"/>
    <w:rsid w:val="00D67903"/>
    <w:rsid w:val="00D716A1"/>
    <w:rsid w:val="00D719A5"/>
    <w:rsid w:val="00D738DD"/>
    <w:rsid w:val="00D742A7"/>
    <w:rsid w:val="00D76823"/>
    <w:rsid w:val="00D80539"/>
    <w:rsid w:val="00D832C5"/>
    <w:rsid w:val="00D86B5E"/>
    <w:rsid w:val="00D8770F"/>
    <w:rsid w:val="00D8781A"/>
    <w:rsid w:val="00D92BC2"/>
    <w:rsid w:val="00D94B55"/>
    <w:rsid w:val="00DA1941"/>
    <w:rsid w:val="00DA2FC8"/>
    <w:rsid w:val="00DA3772"/>
    <w:rsid w:val="00DB0A62"/>
    <w:rsid w:val="00DB29EE"/>
    <w:rsid w:val="00DB2E70"/>
    <w:rsid w:val="00DB59BB"/>
    <w:rsid w:val="00DB743A"/>
    <w:rsid w:val="00DB74A6"/>
    <w:rsid w:val="00DB7AC4"/>
    <w:rsid w:val="00DC5367"/>
    <w:rsid w:val="00DC549B"/>
    <w:rsid w:val="00DC74BC"/>
    <w:rsid w:val="00DD142F"/>
    <w:rsid w:val="00DD1A04"/>
    <w:rsid w:val="00DD530B"/>
    <w:rsid w:val="00DD7C75"/>
    <w:rsid w:val="00DE09EF"/>
    <w:rsid w:val="00DE525F"/>
    <w:rsid w:val="00DE74D0"/>
    <w:rsid w:val="00DF489E"/>
    <w:rsid w:val="00DF79C6"/>
    <w:rsid w:val="00E00B32"/>
    <w:rsid w:val="00E01406"/>
    <w:rsid w:val="00E024E8"/>
    <w:rsid w:val="00E03BB0"/>
    <w:rsid w:val="00E04EE8"/>
    <w:rsid w:val="00E068AB"/>
    <w:rsid w:val="00E10842"/>
    <w:rsid w:val="00E1134C"/>
    <w:rsid w:val="00E1154B"/>
    <w:rsid w:val="00E17A77"/>
    <w:rsid w:val="00E20212"/>
    <w:rsid w:val="00E20D46"/>
    <w:rsid w:val="00E210DD"/>
    <w:rsid w:val="00E31C25"/>
    <w:rsid w:val="00E347A4"/>
    <w:rsid w:val="00E40F1A"/>
    <w:rsid w:val="00E41CF1"/>
    <w:rsid w:val="00E44409"/>
    <w:rsid w:val="00E44752"/>
    <w:rsid w:val="00E466FC"/>
    <w:rsid w:val="00E52AA8"/>
    <w:rsid w:val="00E53E16"/>
    <w:rsid w:val="00E54A30"/>
    <w:rsid w:val="00E54D1B"/>
    <w:rsid w:val="00E54F6D"/>
    <w:rsid w:val="00E56566"/>
    <w:rsid w:val="00E57DC4"/>
    <w:rsid w:val="00E601E0"/>
    <w:rsid w:val="00E640D2"/>
    <w:rsid w:val="00E64519"/>
    <w:rsid w:val="00E64AE5"/>
    <w:rsid w:val="00E7225C"/>
    <w:rsid w:val="00E74BE8"/>
    <w:rsid w:val="00E77C08"/>
    <w:rsid w:val="00E840B1"/>
    <w:rsid w:val="00E85EBA"/>
    <w:rsid w:val="00E9014D"/>
    <w:rsid w:val="00E9496F"/>
    <w:rsid w:val="00EA10EA"/>
    <w:rsid w:val="00EA4C7B"/>
    <w:rsid w:val="00EA52BD"/>
    <w:rsid w:val="00EA6B1E"/>
    <w:rsid w:val="00EA7793"/>
    <w:rsid w:val="00EB0EED"/>
    <w:rsid w:val="00EB3081"/>
    <w:rsid w:val="00EB35DE"/>
    <w:rsid w:val="00EB62A2"/>
    <w:rsid w:val="00EB6698"/>
    <w:rsid w:val="00EC2193"/>
    <w:rsid w:val="00EC3BBB"/>
    <w:rsid w:val="00EC7490"/>
    <w:rsid w:val="00ED2A7A"/>
    <w:rsid w:val="00ED2AA9"/>
    <w:rsid w:val="00ED3314"/>
    <w:rsid w:val="00ED5C77"/>
    <w:rsid w:val="00EE0EBF"/>
    <w:rsid w:val="00EE2A08"/>
    <w:rsid w:val="00EE3052"/>
    <w:rsid w:val="00EE307C"/>
    <w:rsid w:val="00EE3EC4"/>
    <w:rsid w:val="00EE503D"/>
    <w:rsid w:val="00EE5467"/>
    <w:rsid w:val="00EE5588"/>
    <w:rsid w:val="00EF1DBA"/>
    <w:rsid w:val="00EF26B5"/>
    <w:rsid w:val="00EF3826"/>
    <w:rsid w:val="00EF553B"/>
    <w:rsid w:val="00F0208C"/>
    <w:rsid w:val="00F06E4B"/>
    <w:rsid w:val="00F13488"/>
    <w:rsid w:val="00F13A7E"/>
    <w:rsid w:val="00F2194F"/>
    <w:rsid w:val="00F31202"/>
    <w:rsid w:val="00F316BD"/>
    <w:rsid w:val="00F33220"/>
    <w:rsid w:val="00F3327F"/>
    <w:rsid w:val="00F41CF7"/>
    <w:rsid w:val="00F41E23"/>
    <w:rsid w:val="00F44171"/>
    <w:rsid w:val="00F502F5"/>
    <w:rsid w:val="00F508B6"/>
    <w:rsid w:val="00F50C2C"/>
    <w:rsid w:val="00F511A0"/>
    <w:rsid w:val="00F51260"/>
    <w:rsid w:val="00F5174F"/>
    <w:rsid w:val="00F52CE2"/>
    <w:rsid w:val="00F577A3"/>
    <w:rsid w:val="00F57C7A"/>
    <w:rsid w:val="00F602A7"/>
    <w:rsid w:val="00F645C8"/>
    <w:rsid w:val="00F654EF"/>
    <w:rsid w:val="00F67EAC"/>
    <w:rsid w:val="00F7730A"/>
    <w:rsid w:val="00F803A4"/>
    <w:rsid w:val="00F86BE6"/>
    <w:rsid w:val="00F96179"/>
    <w:rsid w:val="00FA1257"/>
    <w:rsid w:val="00FA4651"/>
    <w:rsid w:val="00FA5E29"/>
    <w:rsid w:val="00FB0103"/>
    <w:rsid w:val="00FB2A6F"/>
    <w:rsid w:val="00FB46AC"/>
    <w:rsid w:val="00FB7648"/>
    <w:rsid w:val="00FB7A15"/>
    <w:rsid w:val="00FC05AF"/>
    <w:rsid w:val="00FC3C3D"/>
    <w:rsid w:val="00FC3D9D"/>
    <w:rsid w:val="00FC423C"/>
    <w:rsid w:val="00FC619A"/>
    <w:rsid w:val="00FD4D20"/>
    <w:rsid w:val="00FD52E3"/>
    <w:rsid w:val="00FD7602"/>
    <w:rsid w:val="00FE02B1"/>
    <w:rsid w:val="00FE2CF3"/>
    <w:rsid w:val="00FF37DD"/>
    <w:rsid w:val="00FF42F2"/>
    <w:rsid w:val="00FF4F03"/>
    <w:rsid w:val="00FF597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4397"/>
  <w15:chartTrackingRefBased/>
  <w15:docId w15:val="{09942494-F3F8-4A3C-8424-976B412B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BD"/>
    <w:pPr>
      <w:keepNext/>
      <w:keepLines/>
      <w:spacing w:before="120" w:after="12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BD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B3E48"/>
    <w:pPr>
      <w:spacing w:before="240" w:after="12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48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48"/>
    <w:pPr>
      <w:numPr>
        <w:ilvl w:val="1"/>
      </w:numPr>
      <w:spacing w:after="120" w:line="240" w:lineRule="auto"/>
      <w:jc w:val="center"/>
    </w:pPr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48"/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paragraph" w:styleId="ListParagraph">
    <w:name w:val="List Paragraph"/>
    <w:aliases w:val="heading 2"/>
    <w:basedOn w:val="Normal"/>
    <w:link w:val="ListParagraphChar"/>
    <w:uiPriority w:val="34"/>
    <w:qFormat/>
    <w:rsid w:val="00BF63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4FC1"/>
    <w:pPr>
      <w:spacing w:after="0" w:line="240" w:lineRule="auto"/>
    </w:pPr>
  </w:style>
  <w:style w:type="character" w:customStyle="1" w:styleId="salnbdy">
    <w:name w:val="s_aln_bdy"/>
    <w:basedOn w:val="DefaultParagraphFont"/>
    <w:rsid w:val="00983C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A1457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litbdy">
    <w:name w:val="s_lit_bdy"/>
    <w:basedOn w:val="DefaultParagraphFont"/>
    <w:rsid w:val="00EA4C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506F86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61737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table" w:styleId="TableGrid">
    <w:name w:val="Table Grid"/>
    <w:basedOn w:val="TableNormal"/>
    <w:uiPriority w:val="39"/>
    <w:rsid w:val="0026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A5"/>
  </w:style>
  <w:style w:type="paragraph" w:styleId="Footer">
    <w:name w:val="footer"/>
    <w:basedOn w:val="Normal"/>
    <w:link w:val="FooterChar"/>
    <w:uiPriority w:val="99"/>
    <w:unhideWhenUsed/>
    <w:rsid w:val="0045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A5"/>
  </w:style>
  <w:style w:type="character" w:customStyle="1" w:styleId="ListParagraphChar">
    <w:name w:val="List Paragraph Char"/>
    <w:aliases w:val="heading 2 Char"/>
    <w:link w:val="ListParagraph"/>
    <w:uiPriority w:val="34"/>
    <w:locked/>
    <w:rsid w:val="00BF4DA1"/>
  </w:style>
  <w:style w:type="numbering" w:customStyle="1" w:styleId="CurrentList1">
    <w:name w:val="Current List1"/>
    <w:uiPriority w:val="99"/>
    <w:rsid w:val="0079050B"/>
    <w:pPr>
      <w:numPr>
        <w:numId w:val="5"/>
      </w:numPr>
    </w:pPr>
  </w:style>
  <w:style w:type="paragraph" w:customStyle="1" w:styleId="sden">
    <w:name w:val="s_den"/>
    <w:basedOn w:val="Normal"/>
    <w:rsid w:val="003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hdr">
    <w:name w:val="s_hdr"/>
    <w:basedOn w:val="Normal"/>
    <w:rsid w:val="003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F03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lnttl">
    <w:name w:val="s_aln_ttl"/>
    <w:basedOn w:val="DefaultParagraphFont"/>
    <w:rsid w:val="005260C4"/>
  </w:style>
  <w:style w:type="paragraph" w:customStyle="1" w:styleId="spar1">
    <w:name w:val="s_par1"/>
    <w:basedOn w:val="Normal"/>
    <w:rsid w:val="00F577A3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  <w:style w:type="paragraph" w:customStyle="1" w:styleId="sprg">
    <w:name w:val="s_prg"/>
    <w:basedOn w:val="Normal"/>
    <w:rsid w:val="00F577A3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7373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2024-04-30T07:02:00Z</cp:lastPrinted>
  <dcterms:created xsi:type="dcterms:W3CDTF">2024-05-21T05:39:00Z</dcterms:created>
  <dcterms:modified xsi:type="dcterms:W3CDTF">2024-05-21T05:39:00Z</dcterms:modified>
</cp:coreProperties>
</file>