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742" w:rsidRDefault="00F50742" w:rsidP="00F50742">
      <w:pPr>
        <w:pStyle w:val="sanxttl"/>
        <w:spacing w:line="276" w:lineRule="auto"/>
        <w:ind w:left="5760" w:firstLine="720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F50742" w:rsidRPr="00EC7F77" w:rsidRDefault="00F50742" w:rsidP="00F50742">
      <w:pPr>
        <w:pStyle w:val="sanxttl"/>
        <w:spacing w:line="276" w:lineRule="auto"/>
        <w:ind w:left="5760" w:firstLine="720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EC7F7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Anexa nr. 1 la metodologie</w:t>
      </w:r>
    </w:p>
    <w:p w:rsidR="00F50742" w:rsidRPr="00436BDF" w:rsidRDefault="00F50742" w:rsidP="00F50742">
      <w:pPr>
        <w:pStyle w:val="spar"/>
        <w:spacing w:line="276" w:lineRule="auto"/>
        <w:ind w:left="0"/>
        <w:jc w:val="center"/>
        <w:rPr>
          <w:b/>
          <w:shd w:val="clear" w:color="auto" w:fill="FFFFFF"/>
        </w:rPr>
      </w:pPr>
      <w:bookmarkStart w:id="0" w:name="_Hlk171768485"/>
      <w:r w:rsidRPr="00436BDF">
        <w:rPr>
          <w:b/>
          <w:shd w:val="clear" w:color="auto" w:fill="FFFFFF"/>
        </w:rPr>
        <w:t>Alocarea costurilor</w:t>
      </w:r>
    </w:p>
    <w:bookmarkEnd w:id="0"/>
    <w:p w:rsidR="00F50742" w:rsidRPr="00EC7F77" w:rsidRDefault="00F50742" w:rsidP="00F50742">
      <w:pPr>
        <w:autoSpaceDE/>
        <w:autoSpaceDN/>
        <w:spacing w:line="276" w:lineRule="auto"/>
        <w:jc w:val="both"/>
        <w:rPr>
          <w:rStyle w:val="spctbdy"/>
          <w:rFonts w:ascii="Times New Roman" w:eastAsia="Times New Roman" w:hAnsi="Times New Roman"/>
          <w:sz w:val="24"/>
          <w:szCs w:val="24"/>
        </w:rPr>
      </w:pPr>
      <w:r w:rsidRPr="00EC7F77"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 w:rsidRPr="00EC7F77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</w:p>
    <w:p w:rsidR="00F50742" w:rsidRPr="00EC7F77" w:rsidRDefault="00F50742" w:rsidP="00F5074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7F77">
        <w:rPr>
          <w:rStyle w:val="slitbdy"/>
          <w:rFonts w:ascii="Times New Roman" w:eastAsia="Times New Roman" w:hAnsi="Times New Roman"/>
          <w:sz w:val="24"/>
          <w:szCs w:val="24"/>
        </w:rPr>
        <w:t>Operatorul de distribuţie calculează componentele tarifare conform preederilor prezentei metodologii.</w:t>
      </w:r>
    </w:p>
    <w:p w:rsidR="00F50742" w:rsidRPr="00EC7F77" w:rsidRDefault="00F50742" w:rsidP="00F5074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EC7F77">
        <w:rPr>
          <w:rStyle w:val="slitbdy"/>
          <w:rFonts w:ascii="Times New Roman" w:eastAsia="Times New Roman" w:hAnsi="Times New Roman"/>
          <w:sz w:val="24"/>
          <w:szCs w:val="24"/>
        </w:rPr>
        <w:t>ANRE verifică alocarea costurilor și aprobă tarifele de distribuție reglementate în conformitate cu prevederile metodologiei.</w:t>
      </w:r>
    </w:p>
    <w:p w:rsidR="00F50742" w:rsidRPr="009E6AB0" w:rsidRDefault="00F50742" w:rsidP="00F50742">
      <w:pPr>
        <w:autoSpaceDE/>
        <w:autoSpaceDN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D3362"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 w:rsidRPr="006D336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D3362">
        <w:rPr>
          <w:rStyle w:val="spctbdy"/>
          <w:rFonts w:ascii="Times New Roman" w:eastAsia="Times New Roman" w:hAnsi="Times New Roman"/>
          <w:sz w:val="24"/>
          <w:szCs w:val="24"/>
        </w:rPr>
        <w:t xml:space="preserve">În stabilirea structurii şi nivelului tarifelor de distribuţie, operatorul de distribuţie are în vedere condiţiile tehnico-economice ale reţelei de </w:t>
      </w:r>
      <w:r w:rsidRPr="009E6AB0">
        <w:rPr>
          <w:rStyle w:val="spctbdy"/>
          <w:rFonts w:ascii="Times New Roman" w:eastAsia="Times New Roman" w:hAnsi="Times New Roman"/>
          <w:sz w:val="24"/>
          <w:szCs w:val="24"/>
        </w:rPr>
        <w:t xml:space="preserve">distribuţie şi gradul de suportabilitate a </w:t>
      </w:r>
      <w:r w:rsidRPr="009E6AB0">
        <w:rPr>
          <w:rStyle w:val="spar3"/>
          <w:rFonts w:ascii="Times New Roman" w:eastAsia="Times New Roman" w:hAnsi="Times New Roman"/>
          <w:bCs/>
          <w:sz w:val="24"/>
          <w:szCs w:val="24"/>
          <w:specVanish w:val="0"/>
        </w:rPr>
        <w:t>clienților finali</w:t>
      </w:r>
      <w:r w:rsidRPr="009E6AB0">
        <w:rPr>
          <w:rStyle w:val="spctbdy"/>
          <w:rFonts w:ascii="Times New Roman" w:eastAsia="Times New Roman" w:hAnsi="Times New Roman"/>
          <w:sz w:val="24"/>
          <w:szCs w:val="24"/>
        </w:rPr>
        <w:t xml:space="preserve">, conform prevederilor </w:t>
      </w:r>
      <w:r w:rsidRPr="009E6AB0">
        <w:rPr>
          <w:rStyle w:val="slgi1"/>
          <w:rFonts w:ascii="Times New Roman" w:eastAsia="Times New Roman" w:hAnsi="Times New Roman"/>
          <w:sz w:val="24"/>
          <w:szCs w:val="24"/>
        </w:rPr>
        <w:t>art. 85</w:t>
      </w:r>
      <w:r w:rsidRPr="009E6AB0">
        <w:rPr>
          <w:rStyle w:val="spctbdy"/>
          <w:rFonts w:ascii="Times New Roman" w:eastAsia="Times New Roman" w:hAnsi="Times New Roman"/>
          <w:sz w:val="24"/>
          <w:szCs w:val="24"/>
        </w:rPr>
        <w:t xml:space="preserve"> şi </w:t>
      </w:r>
      <w:r w:rsidRPr="009E6AB0">
        <w:rPr>
          <w:rStyle w:val="slgi1"/>
          <w:rFonts w:ascii="Times New Roman" w:eastAsia="Times New Roman" w:hAnsi="Times New Roman"/>
          <w:sz w:val="24"/>
          <w:szCs w:val="24"/>
        </w:rPr>
        <w:t>art. 116</w:t>
      </w:r>
      <w:r w:rsidRPr="009E6AB0">
        <w:rPr>
          <w:rStyle w:val="spctbdy"/>
          <w:rFonts w:ascii="Times New Roman" w:eastAsia="Times New Roman" w:hAnsi="Times New Roman"/>
          <w:sz w:val="24"/>
          <w:szCs w:val="24"/>
        </w:rPr>
        <w:t xml:space="preserve"> - din metodologie.</w:t>
      </w:r>
    </w:p>
    <w:p w:rsidR="00F50742" w:rsidRPr="009E6AB0" w:rsidRDefault="00F50742" w:rsidP="00F50742">
      <w:pPr>
        <w:autoSpaceDE/>
        <w:autoSpaceDN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9E6AB0">
        <w:rPr>
          <w:rStyle w:val="spctttl1"/>
          <w:rFonts w:ascii="Times New Roman" w:eastAsia="Times New Roman" w:hAnsi="Times New Roman"/>
          <w:sz w:val="24"/>
          <w:szCs w:val="24"/>
        </w:rPr>
        <w:t>3.</w:t>
      </w:r>
      <w:r w:rsidRPr="009E6AB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9E6AB0">
        <w:rPr>
          <w:rStyle w:val="spctbdy"/>
          <w:rFonts w:ascii="Times New Roman" w:eastAsia="Times New Roman" w:hAnsi="Times New Roman"/>
          <w:sz w:val="24"/>
          <w:szCs w:val="24"/>
        </w:rPr>
        <w:t>Costurile justificate se alocă de către operatorii de distribuţie conform structurii stabilite a tarifelor de distribuţie.</w:t>
      </w:r>
    </w:p>
    <w:p w:rsidR="00F50742" w:rsidRPr="006D3362" w:rsidRDefault="00F50742" w:rsidP="00F50742">
      <w:pPr>
        <w:autoSpaceDE/>
        <w:autoSpaceDN/>
        <w:spacing w:line="276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 w:rsidRPr="009E6AB0">
        <w:rPr>
          <w:rStyle w:val="spctttl1"/>
          <w:rFonts w:ascii="Times New Roman" w:eastAsia="Times New Roman" w:hAnsi="Times New Roman"/>
          <w:sz w:val="24"/>
          <w:szCs w:val="24"/>
        </w:rPr>
        <w:t>4.</w:t>
      </w:r>
      <w:r w:rsidRPr="006D336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</w:p>
    <w:p w:rsidR="00F50742" w:rsidRPr="006D3362" w:rsidRDefault="00F50742" w:rsidP="00F50742">
      <w:pPr>
        <w:pStyle w:val="ListParagraph"/>
        <w:numPr>
          <w:ilvl w:val="0"/>
          <w:numId w:val="2"/>
        </w:numPr>
        <w:spacing w:line="276" w:lineRule="auto"/>
        <w:jc w:val="both"/>
        <w:rPr>
          <w:rStyle w:val="slitbdy"/>
          <w:rFonts w:ascii="Times New Roman" w:hAnsi="Times New Roman"/>
          <w:sz w:val="24"/>
          <w:szCs w:val="24"/>
        </w:rPr>
      </w:pPr>
      <w:r w:rsidRPr="006D3362">
        <w:rPr>
          <w:rStyle w:val="slitbdy"/>
          <w:rFonts w:ascii="Times New Roman" w:eastAsia="Times New Roman" w:hAnsi="Times New Roman"/>
          <w:sz w:val="24"/>
          <w:szCs w:val="24"/>
        </w:rPr>
        <w:t>Împărţirea mijloacelor fixe aferente reţelei de distribuţie, diferenţiat pe nivelul de tensiune, se face astfel:</w:t>
      </w:r>
    </w:p>
    <w:p w:rsidR="00F50742" w:rsidRPr="006D3362" w:rsidRDefault="00F50742" w:rsidP="00F50742">
      <w:pPr>
        <w:autoSpaceDE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D3362">
        <w:rPr>
          <w:rStyle w:val="spctttl1"/>
          <w:rFonts w:ascii="Times New Roman" w:eastAsia="Times New Roman" w:hAnsi="Times New Roman"/>
          <w:sz w:val="24"/>
          <w:szCs w:val="24"/>
        </w:rPr>
        <w:t>(i)</w:t>
      </w:r>
      <w:r w:rsidRPr="006D336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D3362">
        <w:rPr>
          <w:rStyle w:val="spctbdy"/>
          <w:rFonts w:ascii="Times New Roman" w:eastAsia="Times New Roman" w:hAnsi="Times New Roman"/>
          <w:sz w:val="24"/>
          <w:szCs w:val="24"/>
        </w:rPr>
        <w:t>la nivelul de înaltă tensiune se include categoria 110 kV;</w:t>
      </w:r>
    </w:p>
    <w:p w:rsidR="00F50742" w:rsidRPr="006D3362" w:rsidRDefault="00F50742" w:rsidP="00F50742">
      <w:pPr>
        <w:autoSpaceDE/>
        <w:autoSpaceDN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D3362">
        <w:rPr>
          <w:rStyle w:val="spctttl1"/>
          <w:rFonts w:ascii="Times New Roman" w:eastAsia="Times New Roman" w:hAnsi="Times New Roman"/>
          <w:sz w:val="24"/>
          <w:szCs w:val="24"/>
        </w:rPr>
        <w:t>(ii)</w:t>
      </w:r>
      <w:r w:rsidRPr="006D336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D3362">
        <w:rPr>
          <w:rStyle w:val="spctbdy"/>
          <w:rFonts w:ascii="Times New Roman" w:eastAsia="Times New Roman" w:hAnsi="Times New Roman"/>
          <w:sz w:val="24"/>
          <w:szCs w:val="24"/>
        </w:rPr>
        <w:t>la nivelul de medie tensiune se includ integral categoria staţii de transformare IT/MT şi categoria MT;</w:t>
      </w:r>
    </w:p>
    <w:p w:rsidR="00F50742" w:rsidRPr="006D3362" w:rsidRDefault="00F50742" w:rsidP="00F50742">
      <w:pPr>
        <w:autoSpaceDE/>
        <w:autoSpaceDN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D3362">
        <w:rPr>
          <w:rStyle w:val="spctttl1"/>
          <w:rFonts w:ascii="Times New Roman" w:eastAsia="Times New Roman" w:hAnsi="Times New Roman"/>
          <w:sz w:val="24"/>
          <w:szCs w:val="24"/>
        </w:rPr>
        <w:t>(iii)</w:t>
      </w:r>
      <w:r w:rsidRPr="006D336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D3362">
        <w:rPr>
          <w:rStyle w:val="spctbdy"/>
          <w:rFonts w:ascii="Times New Roman" w:eastAsia="Times New Roman" w:hAnsi="Times New Roman"/>
          <w:sz w:val="24"/>
          <w:szCs w:val="24"/>
        </w:rPr>
        <w:t>la nivelul de joasă tensiune se includ integral categoria puncte de transformare MT/JT şi categoria JT.</w:t>
      </w:r>
    </w:p>
    <w:p w:rsidR="00F50742" w:rsidRPr="006D3362" w:rsidRDefault="00F50742" w:rsidP="00F507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D3362">
        <w:rPr>
          <w:rStyle w:val="slitbdy"/>
          <w:rFonts w:ascii="Times New Roman" w:eastAsia="Times New Roman" w:hAnsi="Times New Roman"/>
          <w:sz w:val="24"/>
          <w:szCs w:val="24"/>
        </w:rPr>
        <w:t>Valoarea mijloacelor fixe care prin natura lor nu pot fi alocate direct unui nivel de tensiune se repartizează pe niveluri de tensiune folosindu-se drept cheie de alocare ponderea categoriei de instalaţii pe nivel de tensiune, din total categorii de instalaţii de distribuţie.</w:t>
      </w:r>
    </w:p>
    <w:p w:rsidR="00F50742" w:rsidRPr="006D3362" w:rsidRDefault="00F50742" w:rsidP="00F507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D3362">
        <w:rPr>
          <w:rStyle w:val="slitbdy"/>
          <w:rFonts w:ascii="Times New Roman" w:eastAsia="Times New Roman" w:hAnsi="Times New Roman"/>
          <w:sz w:val="24"/>
          <w:szCs w:val="24"/>
        </w:rPr>
        <w:t>ANRE are dreptul să analizeze şi să verifice dacă se respectă prevederile legale privind evitarea subvenţiei încrucişate.</w:t>
      </w:r>
    </w:p>
    <w:p w:rsidR="00F50742" w:rsidRPr="006D3362" w:rsidRDefault="00F50742" w:rsidP="00F50742">
      <w:pPr>
        <w:autoSpaceDE/>
        <w:autoSpaceDN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D3362">
        <w:rPr>
          <w:rStyle w:val="spctttl1"/>
          <w:rFonts w:ascii="Times New Roman" w:eastAsia="Times New Roman" w:hAnsi="Times New Roman"/>
          <w:sz w:val="24"/>
          <w:szCs w:val="24"/>
        </w:rPr>
        <w:t>5.</w:t>
      </w:r>
      <w:r w:rsidRPr="006D336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D3362">
        <w:rPr>
          <w:rStyle w:val="spctbdy"/>
          <w:rFonts w:ascii="Times New Roman" w:eastAsia="Times New Roman" w:hAnsi="Times New Roman"/>
          <w:sz w:val="24"/>
          <w:szCs w:val="24"/>
        </w:rPr>
        <w:t>La determinarea CPT pe niveluri de tensiune, pierderile în transformatoarele de putere se atribuie CPT aferent nivelului de tensiune inferior.</w:t>
      </w:r>
    </w:p>
    <w:p w:rsidR="00F50742" w:rsidRPr="006D3362" w:rsidRDefault="00F50742" w:rsidP="00F50742">
      <w:pPr>
        <w:autoSpaceDE/>
        <w:autoSpaceDN/>
        <w:spacing w:line="276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 w:rsidRPr="006D3362">
        <w:rPr>
          <w:rStyle w:val="spctttl1"/>
          <w:rFonts w:ascii="Times New Roman" w:eastAsia="Times New Roman" w:hAnsi="Times New Roman"/>
          <w:sz w:val="24"/>
          <w:szCs w:val="24"/>
        </w:rPr>
        <w:t>6.</w:t>
      </w:r>
      <w:r w:rsidRPr="006D336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D3362">
        <w:rPr>
          <w:rStyle w:val="spctbdy"/>
          <w:rFonts w:ascii="Times New Roman" w:eastAsia="Times New Roman" w:hAnsi="Times New Roman"/>
          <w:sz w:val="24"/>
          <w:szCs w:val="24"/>
        </w:rPr>
        <w:t>Pentru fiecare nivel de tensiune (precizat prin indicele „J“) se determină energia electrică distribuită prin acesta E_J, pentru serviciul de distribuţie prestat destinat utilizatorilor cu care operatorul de distribuţie are încheiat contract de distribuţie direct (E_U,J) sau prin intermediul furnizorilor (E_F,J), precum şi altor operatori de distribuţie (E_A,J), exceptând energia tranzitată spre ceilalţi operatori de distribuţie şi/sau OTS.</w:t>
      </w:r>
    </w:p>
    <w:p w:rsidR="00F50742" w:rsidRPr="006D3362" w:rsidRDefault="00F50742" w:rsidP="00F50742">
      <w:pPr>
        <w:pStyle w:val="spar"/>
        <w:spacing w:line="276" w:lineRule="auto"/>
        <w:ind w:left="0"/>
        <w:jc w:val="both"/>
      </w:pPr>
      <w:r w:rsidRPr="006D3362">
        <w:rPr>
          <w:shd w:val="clear" w:color="auto" w:fill="FFFFFF"/>
        </w:rPr>
        <w:t>E_j = E_U,J + E_F,J + E_A,J (MWh) (15)</w:t>
      </w:r>
    </w:p>
    <w:p w:rsidR="00F50742" w:rsidRPr="006D3362" w:rsidRDefault="00F50742" w:rsidP="00F50742">
      <w:pPr>
        <w:autoSpaceDE/>
        <w:autoSpaceDN/>
        <w:spacing w:line="276" w:lineRule="auto"/>
        <w:jc w:val="both"/>
        <w:rPr>
          <w:rStyle w:val="spctbdy"/>
          <w:rFonts w:ascii="Times New Roman" w:eastAsia="Times New Roman" w:hAnsi="Times New Roman"/>
          <w:sz w:val="24"/>
          <w:szCs w:val="24"/>
        </w:rPr>
      </w:pPr>
      <w:r w:rsidRPr="006D3362">
        <w:rPr>
          <w:rStyle w:val="spctttl1"/>
          <w:rFonts w:ascii="Times New Roman" w:eastAsia="Times New Roman" w:hAnsi="Times New Roman"/>
          <w:sz w:val="24"/>
          <w:szCs w:val="24"/>
        </w:rPr>
        <w:t>7.</w:t>
      </w:r>
      <w:r w:rsidRPr="006D336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</w:p>
    <w:p w:rsidR="00F50742" w:rsidRPr="0068735D" w:rsidRDefault="00F50742" w:rsidP="00F50742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slitbdy"/>
          <w:rFonts w:ascii="Times New Roman" w:eastAsia="Times New Roman" w:hAnsi="Times New Roman"/>
          <w:sz w:val="24"/>
          <w:szCs w:val="24"/>
        </w:rPr>
      </w:pPr>
      <w:r w:rsidRPr="006D3362">
        <w:rPr>
          <w:rStyle w:val="slitbdy"/>
          <w:rFonts w:ascii="Times New Roman" w:eastAsia="Times New Roman" w:hAnsi="Times New Roman"/>
          <w:sz w:val="24"/>
          <w:szCs w:val="24"/>
        </w:rPr>
        <w:t>În anul de referinţă al oricărei perioade de reglementare, operatorii de distribuţie sunt obligaţi să propună ANRE o metodă de alocare a costurilor de operare şi mentenanţă, a amortizării recunoscute de ANRE şi a rentabilităţii bazei reglementate a activelor pe niveluri de tensiune.</w:t>
      </w:r>
    </w:p>
    <w:p w:rsidR="00F50742" w:rsidRPr="0068735D" w:rsidRDefault="00F50742" w:rsidP="00F50742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slitbdy"/>
          <w:rFonts w:ascii="Times New Roman" w:eastAsia="Times New Roman" w:hAnsi="Times New Roman"/>
          <w:sz w:val="24"/>
          <w:szCs w:val="24"/>
        </w:rPr>
      </w:pPr>
      <w:r w:rsidRPr="006D3362">
        <w:rPr>
          <w:rStyle w:val="slitbdy"/>
          <w:rFonts w:ascii="Times New Roman" w:eastAsia="Times New Roman" w:hAnsi="Times New Roman"/>
          <w:sz w:val="24"/>
          <w:szCs w:val="24"/>
        </w:rPr>
        <w:t xml:space="preserve">În lipsa propunerii prevăzute la </w:t>
      </w:r>
      <w:r w:rsidRPr="0068735D">
        <w:rPr>
          <w:rStyle w:val="slitbdy"/>
          <w:rFonts w:ascii="Times New Roman" w:hAnsi="Times New Roman"/>
          <w:sz w:val="24"/>
          <w:szCs w:val="24"/>
        </w:rPr>
        <w:t>lit. a)</w:t>
      </w:r>
      <w:r w:rsidRPr="006D3362">
        <w:rPr>
          <w:rStyle w:val="slitbdy"/>
          <w:rFonts w:ascii="Times New Roman" w:eastAsia="Times New Roman" w:hAnsi="Times New Roman"/>
          <w:sz w:val="24"/>
          <w:szCs w:val="24"/>
        </w:rPr>
        <w:t xml:space="preserve"> sau în cazul respingerii motivate din partea ANRE a acestei propuneri, ANRE repartizează pe niveluri de tensiune: costurile de operare şi mentenanţă, amortizarea şi rentabilitatea bazei reglementate a activelor utilizând cheile de alocare determinate în funcţie de structura pe niveluri de tensiune stabilită conform </w:t>
      </w:r>
      <w:r w:rsidRPr="006D3362">
        <w:rPr>
          <w:rStyle w:val="slitbdy"/>
          <w:rFonts w:ascii="Times New Roman" w:eastAsia="Times New Roman" w:hAnsi="Times New Roman"/>
          <w:sz w:val="24"/>
          <w:szCs w:val="24"/>
        </w:rPr>
        <w:lastRenderedPageBreak/>
        <w:t xml:space="preserve">prevederilor </w:t>
      </w:r>
      <w:r w:rsidRPr="0068735D">
        <w:rPr>
          <w:rStyle w:val="slitbdy"/>
          <w:rFonts w:ascii="Times New Roman" w:hAnsi="Times New Roman"/>
          <w:sz w:val="24"/>
          <w:szCs w:val="24"/>
        </w:rPr>
        <w:t>pct. 4</w:t>
      </w:r>
      <w:r w:rsidRPr="006D3362">
        <w:rPr>
          <w:rStyle w:val="slitbdy"/>
          <w:rFonts w:ascii="Times New Roman" w:eastAsia="Times New Roman" w:hAnsi="Times New Roman"/>
          <w:sz w:val="24"/>
          <w:szCs w:val="24"/>
        </w:rPr>
        <w:t>, a activelor care fac parte din BAR la data de 31 decembrie a anului de referinţă.</w:t>
      </w:r>
    </w:p>
    <w:p w:rsidR="00F50742" w:rsidRPr="006D3362" w:rsidRDefault="00F50742" w:rsidP="00F50742">
      <w:pPr>
        <w:autoSpaceDE/>
        <w:autoSpaceDN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D3362">
        <w:rPr>
          <w:rStyle w:val="spctttl1"/>
          <w:rFonts w:ascii="Times New Roman" w:eastAsia="Times New Roman" w:hAnsi="Times New Roman"/>
          <w:sz w:val="24"/>
          <w:szCs w:val="24"/>
        </w:rPr>
        <w:t>8.</w:t>
      </w:r>
      <w:r w:rsidRPr="006D336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D3362">
        <w:rPr>
          <w:rStyle w:val="spctbdy"/>
          <w:rFonts w:ascii="Times New Roman" w:eastAsia="Times New Roman" w:hAnsi="Times New Roman"/>
          <w:sz w:val="24"/>
          <w:szCs w:val="24"/>
        </w:rPr>
        <w:t>Costul energiei electrice pentru acoperirea consumului propriu tehnologic reglementat se alocă pe niveluri de tensiune utilizându-se drept cheie de defalcare ponderea CPT</w:t>
      </w:r>
      <w:r w:rsidRPr="0068735D">
        <w:rPr>
          <w:rStyle w:val="spctbdy"/>
          <w:rFonts w:ascii="Times New Roman" w:eastAsia="Times New Roman" w:hAnsi="Times New Roman"/>
          <w:sz w:val="24"/>
          <w:szCs w:val="24"/>
        </w:rPr>
        <w:t>util</w:t>
      </w:r>
      <w:r w:rsidRPr="006D3362">
        <w:rPr>
          <w:rStyle w:val="spctbdy"/>
          <w:rFonts w:ascii="Times New Roman" w:eastAsia="Times New Roman" w:hAnsi="Times New Roman"/>
          <w:sz w:val="24"/>
          <w:szCs w:val="24"/>
        </w:rPr>
        <w:t xml:space="preserve"> (MWh) pe nivelul de tensiune respectiv în total CPT (MWh).</w:t>
      </w: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Default="00F50742" w:rsidP="00F50742">
      <w:pPr>
        <w:pStyle w:val="sanxttl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F50742" w:rsidRPr="002C6486" w:rsidRDefault="00F50742" w:rsidP="00F50742">
      <w:pPr>
        <w:pStyle w:val="sanxttl"/>
        <w:spacing w:line="276" w:lineRule="auto"/>
        <w:ind w:left="5040" w:firstLine="720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2C648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lastRenderedPageBreak/>
        <w:t xml:space="preserve">Anexa nr. 2 </w:t>
      </w:r>
      <w:bookmarkStart w:id="1" w:name="_Hlk171768619"/>
      <w:r w:rsidRPr="002C648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la metodologie</w:t>
      </w:r>
    </w:p>
    <w:p w:rsidR="00F50742" w:rsidRDefault="00F50742" w:rsidP="00F50742">
      <w:pPr>
        <w:pStyle w:val="spar"/>
        <w:spacing w:line="276" w:lineRule="auto"/>
        <w:ind w:left="0"/>
        <w:jc w:val="center"/>
        <w:rPr>
          <w:b/>
          <w:shd w:val="clear" w:color="auto" w:fill="FFFFFF"/>
        </w:rPr>
      </w:pPr>
    </w:p>
    <w:p w:rsidR="00F50742" w:rsidRDefault="00F50742" w:rsidP="00F50742">
      <w:pPr>
        <w:pStyle w:val="spar"/>
        <w:spacing w:line="276" w:lineRule="auto"/>
        <w:ind w:left="0"/>
        <w:jc w:val="center"/>
        <w:rPr>
          <w:b/>
          <w:shd w:val="clear" w:color="auto" w:fill="FFFFFF"/>
        </w:rPr>
      </w:pPr>
      <w:r w:rsidRPr="002C6486">
        <w:rPr>
          <w:b/>
          <w:shd w:val="clear" w:color="auto" w:fill="FFFFFF"/>
        </w:rPr>
        <w:t>Clasificarea şi duratele de funcţionare reglementate minime ale mijloacelor fixe</w:t>
      </w:r>
    </w:p>
    <w:p w:rsidR="00F50742" w:rsidRPr="002C6486" w:rsidRDefault="00F50742" w:rsidP="00F50742">
      <w:pPr>
        <w:pStyle w:val="spar"/>
        <w:spacing w:line="276" w:lineRule="auto"/>
        <w:ind w:left="0"/>
        <w:jc w:val="center"/>
        <w:rPr>
          <w:b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6853"/>
        <w:gridCol w:w="1659"/>
      </w:tblGrid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bookmarkEnd w:id="1"/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Cod mijloc fix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Denumire mijloc fix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DNF reglementată [ani]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Construcţii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 xml:space="preserve">Centrale hidroelectrice, staţii şi posturi de transformare, staţii de conexiuni, în afară de: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1.1.3.1.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construcţii speciale metalice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1.1.3.2.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construcţii speciale din beton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Construcţii pentru transportul energiei electrice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1.7.1.1.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aeriene pe stâlpi din lemn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1.7.1.2.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aeriene pe stâlpi metalici sau din beton armat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1.7.1.3.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subterane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Instalaţii electrice de forţă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1.7.2.1.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aeriene sau aparente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1.7.2.2.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îngropate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1.7.2.3.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în tub, canal sau tunel de protecţie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Maşini şi utilaje energetice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2.1.16.3.1.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Transformatoare şi autotransformatoare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2.1.16.3.3.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Baterii de acumulatoare; instalaţii de compensare a puterii reactive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2.1.16.5.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 xml:space="preserve">Aparataje pentru staţii electrice şi posturi de transformare </w:t>
            </w:r>
          </w:p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Echipamente pentru centrale termice, electrice şi nucleare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Aparate şi instalaţii pentru măsurarea mărimilor electrice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2.2.3.2.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Alte aparate şi instalaţii pentru măsurarea mărimilor electrice, electromagnetice şi radiometrice neregăsite în cadrul clasei 2.2.3.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2.2.3.1.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Elemente Waston; aparate portabile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Echipamente electronice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2.2.9.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Calculatoare electronice şi echipamente periferice. Maşini şi aparate de casă, control şi facturat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Mijloace de transport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2.3.2.1.1.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autoturisme, în afară de: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2.3.2.2.9.3.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alte autovehicule cu destinaţie specială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Mobilier (inclusiv mobilierul comercial şi hotelier)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Aparate de telecomunicaţii pentru birou: aparate telefonice, aparate telefax, aparate telex, instalaţii de comandă prin radio, aparate de căutat persoane 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3.3.5.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Sisteme pentru identificarea şi controlul accesului, supraveghere şi alarmă la efracţie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2.1.17.3.1.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Aparate de climatizare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lastRenderedPageBreak/>
              <w:t>2.1.17.3.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Ventilatoare, aeroterme şi microcentrale termice murale sau de pardoseli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0742" w:rsidRPr="006D3362" w:rsidTr="00283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Licenţe şi sisteme informatice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742" w:rsidRPr="006D3362" w:rsidRDefault="00F50742" w:rsidP="0028370E">
            <w:pPr>
              <w:pStyle w:val="spa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3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F50742" w:rsidRPr="006D336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0742" w:rsidRPr="006D336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0742" w:rsidRDefault="00F50742" w:rsidP="00F50742">
      <w:pPr>
        <w:pStyle w:val="ListParagraph"/>
        <w:spacing w:line="276" w:lineRule="auto"/>
        <w:ind w:left="0"/>
        <w:jc w:val="both"/>
        <w:rPr>
          <w:rStyle w:val="spctbdy"/>
          <w:rFonts w:ascii="Times New Roman" w:eastAsia="Times New Roman" w:hAnsi="Times New Roman"/>
          <w:sz w:val="24"/>
          <w:szCs w:val="24"/>
        </w:rPr>
      </w:pPr>
    </w:p>
    <w:p w:rsidR="00F50742" w:rsidRDefault="00F50742" w:rsidP="00F50742">
      <w:pPr>
        <w:pStyle w:val="ListParagraph"/>
        <w:spacing w:line="276" w:lineRule="auto"/>
        <w:ind w:left="0"/>
        <w:jc w:val="both"/>
        <w:rPr>
          <w:rStyle w:val="spctbdy"/>
          <w:rFonts w:ascii="Times New Roman" w:eastAsia="Times New Roman" w:hAnsi="Times New Roman"/>
          <w:sz w:val="24"/>
          <w:szCs w:val="24"/>
        </w:rPr>
      </w:pPr>
    </w:p>
    <w:p w:rsidR="00F50742" w:rsidRDefault="00F50742" w:rsidP="00F50742">
      <w:pPr>
        <w:pStyle w:val="ListParagraph"/>
        <w:spacing w:line="276" w:lineRule="auto"/>
        <w:ind w:left="0"/>
        <w:jc w:val="both"/>
        <w:rPr>
          <w:rStyle w:val="spctbdy"/>
          <w:rFonts w:ascii="Times New Roman" w:eastAsia="Times New Roman" w:hAnsi="Times New Roman"/>
          <w:sz w:val="24"/>
          <w:szCs w:val="24"/>
        </w:rPr>
      </w:pPr>
    </w:p>
    <w:p w:rsidR="00F50742" w:rsidRDefault="00F50742" w:rsidP="00F50742">
      <w:pPr>
        <w:pStyle w:val="ListParagraph"/>
        <w:spacing w:line="276" w:lineRule="auto"/>
        <w:ind w:left="0"/>
        <w:jc w:val="both"/>
        <w:rPr>
          <w:rStyle w:val="spctbdy"/>
          <w:rFonts w:ascii="Times New Roman" w:eastAsia="Times New Roman" w:hAnsi="Times New Roman"/>
          <w:sz w:val="24"/>
          <w:szCs w:val="24"/>
        </w:rPr>
      </w:pPr>
    </w:p>
    <w:p w:rsidR="00F50742" w:rsidRDefault="00F50742" w:rsidP="00F50742">
      <w:pPr>
        <w:pStyle w:val="ListParagraph"/>
        <w:spacing w:line="276" w:lineRule="auto"/>
        <w:ind w:left="0"/>
        <w:jc w:val="both"/>
        <w:rPr>
          <w:rStyle w:val="spctbdy"/>
          <w:rFonts w:ascii="Times New Roman" w:eastAsia="Times New Roman" w:hAnsi="Times New Roman"/>
          <w:sz w:val="24"/>
          <w:szCs w:val="24"/>
        </w:rPr>
      </w:pPr>
    </w:p>
    <w:p w:rsidR="00F50742" w:rsidRDefault="00F50742" w:rsidP="00F50742">
      <w:pPr>
        <w:pStyle w:val="ListParagraph"/>
        <w:spacing w:line="276" w:lineRule="auto"/>
        <w:ind w:left="0"/>
        <w:jc w:val="both"/>
        <w:rPr>
          <w:rStyle w:val="spctbdy"/>
          <w:rFonts w:ascii="Times New Roman" w:eastAsia="Times New Roman" w:hAnsi="Times New Roman"/>
          <w:sz w:val="24"/>
          <w:szCs w:val="24"/>
        </w:rPr>
      </w:pPr>
    </w:p>
    <w:p w:rsidR="00F50742" w:rsidRPr="006D336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074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074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074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074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074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074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074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0742" w:rsidRPr="006D336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074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F50742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F50742" w:rsidRPr="007D27D6" w:rsidRDefault="00F50742" w:rsidP="00F50742">
      <w:pPr>
        <w:spacing w:line="276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FB7A99" w:rsidRDefault="00FB7A99">
      <w:bookmarkStart w:id="2" w:name="_GoBack"/>
      <w:bookmarkEnd w:id="2"/>
    </w:p>
    <w:sectPr w:rsidR="00FB7A99" w:rsidSect="00942B8E">
      <w:footerReference w:type="default" r:id="rId5"/>
      <w:pgSz w:w="11906" w:h="16838" w:code="9"/>
      <w:pgMar w:top="1440" w:right="864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021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10EC" w:rsidRDefault="00F507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10EC" w:rsidRDefault="00F5074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D5AFC"/>
    <w:multiLevelType w:val="hybridMultilevel"/>
    <w:tmpl w:val="8A06A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43D49"/>
    <w:multiLevelType w:val="hybridMultilevel"/>
    <w:tmpl w:val="8A06A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90958"/>
    <w:multiLevelType w:val="hybridMultilevel"/>
    <w:tmpl w:val="8A06A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42"/>
    <w:rsid w:val="00F50742"/>
    <w:rsid w:val="00F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7F1A8A-3448-40A1-BEB0-825C6219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742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F50742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character" w:customStyle="1" w:styleId="spar3">
    <w:name w:val="s_par3"/>
    <w:basedOn w:val="DefaultParagraphFont"/>
    <w:rsid w:val="00F50742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ttl1">
    <w:name w:val="s_pct_ttl1"/>
    <w:basedOn w:val="DefaultParagraphFont"/>
    <w:rsid w:val="00F50742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F5074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sid w:val="00F5074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5074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</w:rPr>
  </w:style>
  <w:style w:type="paragraph" w:customStyle="1" w:styleId="spar1">
    <w:name w:val="s_par1"/>
    <w:basedOn w:val="Normal"/>
    <w:rsid w:val="00F50742"/>
    <w:pPr>
      <w:autoSpaceDE/>
      <w:autoSpaceDN/>
    </w:pPr>
    <w:rPr>
      <w:rFonts w:eastAsiaTheme="minorEastAsia"/>
      <w:sz w:val="15"/>
      <w:szCs w:val="15"/>
    </w:rPr>
  </w:style>
  <w:style w:type="character" w:customStyle="1" w:styleId="slgi1">
    <w:name w:val="s_lgi1"/>
    <w:basedOn w:val="DefaultParagraphFont"/>
    <w:rsid w:val="00F5074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F50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742"/>
    <w:rPr>
      <w:rFonts w:ascii="Verdana" w:eastAsia="Verdana" w:hAnsi="Verdana" w:cs="Times New Roman"/>
      <w:sz w:val="18"/>
      <w:szCs w:val="16"/>
      <w:lang w:val="ro-RO"/>
    </w:rPr>
  </w:style>
  <w:style w:type="paragraph" w:customStyle="1" w:styleId="sanxttl">
    <w:name w:val="s_anx_ttl"/>
    <w:basedOn w:val="Normal"/>
    <w:rsid w:val="00F50742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2024-07-16T12:29:00Z</dcterms:created>
  <dcterms:modified xsi:type="dcterms:W3CDTF">2024-07-16T12:30:00Z</dcterms:modified>
</cp:coreProperties>
</file>