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5115" w:rsidRPr="006E39B7" w:rsidRDefault="00C25115" w:rsidP="00C25115">
      <w:pPr>
        <w:keepNext/>
        <w:keepLines/>
        <w:suppressAutoHyphens/>
        <w:spacing w:line="360" w:lineRule="auto"/>
        <w:jc w:val="center"/>
        <w:textAlignment w:val="baseline"/>
        <w:outlineLvl w:val="0"/>
        <w:rPr>
          <w:rFonts w:eastAsiaTheme="majorEastAsia" w:cstheme="majorBidi"/>
          <w:b/>
          <w:sz w:val="28"/>
          <w:szCs w:val="28"/>
        </w:rPr>
      </w:pPr>
      <w:r w:rsidRPr="006E39B7">
        <w:rPr>
          <w:rFonts w:eastAsiaTheme="majorEastAsia" w:cstheme="majorBidi"/>
          <w:b/>
          <w:sz w:val="28"/>
          <w:szCs w:val="28"/>
        </w:rPr>
        <w:t>Ordin nr. __ din __/__/____</w:t>
      </w:r>
    </w:p>
    <w:p w:rsidR="00C25115" w:rsidRPr="006E39B7" w:rsidRDefault="00C25115" w:rsidP="00C25115">
      <w:pPr>
        <w:spacing w:line="360" w:lineRule="auto"/>
        <w:jc w:val="center"/>
      </w:pPr>
      <w:bookmarkStart w:id="0" w:name="_Hlk140828893"/>
      <w:bookmarkStart w:id="1" w:name="_Hlk178233211"/>
      <w:bookmarkStart w:id="2" w:name="_Hlk154140781"/>
      <w:r w:rsidRPr="006E39B7">
        <w:t xml:space="preserve">privind </w:t>
      </w:r>
      <w:bookmarkEnd w:id="0"/>
      <w:r w:rsidRPr="006E39B7">
        <w:t xml:space="preserve">aprobarea </w:t>
      </w:r>
      <w:bookmarkStart w:id="3" w:name="_Hlk177998372"/>
      <w:r w:rsidRPr="006E39B7">
        <w:t xml:space="preserve">Metodologiei pentru stabilirea indicatorilor de performanță </w:t>
      </w:r>
      <w:r w:rsidR="00743DAE">
        <w:t>în legătură cu</w:t>
      </w:r>
      <w:r w:rsidRPr="006E39B7">
        <w:t xml:space="preserve"> dezvoltarea unei reţele </w:t>
      </w:r>
      <w:r w:rsidR="008A028E">
        <w:t>electrice</w:t>
      </w:r>
      <w:r w:rsidRPr="006E39B7">
        <w:t xml:space="preserve"> care să promoveze eficienţa energetică şi integrarea energiei electrice produs</w:t>
      </w:r>
      <w:r w:rsidR="00AD0F0E">
        <w:t>e</w:t>
      </w:r>
      <w:r w:rsidRPr="006E39B7">
        <w:t xml:space="preserve"> din surse regenerabile</w:t>
      </w:r>
      <w:bookmarkEnd w:id="1"/>
      <w:r w:rsidRPr="006E39B7">
        <w:t xml:space="preserve"> </w:t>
      </w:r>
      <w:bookmarkEnd w:id="2"/>
      <w:bookmarkEnd w:id="3"/>
    </w:p>
    <w:p w:rsidR="00C25115" w:rsidRPr="006E39B7" w:rsidRDefault="00C25115" w:rsidP="00C25115">
      <w:pPr>
        <w:spacing w:line="360" w:lineRule="auto"/>
        <w:jc w:val="both"/>
        <w:rPr>
          <w:sz w:val="16"/>
          <w:szCs w:val="16"/>
        </w:rPr>
      </w:pPr>
    </w:p>
    <w:p w:rsidR="00C25115" w:rsidRPr="006E39B7" w:rsidRDefault="00C25115" w:rsidP="00C25115">
      <w:pPr>
        <w:spacing w:line="360" w:lineRule="auto"/>
        <w:ind w:firstLine="567"/>
        <w:jc w:val="both"/>
        <w:rPr>
          <w:rFonts w:eastAsia="Calibri"/>
          <w:sz w:val="10"/>
          <w:szCs w:val="10"/>
        </w:rPr>
      </w:pPr>
    </w:p>
    <w:p w:rsidR="00C25115" w:rsidRPr="006E39B7" w:rsidRDefault="00C25115" w:rsidP="00C25115">
      <w:pPr>
        <w:spacing w:line="360" w:lineRule="auto"/>
        <w:ind w:firstLine="567"/>
        <w:jc w:val="both"/>
        <w:rPr>
          <w:rFonts w:eastAsia="Calibri"/>
        </w:rPr>
      </w:pPr>
      <w:r w:rsidRPr="006E39B7">
        <w:rPr>
          <w:rFonts w:eastAsia="Calibri"/>
        </w:rPr>
        <w:t>Având în vedere prevederile art. 76 din Metodologia de stabilire a tarifelor pentru serviciul de distribuţie a energiei electrice, aprobată prin ordinul președintelui ANRE nr. 67 din 17/09/2024, precum şi cele ale art. 62 din Metodologia de stabilire a tarifelor pentru serviciul de transport al energiei electrice, aprobată prin ordinul președintelui ANRE nr. 68 din 17/09/2024</w:t>
      </w:r>
    </w:p>
    <w:p w:rsidR="00C25115" w:rsidRPr="006E39B7" w:rsidRDefault="00C25115" w:rsidP="00C25115">
      <w:pPr>
        <w:suppressAutoHyphens/>
        <w:autoSpaceDN w:val="0"/>
        <w:spacing w:line="360" w:lineRule="auto"/>
        <w:ind w:firstLine="567"/>
        <w:jc w:val="both"/>
        <w:textAlignment w:val="baseline"/>
        <w:rPr>
          <w:rFonts w:eastAsia="Calibri"/>
        </w:rPr>
      </w:pPr>
      <w:r w:rsidRPr="006E39B7">
        <w:rPr>
          <w:rFonts w:eastAsia="Calibri"/>
        </w:rPr>
        <w:t>în temeiul dispoziţiilor art. 5 alin. (1) lit. c) din Ordonanța de urgență a Guvernului nr. 33/2007, aprobată cu modificări și completări prin Legea nr. 160/2012, cu modificările și completările ulterioare,</w:t>
      </w:r>
    </w:p>
    <w:p w:rsidR="00C25115" w:rsidRPr="006E39B7" w:rsidRDefault="00C25115" w:rsidP="00C25115">
      <w:pPr>
        <w:suppressAutoHyphens/>
        <w:autoSpaceDN w:val="0"/>
        <w:spacing w:line="360" w:lineRule="auto"/>
        <w:jc w:val="both"/>
        <w:textAlignment w:val="baseline"/>
        <w:rPr>
          <w:rFonts w:eastAsia="Calibri"/>
          <w:sz w:val="16"/>
          <w:szCs w:val="16"/>
        </w:rPr>
      </w:pPr>
    </w:p>
    <w:p w:rsidR="00C25115" w:rsidRPr="006E39B7" w:rsidRDefault="00C25115" w:rsidP="00C25115">
      <w:pPr>
        <w:suppressAutoHyphens/>
        <w:autoSpaceDN w:val="0"/>
        <w:spacing w:line="360" w:lineRule="auto"/>
        <w:jc w:val="center"/>
        <w:textAlignment w:val="baseline"/>
        <w:rPr>
          <w:rFonts w:eastAsia="Calibri"/>
          <w:b/>
          <w:sz w:val="10"/>
          <w:szCs w:val="10"/>
        </w:rPr>
      </w:pPr>
    </w:p>
    <w:p w:rsidR="00C25115" w:rsidRPr="006E39B7" w:rsidRDefault="00C25115" w:rsidP="00C25115">
      <w:pPr>
        <w:suppressAutoHyphens/>
        <w:autoSpaceDN w:val="0"/>
        <w:spacing w:line="360" w:lineRule="auto"/>
        <w:jc w:val="center"/>
        <w:textAlignment w:val="baseline"/>
        <w:rPr>
          <w:rFonts w:eastAsia="Calibri"/>
          <w:b/>
        </w:rPr>
      </w:pPr>
      <w:r w:rsidRPr="006E39B7">
        <w:rPr>
          <w:rFonts w:eastAsia="Calibri"/>
          <w:b/>
        </w:rPr>
        <w:t>președintele Autorității Naționale de Reglementare în Domeniul Energiei emite prezentul ordin</w:t>
      </w:r>
    </w:p>
    <w:p w:rsidR="00C25115" w:rsidRPr="006E39B7" w:rsidRDefault="00C25115" w:rsidP="00C25115">
      <w:pPr>
        <w:suppressAutoHyphens/>
        <w:autoSpaceDN w:val="0"/>
        <w:spacing w:line="360" w:lineRule="auto"/>
        <w:jc w:val="center"/>
        <w:textAlignment w:val="baseline"/>
        <w:rPr>
          <w:rFonts w:eastAsia="Calibri"/>
          <w:b/>
          <w:sz w:val="10"/>
          <w:szCs w:val="10"/>
        </w:rPr>
      </w:pPr>
    </w:p>
    <w:p w:rsidR="00C25115" w:rsidRPr="006E39B7" w:rsidRDefault="00C25115" w:rsidP="00C25115">
      <w:pPr>
        <w:spacing w:line="360" w:lineRule="auto"/>
        <w:jc w:val="both"/>
      </w:pPr>
    </w:p>
    <w:p w:rsidR="00C25115" w:rsidRPr="006E39B7" w:rsidRDefault="00C25115" w:rsidP="00C25115">
      <w:pPr>
        <w:pStyle w:val="ListParagraph"/>
        <w:numPr>
          <w:ilvl w:val="0"/>
          <w:numId w:val="1"/>
        </w:numPr>
        <w:spacing w:line="360" w:lineRule="auto"/>
        <w:jc w:val="both"/>
      </w:pPr>
      <w:bookmarkStart w:id="4" w:name="_Hlk177564129"/>
      <w:r w:rsidRPr="006E39B7">
        <w:rPr>
          <w:rFonts w:eastAsiaTheme="majorEastAsia" w:cstheme="majorBidi"/>
          <w:b/>
        </w:rPr>
        <w:t xml:space="preserve">  </w:t>
      </w:r>
    </w:p>
    <w:bookmarkEnd w:id="4"/>
    <w:p w:rsidR="00C25115" w:rsidRPr="006E39B7" w:rsidRDefault="00C25115" w:rsidP="001F660C">
      <w:pPr>
        <w:spacing w:line="360" w:lineRule="auto"/>
        <w:ind w:firstLine="284"/>
        <w:jc w:val="both"/>
        <w:rPr>
          <w:rFonts w:eastAsiaTheme="majorEastAsia" w:cstheme="majorBidi"/>
        </w:rPr>
      </w:pPr>
      <w:r w:rsidRPr="006E39B7">
        <w:rPr>
          <w:rFonts w:eastAsiaTheme="majorEastAsia" w:cstheme="majorBidi"/>
        </w:rPr>
        <w:t xml:space="preserve">Se aprobă </w:t>
      </w:r>
      <w:bookmarkStart w:id="5" w:name="_Hlk180069155"/>
      <w:r w:rsidRPr="006E39B7">
        <w:rPr>
          <w:rFonts w:eastAsiaTheme="majorEastAsia" w:cstheme="majorBidi"/>
        </w:rPr>
        <w:t xml:space="preserve">Metodologia privind stabilirea indicatorilor de performanță </w:t>
      </w:r>
      <w:r w:rsidR="00743DAE" w:rsidRPr="00743DAE">
        <w:rPr>
          <w:rFonts w:eastAsiaTheme="majorEastAsia" w:cstheme="majorBidi"/>
        </w:rPr>
        <w:t>în legătură cu</w:t>
      </w:r>
      <w:r w:rsidRPr="006E39B7">
        <w:rPr>
          <w:rFonts w:eastAsiaTheme="majorEastAsia" w:cstheme="majorBidi"/>
        </w:rPr>
        <w:t xml:space="preserve"> dezvoltarea unei reţele </w:t>
      </w:r>
      <w:r w:rsidR="008A028E">
        <w:rPr>
          <w:rFonts w:eastAsiaTheme="majorEastAsia" w:cstheme="majorBidi"/>
        </w:rPr>
        <w:t>electrice</w:t>
      </w:r>
      <w:r w:rsidRPr="006E39B7">
        <w:rPr>
          <w:rFonts w:eastAsiaTheme="majorEastAsia" w:cstheme="majorBidi"/>
        </w:rPr>
        <w:t xml:space="preserve"> care să promoveze eficienţa energetică şi integrarea energiei electrice produs</w:t>
      </w:r>
      <w:r w:rsidR="00AD0F0E">
        <w:rPr>
          <w:rFonts w:eastAsiaTheme="majorEastAsia" w:cstheme="majorBidi"/>
        </w:rPr>
        <w:t>e</w:t>
      </w:r>
      <w:r w:rsidRPr="006E39B7">
        <w:rPr>
          <w:rFonts w:eastAsiaTheme="majorEastAsia" w:cstheme="majorBidi"/>
        </w:rPr>
        <w:t xml:space="preserve"> din surse regenerabile</w:t>
      </w:r>
      <w:bookmarkEnd w:id="5"/>
      <w:r w:rsidRPr="006E39B7">
        <w:rPr>
          <w:rFonts w:eastAsiaTheme="majorEastAsia" w:cstheme="majorBidi"/>
        </w:rPr>
        <w:t>,</w:t>
      </w:r>
      <w:r w:rsidRPr="006E39B7">
        <w:t xml:space="preserve"> </w:t>
      </w:r>
      <w:r w:rsidRPr="006E39B7">
        <w:rPr>
          <w:rFonts w:eastAsiaTheme="majorEastAsia" w:cstheme="majorBidi"/>
        </w:rPr>
        <w:t>prevăzută în anexa care face parte integrantă din prezentul ordin.</w:t>
      </w:r>
    </w:p>
    <w:p w:rsidR="00C25115" w:rsidRPr="001F660C" w:rsidRDefault="00C25115" w:rsidP="001F660C">
      <w:pPr>
        <w:pStyle w:val="ListParagraph"/>
        <w:numPr>
          <w:ilvl w:val="0"/>
          <w:numId w:val="1"/>
        </w:numPr>
        <w:spacing w:line="360" w:lineRule="auto"/>
        <w:jc w:val="both"/>
        <w:rPr>
          <w:rFonts w:eastAsiaTheme="majorEastAsia" w:cstheme="majorBidi"/>
          <w:b/>
        </w:rPr>
      </w:pPr>
    </w:p>
    <w:p w:rsidR="00C25115" w:rsidRPr="006E39B7" w:rsidRDefault="00C25115" w:rsidP="001F660C">
      <w:pPr>
        <w:spacing w:line="360" w:lineRule="auto"/>
        <w:ind w:firstLine="284"/>
        <w:jc w:val="both"/>
        <w:rPr>
          <w:rFonts w:eastAsiaTheme="majorEastAsia" w:cstheme="majorBidi"/>
        </w:rPr>
      </w:pPr>
      <w:r w:rsidRPr="006E39B7">
        <w:rPr>
          <w:rFonts w:eastAsiaTheme="majorEastAsia" w:cstheme="majorBidi"/>
        </w:rPr>
        <w:t>Operatorii  de distribuție a energiei electrice</w:t>
      </w:r>
      <w:r w:rsidR="005744E4">
        <w:rPr>
          <w:rFonts w:eastAsiaTheme="majorEastAsia" w:cstheme="majorBidi"/>
        </w:rPr>
        <w:t xml:space="preserve"> concesionari</w:t>
      </w:r>
      <w:r w:rsidRPr="006E39B7">
        <w:rPr>
          <w:rFonts w:eastAsiaTheme="majorEastAsia" w:cstheme="majorBidi"/>
        </w:rPr>
        <w:t xml:space="preserve"> și operatorul de transport și de sistem duc la îndeplinire prevederile prezentului ordin, iar entitățile organizatorice din cadrul Autorității Naționale de Reglementare în Domeniul Energiei urmăresc respectarea prevederilor prezentului ordin.</w:t>
      </w:r>
    </w:p>
    <w:p w:rsidR="00C25115" w:rsidRPr="001F660C" w:rsidRDefault="00C25115" w:rsidP="001F660C">
      <w:pPr>
        <w:pStyle w:val="ListParagraph"/>
        <w:numPr>
          <w:ilvl w:val="0"/>
          <w:numId w:val="1"/>
        </w:numPr>
        <w:spacing w:line="360" w:lineRule="auto"/>
        <w:jc w:val="both"/>
        <w:rPr>
          <w:rFonts w:eastAsiaTheme="majorEastAsia" w:cstheme="majorBidi"/>
          <w:b/>
        </w:rPr>
      </w:pPr>
      <w:bookmarkStart w:id="6" w:name="_Hlk176179093"/>
      <w:r w:rsidRPr="001F660C">
        <w:rPr>
          <w:rFonts w:eastAsiaTheme="majorEastAsia" w:cstheme="majorBidi"/>
          <w:b/>
        </w:rPr>
        <w:t xml:space="preserve"> </w:t>
      </w:r>
    </w:p>
    <w:bookmarkEnd w:id="6"/>
    <w:p w:rsidR="00C25115" w:rsidRPr="006E39B7" w:rsidRDefault="00C25115" w:rsidP="001F660C">
      <w:pPr>
        <w:spacing w:line="360" w:lineRule="auto"/>
        <w:ind w:firstLine="284"/>
        <w:jc w:val="both"/>
        <w:rPr>
          <w:rFonts w:eastAsiaTheme="majorEastAsia" w:cstheme="majorBidi"/>
        </w:rPr>
      </w:pPr>
      <w:r w:rsidRPr="006E39B7">
        <w:rPr>
          <w:rFonts w:eastAsiaTheme="majorEastAsia" w:cstheme="majorBidi"/>
        </w:rPr>
        <w:t>Prezentul ordin se publică în Monitorul Oficial al României, Partea I.</w:t>
      </w:r>
    </w:p>
    <w:p w:rsidR="00C25115" w:rsidRPr="006E39B7" w:rsidRDefault="00C25115" w:rsidP="00C25115">
      <w:pPr>
        <w:spacing w:line="360" w:lineRule="auto"/>
        <w:jc w:val="both"/>
        <w:rPr>
          <w:sz w:val="10"/>
          <w:szCs w:val="10"/>
        </w:rPr>
      </w:pPr>
    </w:p>
    <w:p w:rsidR="00C25115" w:rsidRPr="006E39B7" w:rsidRDefault="00C25115" w:rsidP="00C25115">
      <w:pPr>
        <w:spacing w:line="360" w:lineRule="auto"/>
        <w:jc w:val="center"/>
        <w:rPr>
          <w:b/>
          <w:bCs/>
        </w:rPr>
      </w:pPr>
    </w:p>
    <w:p w:rsidR="00C25115" w:rsidRPr="006E39B7" w:rsidRDefault="00C25115" w:rsidP="00C25115">
      <w:pPr>
        <w:spacing w:line="360" w:lineRule="auto"/>
        <w:jc w:val="center"/>
        <w:rPr>
          <w:b/>
          <w:bCs/>
        </w:rPr>
      </w:pPr>
      <w:r w:rsidRPr="006E39B7">
        <w:rPr>
          <w:b/>
          <w:bCs/>
        </w:rPr>
        <w:t>Președintele Autorității Naționale de Reglementare în Domeniul Energiei,</w:t>
      </w:r>
    </w:p>
    <w:p w:rsidR="00C25115" w:rsidRDefault="00C25115" w:rsidP="00C25115">
      <w:pPr>
        <w:spacing w:line="360" w:lineRule="auto"/>
        <w:jc w:val="center"/>
        <w:rPr>
          <w:b/>
          <w:bCs/>
        </w:rPr>
        <w:sectPr w:rsidR="00C25115" w:rsidSect="00C25115">
          <w:footerReference w:type="default" r:id="rId8"/>
          <w:pgSz w:w="12240" w:h="15840"/>
          <w:pgMar w:top="993" w:right="1440" w:bottom="1440" w:left="1440" w:header="708" w:footer="708" w:gutter="0"/>
          <w:cols w:space="708"/>
          <w:docGrid w:linePitch="360"/>
        </w:sectPr>
      </w:pPr>
      <w:r w:rsidRPr="006E39B7">
        <w:rPr>
          <w:b/>
          <w:bCs/>
        </w:rPr>
        <w:t>George – Sergiu NICULESCU</w:t>
      </w:r>
      <w:bookmarkStart w:id="7" w:name="_GoBack"/>
      <w:bookmarkEnd w:id="7"/>
    </w:p>
    <w:tbl>
      <w:tblPr>
        <w:tblStyle w:val="TableGrid"/>
        <w:tblW w:w="8080"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2840"/>
      </w:tblGrid>
      <w:tr w:rsidR="00C25115" w:rsidRPr="006E39B7" w:rsidTr="00CA1E03">
        <w:tc>
          <w:tcPr>
            <w:tcW w:w="5240" w:type="dxa"/>
          </w:tcPr>
          <w:p w:rsidR="00C25115" w:rsidRPr="006E39B7" w:rsidRDefault="00C25115" w:rsidP="00CA1E03">
            <w:pPr>
              <w:spacing w:line="360" w:lineRule="auto"/>
              <w:jc w:val="both"/>
              <w:rPr>
                <w:b/>
                <w:bCs/>
              </w:rPr>
            </w:pPr>
            <w:bookmarkStart w:id="8" w:name="_Hlk54551012"/>
          </w:p>
        </w:tc>
        <w:tc>
          <w:tcPr>
            <w:tcW w:w="2840" w:type="dxa"/>
          </w:tcPr>
          <w:p w:rsidR="00C25115" w:rsidRPr="006E39B7" w:rsidRDefault="00C25115" w:rsidP="00CA1E03">
            <w:pPr>
              <w:spacing w:line="360" w:lineRule="auto"/>
              <w:jc w:val="both"/>
              <w:rPr>
                <w:b/>
                <w:bCs/>
                <w:color w:val="FFFFFF" w:themeColor="background1"/>
              </w:rPr>
            </w:pPr>
          </w:p>
        </w:tc>
      </w:tr>
      <w:tr w:rsidR="00C25115" w:rsidRPr="006E39B7" w:rsidTr="00CA1E03">
        <w:tc>
          <w:tcPr>
            <w:tcW w:w="5240" w:type="dxa"/>
          </w:tcPr>
          <w:p w:rsidR="00C25115" w:rsidRPr="006E39B7" w:rsidRDefault="00C25115" w:rsidP="00CA1E03">
            <w:pPr>
              <w:spacing w:line="360" w:lineRule="auto"/>
              <w:jc w:val="both"/>
              <w:rPr>
                <w:b/>
                <w:bCs/>
              </w:rPr>
            </w:pPr>
          </w:p>
        </w:tc>
        <w:tc>
          <w:tcPr>
            <w:tcW w:w="2840" w:type="dxa"/>
          </w:tcPr>
          <w:p w:rsidR="00C25115" w:rsidRPr="006E39B7" w:rsidRDefault="00C25115" w:rsidP="00CA1E03">
            <w:pPr>
              <w:spacing w:line="360" w:lineRule="auto"/>
              <w:jc w:val="both"/>
              <w:rPr>
                <w:b/>
                <w:bCs/>
                <w:color w:val="FFFFFF" w:themeColor="background1"/>
              </w:rPr>
            </w:pPr>
          </w:p>
        </w:tc>
      </w:tr>
      <w:tr w:rsidR="00C25115" w:rsidRPr="006E39B7" w:rsidTr="00CA1E03">
        <w:tc>
          <w:tcPr>
            <w:tcW w:w="5240" w:type="dxa"/>
          </w:tcPr>
          <w:p w:rsidR="00C25115" w:rsidRPr="006E39B7" w:rsidRDefault="00C25115" w:rsidP="00CA1E03">
            <w:pPr>
              <w:jc w:val="both"/>
              <w:rPr>
                <w:b/>
                <w:bCs/>
              </w:rPr>
            </w:pPr>
          </w:p>
        </w:tc>
        <w:tc>
          <w:tcPr>
            <w:tcW w:w="2840" w:type="dxa"/>
          </w:tcPr>
          <w:p w:rsidR="00C25115" w:rsidRPr="006E39B7" w:rsidRDefault="00C25115" w:rsidP="00CA1E03">
            <w:pPr>
              <w:spacing w:line="360" w:lineRule="auto"/>
              <w:jc w:val="both"/>
              <w:rPr>
                <w:b/>
                <w:bCs/>
                <w:color w:val="FFFFFF" w:themeColor="background1"/>
              </w:rPr>
            </w:pPr>
          </w:p>
        </w:tc>
      </w:tr>
      <w:bookmarkEnd w:id="8"/>
    </w:tbl>
    <w:p w:rsidR="00C25115" w:rsidRDefault="00C25115" w:rsidP="00C25115">
      <w:pPr>
        <w:spacing w:line="360" w:lineRule="auto"/>
        <w:jc w:val="center"/>
        <w:rPr>
          <w:b/>
          <w:bCs/>
        </w:rPr>
        <w:sectPr w:rsidR="00C25115" w:rsidSect="00C25115">
          <w:pgSz w:w="12240" w:h="15840"/>
          <w:pgMar w:top="993" w:right="1440" w:bottom="1440" w:left="1440" w:header="708" w:footer="708" w:gutter="0"/>
          <w:cols w:space="708"/>
          <w:docGrid w:linePitch="360"/>
        </w:sectPr>
      </w:pPr>
    </w:p>
    <w:p w:rsidR="00C25115" w:rsidRPr="006E39B7" w:rsidRDefault="00C25115" w:rsidP="003E30D8">
      <w:pPr>
        <w:pStyle w:val="ListParagraph"/>
        <w:spacing w:line="360" w:lineRule="auto"/>
        <w:jc w:val="right"/>
        <w:rPr>
          <w:rFonts w:eastAsiaTheme="majorEastAsia" w:cstheme="majorBidi"/>
        </w:rPr>
      </w:pPr>
      <w:r w:rsidRPr="006E39B7">
        <w:rPr>
          <w:rFonts w:eastAsiaTheme="majorEastAsia" w:cstheme="majorBidi"/>
        </w:rPr>
        <w:lastRenderedPageBreak/>
        <w:t>ANEXA</w:t>
      </w:r>
    </w:p>
    <w:p w:rsidR="00ED1C00" w:rsidRDefault="00ED1C00" w:rsidP="00C25115">
      <w:pPr>
        <w:pStyle w:val="ListParagraph"/>
        <w:spacing w:line="360" w:lineRule="auto"/>
        <w:jc w:val="center"/>
        <w:rPr>
          <w:b/>
        </w:rPr>
      </w:pPr>
    </w:p>
    <w:p w:rsidR="00C25115" w:rsidRPr="006E39B7" w:rsidRDefault="00C25115" w:rsidP="00C25115">
      <w:pPr>
        <w:pStyle w:val="ListParagraph"/>
        <w:spacing w:line="360" w:lineRule="auto"/>
        <w:jc w:val="center"/>
        <w:rPr>
          <w:b/>
        </w:rPr>
      </w:pPr>
      <w:r w:rsidRPr="006E39B7">
        <w:rPr>
          <w:b/>
        </w:rPr>
        <w:t xml:space="preserve">Metodologie privind stabilirea indicatorilor de performanță </w:t>
      </w:r>
    </w:p>
    <w:p w:rsidR="00C25115" w:rsidRDefault="00743DAE" w:rsidP="003E30D8">
      <w:pPr>
        <w:pStyle w:val="ListParagraph"/>
        <w:spacing w:line="360" w:lineRule="auto"/>
        <w:jc w:val="center"/>
        <w:rPr>
          <w:b/>
        </w:rPr>
      </w:pPr>
      <w:bookmarkStart w:id="9" w:name="_Hlk179885367"/>
      <w:r w:rsidRPr="00743DAE">
        <w:rPr>
          <w:b/>
        </w:rPr>
        <w:t xml:space="preserve">în legătură cu </w:t>
      </w:r>
      <w:r w:rsidR="00C25115" w:rsidRPr="006E39B7">
        <w:rPr>
          <w:b/>
        </w:rPr>
        <w:t xml:space="preserve">dezvoltarea unei reţele </w:t>
      </w:r>
      <w:r w:rsidR="008A028E">
        <w:rPr>
          <w:b/>
        </w:rPr>
        <w:t>electrice</w:t>
      </w:r>
      <w:r w:rsidR="00C25115" w:rsidRPr="006E39B7">
        <w:rPr>
          <w:b/>
        </w:rPr>
        <w:t xml:space="preserve"> care să promoveze eficienţa energetică şi integrarea energiei electrice produs</w:t>
      </w:r>
      <w:r w:rsidR="00AD0F0E">
        <w:rPr>
          <w:b/>
        </w:rPr>
        <w:t>e</w:t>
      </w:r>
      <w:r w:rsidR="00C25115" w:rsidRPr="006E39B7">
        <w:rPr>
          <w:b/>
        </w:rPr>
        <w:t xml:space="preserve"> din surse regenerabile</w:t>
      </w:r>
      <w:bookmarkEnd w:id="9"/>
    </w:p>
    <w:p w:rsidR="00ED1C00" w:rsidRDefault="00ED1C00" w:rsidP="00C25115">
      <w:pPr>
        <w:pStyle w:val="HeadingNumber01"/>
        <w:rPr>
          <w:shd w:val="clear" w:color="auto" w:fill="FFFFFF"/>
        </w:rPr>
      </w:pPr>
    </w:p>
    <w:p w:rsidR="00C25115" w:rsidRPr="006E39B7" w:rsidRDefault="00C25115" w:rsidP="00C25115">
      <w:pPr>
        <w:pStyle w:val="HeadingNumber01"/>
        <w:rPr>
          <w:shd w:val="clear" w:color="auto" w:fill="FFFFFF"/>
        </w:rPr>
      </w:pPr>
      <w:r w:rsidRPr="006E39B7">
        <w:rPr>
          <w:shd w:val="clear" w:color="auto" w:fill="FFFFFF"/>
        </w:rPr>
        <w:t>1. Scop</w:t>
      </w:r>
    </w:p>
    <w:p w:rsidR="00C25115" w:rsidRPr="006E39B7" w:rsidRDefault="00C25115" w:rsidP="00EF2206">
      <w:pPr>
        <w:pStyle w:val="ListParagraph"/>
        <w:numPr>
          <w:ilvl w:val="0"/>
          <w:numId w:val="2"/>
        </w:numPr>
        <w:spacing w:line="360" w:lineRule="auto"/>
        <w:ind w:left="709"/>
        <w:jc w:val="both"/>
        <w:rPr>
          <w:rFonts w:eastAsia="Times New Roman"/>
          <w:color w:val="000000"/>
          <w:shd w:val="clear" w:color="auto" w:fill="FFFFFF"/>
        </w:rPr>
      </w:pPr>
      <w:bookmarkStart w:id="10" w:name="_Hlk178071642"/>
    </w:p>
    <w:bookmarkEnd w:id="10"/>
    <w:p w:rsidR="00C25115" w:rsidRPr="006E39B7" w:rsidRDefault="00C25115" w:rsidP="00C25115">
      <w:pPr>
        <w:spacing w:line="360" w:lineRule="auto"/>
        <w:ind w:firstLine="284"/>
        <w:jc w:val="both"/>
        <w:rPr>
          <w:rFonts w:eastAsia="Times New Roman"/>
          <w:color w:val="000000"/>
          <w:shd w:val="clear" w:color="auto" w:fill="FFFFFF"/>
        </w:rPr>
      </w:pPr>
      <w:r w:rsidRPr="006E39B7">
        <w:rPr>
          <w:rFonts w:eastAsia="Times New Roman"/>
          <w:color w:val="000000"/>
          <w:shd w:val="clear" w:color="auto" w:fill="FFFFFF"/>
        </w:rPr>
        <w:t xml:space="preserve">Prezenta metodologie stabileşte indicatorii prin care se evaluează performanța înregistrată de </w:t>
      </w:r>
      <w:r w:rsidRPr="006E39B7">
        <w:rPr>
          <w:rFonts w:eastAsiaTheme="majorEastAsia" w:cstheme="majorBidi"/>
        </w:rPr>
        <w:t>operatorii de distribuție a energiei electrice concesionari și de operatorul de transport și de sistem</w:t>
      </w:r>
      <w:r w:rsidRPr="006E39B7">
        <w:rPr>
          <w:rFonts w:eastAsia="Times New Roman"/>
          <w:color w:val="000000"/>
          <w:shd w:val="clear" w:color="auto" w:fill="FFFFFF"/>
        </w:rPr>
        <w:t xml:space="preserve"> cu privire la dezvoltarea unei reţele </w:t>
      </w:r>
      <w:r w:rsidR="008A028E">
        <w:rPr>
          <w:rFonts w:eastAsia="Times New Roman"/>
          <w:color w:val="000000"/>
          <w:shd w:val="clear" w:color="auto" w:fill="FFFFFF"/>
        </w:rPr>
        <w:t>electrice</w:t>
      </w:r>
      <w:r w:rsidRPr="006E39B7">
        <w:rPr>
          <w:rFonts w:eastAsia="Times New Roman"/>
          <w:color w:val="000000"/>
          <w:shd w:val="clear" w:color="auto" w:fill="FFFFFF"/>
        </w:rPr>
        <w:t xml:space="preserve"> care să promoveze eficienţa energetică şi integrarea energiei electrice produs</w:t>
      </w:r>
      <w:r w:rsidR="00AD0F0E">
        <w:rPr>
          <w:rFonts w:eastAsia="Times New Roman"/>
          <w:color w:val="000000"/>
          <w:shd w:val="clear" w:color="auto" w:fill="FFFFFF"/>
        </w:rPr>
        <w:t>e</w:t>
      </w:r>
      <w:r w:rsidRPr="006E39B7">
        <w:rPr>
          <w:rFonts w:eastAsia="Times New Roman"/>
          <w:color w:val="000000"/>
          <w:shd w:val="clear" w:color="auto" w:fill="FFFFFF"/>
        </w:rPr>
        <w:t xml:space="preserve"> din surse regenerabile, a unităților de stocare energie și a serviciilor de flexibilitate, modul de determinare a valorii acestor indicatori și condițiile pentru aplicarea prevederilor reglementărilor în vigoare privind acordarea de stimulente sau penalități</w:t>
      </w:r>
      <w:r w:rsidR="00217CB9">
        <w:rPr>
          <w:rFonts w:eastAsia="Times New Roman"/>
          <w:color w:val="000000"/>
          <w:shd w:val="clear" w:color="auto" w:fill="FFFFFF"/>
        </w:rPr>
        <w:t xml:space="preserve"> în legătură cu valorile acestor indicatori</w:t>
      </w:r>
      <w:r w:rsidRPr="006E39B7">
        <w:rPr>
          <w:rFonts w:eastAsia="Times New Roman"/>
          <w:color w:val="000000"/>
          <w:shd w:val="clear" w:color="auto" w:fill="FFFFFF"/>
        </w:rPr>
        <w:t>.</w:t>
      </w:r>
    </w:p>
    <w:p w:rsidR="00C25115" w:rsidRPr="006E39B7" w:rsidRDefault="00C25115" w:rsidP="00C25115">
      <w:pPr>
        <w:pStyle w:val="HeadingNumber01"/>
        <w:rPr>
          <w:shd w:val="clear" w:color="auto" w:fill="FFFFFF"/>
        </w:rPr>
      </w:pPr>
      <w:r w:rsidRPr="006E39B7">
        <w:rPr>
          <w:shd w:val="clear" w:color="auto" w:fill="FFFFFF"/>
        </w:rPr>
        <w:t>2. Domeniu de aplicare</w:t>
      </w:r>
    </w:p>
    <w:p w:rsidR="00C25115" w:rsidRPr="006E39B7" w:rsidRDefault="00C25115" w:rsidP="00EF2206">
      <w:pPr>
        <w:pStyle w:val="ListParagraph"/>
        <w:numPr>
          <w:ilvl w:val="0"/>
          <w:numId w:val="2"/>
        </w:numPr>
        <w:spacing w:line="360" w:lineRule="auto"/>
        <w:ind w:left="709"/>
        <w:jc w:val="both"/>
        <w:rPr>
          <w:rFonts w:eastAsia="Times New Roman"/>
          <w:color w:val="000000"/>
          <w:shd w:val="clear" w:color="auto" w:fill="FFFFFF"/>
        </w:rPr>
      </w:pPr>
      <w:bookmarkStart w:id="11" w:name="_Hlk178072236"/>
    </w:p>
    <w:bookmarkEnd w:id="11"/>
    <w:p w:rsidR="00C25115" w:rsidRPr="006E39B7" w:rsidRDefault="00C25115" w:rsidP="00EF2206">
      <w:pPr>
        <w:spacing w:line="360" w:lineRule="auto"/>
        <w:ind w:firstLine="284"/>
        <w:jc w:val="both"/>
        <w:rPr>
          <w:rFonts w:eastAsia="Times New Roman"/>
          <w:color w:val="000000"/>
          <w:shd w:val="clear" w:color="auto" w:fill="FFFFFF"/>
        </w:rPr>
      </w:pPr>
      <w:r w:rsidRPr="006E39B7">
        <w:rPr>
          <w:rFonts w:eastAsia="Times New Roman"/>
          <w:color w:val="000000"/>
          <w:shd w:val="clear" w:color="auto" w:fill="FFFFFF"/>
        </w:rPr>
        <w:t>Prezenta metodologie este utilizată de către:</w:t>
      </w:r>
    </w:p>
    <w:p w:rsidR="00C25115" w:rsidRPr="006E39B7" w:rsidRDefault="00C25115" w:rsidP="00C25115">
      <w:pPr>
        <w:pStyle w:val="ListParagraph"/>
        <w:numPr>
          <w:ilvl w:val="0"/>
          <w:numId w:val="3"/>
        </w:numPr>
        <w:spacing w:line="360" w:lineRule="auto"/>
        <w:ind w:left="709"/>
        <w:jc w:val="both"/>
        <w:rPr>
          <w:rFonts w:eastAsia="Times New Roman"/>
          <w:color w:val="000000"/>
          <w:shd w:val="clear" w:color="auto" w:fill="FFFFFF"/>
        </w:rPr>
      </w:pPr>
      <w:r w:rsidRPr="006E39B7">
        <w:rPr>
          <w:rFonts w:eastAsia="Times New Roman"/>
          <w:color w:val="000000"/>
          <w:shd w:val="clear" w:color="auto" w:fill="FFFFFF"/>
        </w:rPr>
        <w:t xml:space="preserve">operatorii de distribuţie a energiei electrice concesionari, pentru organizarea activităților pentru colectarea și înregistrarea datelor necesare determinării indicatorilor și pentru calculul indicatorilor, </w:t>
      </w:r>
      <w:r w:rsidR="00217CB9">
        <w:rPr>
          <w:rFonts w:eastAsia="Times New Roman"/>
          <w:color w:val="000000"/>
          <w:shd w:val="clear" w:color="auto" w:fill="FFFFFF"/>
        </w:rPr>
        <w:t xml:space="preserve">precum şi pentru </w:t>
      </w:r>
      <w:r w:rsidRPr="006E39B7">
        <w:rPr>
          <w:rFonts w:eastAsia="Times New Roman"/>
          <w:color w:val="000000"/>
          <w:shd w:val="clear" w:color="auto" w:fill="FFFFFF"/>
        </w:rPr>
        <w:t xml:space="preserve">întocmirea și transmiterea raportărilor prevăzute în prezenta metodologie; </w:t>
      </w:r>
    </w:p>
    <w:p w:rsidR="00C25115" w:rsidRPr="006E39B7" w:rsidRDefault="00C25115" w:rsidP="00C25115">
      <w:pPr>
        <w:pStyle w:val="ListParagraph"/>
        <w:numPr>
          <w:ilvl w:val="0"/>
          <w:numId w:val="3"/>
        </w:numPr>
        <w:spacing w:line="360" w:lineRule="auto"/>
        <w:ind w:left="709" w:hanging="425"/>
        <w:jc w:val="both"/>
        <w:rPr>
          <w:rFonts w:eastAsia="Times New Roman"/>
          <w:color w:val="000000"/>
          <w:shd w:val="clear" w:color="auto" w:fill="FFFFFF"/>
        </w:rPr>
      </w:pPr>
      <w:r w:rsidRPr="006E39B7">
        <w:rPr>
          <w:rFonts w:eastAsia="Times New Roman"/>
        </w:rPr>
        <w:t>operatorul de transport și de s</w:t>
      </w:r>
      <w:r>
        <w:rPr>
          <w:rFonts w:eastAsia="Times New Roman"/>
        </w:rPr>
        <w:t>i</w:t>
      </w:r>
      <w:r w:rsidRPr="006E39B7">
        <w:rPr>
          <w:rFonts w:eastAsia="Times New Roman"/>
        </w:rPr>
        <w:t xml:space="preserve">stem, </w:t>
      </w:r>
      <w:r w:rsidRPr="006E39B7">
        <w:rPr>
          <w:rFonts w:eastAsia="Times New Roman"/>
          <w:color w:val="000000"/>
          <w:shd w:val="clear" w:color="auto" w:fill="FFFFFF"/>
        </w:rPr>
        <w:t xml:space="preserve">pentru organizarea activităților pentru colectarea și înregistrarea datelor necesare determinării indicatorilor și </w:t>
      </w:r>
      <w:r>
        <w:rPr>
          <w:rFonts w:eastAsia="Times New Roman"/>
          <w:color w:val="000000"/>
          <w:shd w:val="clear" w:color="auto" w:fill="FFFFFF"/>
        </w:rPr>
        <w:t>pentru calculul indicatorilor,</w:t>
      </w:r>
      <w:r w:rsidR="00217CB9" w:rsidRPr="00217CB9">
        <w:rPr>
          <w:rFonts w:eastAsia="Times New Roman"/>
          <w:color w:val="000000"/>
          <w:shd w:val="clear" w:color="auto" w:fill="FFFFFF"/>
        </w:rPr>
        <w:t xml:space="preserve"> </w:t>
      </w:r>
      <w:r w:rsidR="00217CB9">
        <w:rPr>
          <w:rFonts w:eastAsia="Times New Roman"/>
          <w:color w:val="000000"/>
          <w:shd w:val="clear" w:color="auto" w:fill="FFFFFF"/>
        </w:rPr>
        <w:t>precum şi pentru</w:t>
      </w:r>
      <w:r>
        <w:rPr>
          <w:rFonts w:eastAsia="Times New Roman"/>
          <w:color w:val="000000"/>
          <w:shd w:val="clear" w:color="auto" w:fill="FFFFFF"/>
        </w:rPr>
        <w:t xml:space="preserve"> </w:t>
      </w:r>
      <w:r w:rsidRPr="006E39B7">
        <w:rPr>
          <w:rFonts w:eastAsia="Times New Roman"/>
          <w:color w:val="000000"/>
          <w:shd w:val="clear" w:color="auto" w:fill="FFFFFF"/>
        </w:rPr>
        <w:t xml:space="preserve">întocmirea și transmiterea raportărilor prevăzute în prezenta metodologie; </w:t>
      </w:r>
    </w:p>
    <w:p w:rsidR="00C25115" w:rsidRPr="006E39B7" w:rsidRDefault="00C25115" w:rsidP="00C25115">
      <w:pPr>
        <w:pStyle w:val="ListParagraph"/>
        <w:numPr>
          <w:ilvl w:val="0"/>
          <w:numId w:val="3"/>
        </w:numPr>
        <w:spacing w:line="360" w:lineRule="auto"/>
        <w:ind w:left="709" w:hanging="425"/>
        <w:jc w:val="both"/>
        <w:rPr>
          <w:rFonts w:eastAsia="Times New Roman"/>
          <w:color w:val="000000"/>
          <w:shd w:val="clear" w:color="auto" w:fill="FFFFFF"/>
        </w:rPr>
      </w:pPr>
      <w:r w:rsidRPr="006E39B7">
        <w:rPr>
          <w:rFonts w:eastAsia="Times New Roman"/>
          <w:color w:val="000000"/>
          <w:shd w:val="clear" w:color="auto" w:fill="FFFFFF"/>
        </w:rPr>
        <w:t>Autoritatea Naţională de Reglementare în Domeniul Energiei, în procesul de analiză a datelor transmise de operatorii de rețea, în vederea aplicării prevederilor reglementărilor în vigoare privind acordarea de stimulente sau penalități</w:t>
      </w:r>
      <w:r w:rsidR="00217CB9" w:rsidRPr="00217CB9">
        <w:rPr>
          <w:rFonts w:eastAsia="Times New Roman"/>
          <w:color w:val="000000"/>
          <w:shd w:val="clear" w:color="auto" w:fill="FFFFFF"/>
        </w:rPr>
        <w:t xml:space="preserve"> </w:t>
      </w:r>
      <w:r w:rsidR="00217CB9">
        <w:rPr>
          <w:rFonts w:eastAsia="Times New Roman"/>
          <w:color w:val="000000"/>
          <w:shd w:val="clear" w:color="auto" w:fill="FFFFFF"/>
        </w:rPr>
        <w:t>în legătură cu valorile indicatorilor de performanţă prevăzuţi de prezenta metodologie</w:t>
      </w:r>
      <w:r w:rsidRPr="006E39B7">
        <w:rPr>
          <w:rFonts w:eastAsia="Times New Roman"/>
          <w:color w:val="000000"/>
          <w:shd w:val="clear" w:color="auto" w:fill="FFFFFF"/>
        </w:rPr>
        <w:t>.</w:t>
      </w:r>
    </w:p>
    <w:p w:rsidR="00C25115" w:rsidRPr="006E39B7" w:rsidRDefault="00C25115" w:rsidP="00C25115">
      <w:pPr>
        <w:pStyle w:val="HeadingNumber01"/>
        <w:rPr>
          <w:shd w:val="clear" w:color="auto" w:fill="FFFFFF"/>
        </w:rPr>
      </w:pPr>
      <w:r w:rsidRPr="006E39B7">
        <w:rPr>
          <w:shd w:val="clear" w:color="auto" w:fill="FFFFFF"/>
        </w:rPr>
        <w:lastRenderedPageBreak/>
        <w:t>3. Definiţii şi abrevieri</w:t>
      </w:r>
    </w:p>
    <w:p w:rsidR="00C25115" w:rsidRPr="006E39B7" w:rsidRDefault="00C25115" w:rsidP="00EF2206">
      <w:pPr>
        <w:pStyle w:val="ListParagraph"/>
        <w:numPr>
          <w:ilvl w:val="0"/>
          <w:numId w:val="2"/>
        </w:numPr>
        <w:spacing w:line="360" w:lineRule="auto"/>
        <w:ind w:left="709"/>
        <w:jc w:val="both"/>
        <w:rPr>
          <w:rFonts w:eastAsia="Times New Roman"/>
          <w:color w:val="000000"/>
          <w:shd w:val="clear" w:color="auto" w:fill="FFFFFF"/>
        </w:rPr>
      </w:pPr>
      <w:bookmarkStart w:id="12" w:name="_Hlk178074751"/>
    </w:p>
    <w:bookmarkEnd w:id="12"/>
    <w:p w:rsidR="00AD0F0E" w:rsidRDefault="00AD0F0E" w:rsidP="00743DAE">
      <w:pPr>
        <w:spacing w:line="360" w:lineRule="auto"/>
        <w:ind w:firstLine="284"/>
        <w:jc w:val="both"/>
        <w:rPr>
          <w:rFonts w:eastAsia="Times New Roman"/>
          <w:color w:val="000000"/>
          <w:shd w:val="clear" w:color="auto" w:fill="FFFFFF"/>
        </w:rPr>
      </w:pPr>
      <w:r>
        <w:rPr>
          <w:rFonts w:eastAsia="Times New Roman"/>
          <w:color w:val="000000"/>
          <w:shd w:val="clear" w:color="auto" w:fill="FFFFFF"/>
        </w:rPr>
        <w:t xml:space="preserve">(1) Termenii utilizaţi în prezenta metodologie au </w:t>
      </w:r>
      <w:r w:rsidRPr="00111F3C">
        <w:rPr>
          <w:rFonts w:eastAsia="Times New Roman"/>
          <w:color w:val="000000"/>
          <w:shd w:val="clear" w:color="auto" w:fill="FFFFFF"/>
        </w:rPr>
        <w:t xml:space="preserve">semnificaţia prevăzută în </w:t>
      </w:r>
      <w:r w:rsidR="006D4EA7">
        <w:rPr>
          <w:rFonts w:eastAsia="Times New Roman"/>
          <w:color w:val="000000"/>
          <w:shd w:val="clear" w:color="auto" w:fill="FFFFFF"/>
        </w:rPr>
        <w:t>L</w:t>
      </w:r>
      <w:r w:rsidRPr="00111F3C">
        <w:rPr>
          <w:rStyle w:val="slitbdy"/>
          <w:rFonts w:ascii="Times New Roman" w:eastAsia="Times New Roman" w:hAnsi="Times New Roman"/>
          <w:sz w:val="24"/>
          <w:szCs w:val="24"/>
        </w:rPr>
        <w:t>egea energiei electrice şi a gazelor naturale</w:t>
      </w:r>
      <w:r w:rsidR="00111F3C" w:rsidRPr="00111F3C">
        <w:rPr>
          <w:rStyle w:val="slitbdy"/>
          <w:rFonts w:ascii="Times New Roman" w:eastAsia="Times New Roman" w:hAnsi="Times New Roman"/>
          <w:sz w:val="24"/>
          <w:szCs w:val="24"/>
        </w:rPr>
        <w:t>,</w:t>
      </w:r>
      <w:r w:rsidRPr="00111F3C">
        <w:rPr>
          <w:rFonts w:eastAsia="Times New Roman"/>
          <w:color w:val="000000"/>
          <w:shd w:val="clear" w:color="auto" w:fill="FFFFFF"/>
        </w:rPr>
        <w:t xml:space="preserve"> Standardul de performanță pentru se</w:t>
      </w:r>
      <w:r w:rsidRPr="006E39B7">
        <w:rPr>
          <w:rFonts w:eastAsia="Times New Roman"/>
          <w:color w:val="000000"/>
          <w:shd w:val="clear" w:color="auto" w:fill="FFFFFF"/>
        </w:rPr>
        <w:t>rviciul de transport al energiei electrice şi pentru serviciul de sistem</w:t>
      </w:r>
      <w:r>
        <w:rPr>
          <w:rFonts w:eastAsia="Times New Roman"/>
          <w:color w:val="000000"/>
          <w:shd w:val="clear" w:color="auto" w:fill="FFFFFF"/>
        </w:rPr>
        <w:t xml:space="preserve"> şi </w:t>
      </w:r>
      <w:r w:rsidRPr="006E39B7">
        <w:rPr>
          <w:rFonts w:eastAsia="Times New Roman"/>
          <w:color w:val="000000"/>
          <w:shd w:val="clear" w:color="auto" w:fill="FFFFFF"/>
        </w:rPr>
        <w:t>Standardul de performanță pentru serviciul de distribuție a energiei electrice</w:t>
      </w:r>
      <w:r>
        <w:rPr>
          <w:rFonts w:eastAsia="Times New Roman"/>
          <w:color w:val="000000"/>
          <w:shd w:val="clear" w:color="auto" w:fill="FFFFFF"/>
        </w:rPr>
        <w:t>.</w:t>
      </w:r>
    </w:p>
    <w:p w:rsidR="00C25115" w:rsidRPr="006E39B7" w:rsidRDefault="00111F3C" w:rsidP="00743DAE">
      <w:pPr>
        <w:spacing w:line="360" w:lineRule="auto"/>
        <w:ind w:firstLine="284"/>
        <w:jc w:val="both"/>
        <w:rPr>
          <w:rFonts w:eastAsia="Times New Roman"/>
          <w:color w:val="000000"/>
          <w:shd w:val="clear" w:color="auto" w:fill="FFFFFF"/>
        </w:rPr>
      </w:pPr>
      <w:r>
        <w:rPr>
          <w:rFonts w:eastAsia="Times New Roman"/>
          <w:color w:val="000000"/>
          <w:shd w:val="clear" w:color="auto" w:fill="FFFFFF"/>
        </w:rPr>
        <w:t xml:space="preserve">(2) </w:t>
      </w:r>
      <w:r w:rsidR="00C25115" w:rsidRPr="006E39B7">
        <w:rPr>
          <w:rFonts w:eastAsia="Times New Roman"/>
          <w:color w:val="000000"/>
          <w:shd w:val="clear" w:color="auto" w:fill="FFFFFF"/>
        </w:rPr>
        <w:t>În înţelesul prezentei metodologii, termenii şi abrevierile utilizate au următoarele semnificaţii:</w:t>
      </w:r>
    </w:p>
    <w:p w:rsidR="00C25115" w:rsidRPr="006E39B7" w:rsidRDefault="00C25115" w:rsidP="00C25115">
      <w:pPr>
        <w:pStyle w:val="ListParagraph"/>
        <w:numPr>
          <w:ilvl w:val="0"/>
          <w:numId w:val="4"/>
        </w:numPr>
        <w:spacing w:line="360" w:lineRule="auto"/>
        <w:jc w:val="both"/>
        <w:rPr>
          <w:rFonts w:eastAsia="Times New Roman"/>
          <w:color w:val="000000"/>
          <w:shd w:val="clear" w:color="auto" w:fill="FFFFFF"/>
        </w:rPr>
      </w:pPr>
      <w:r w:rsidRPr="006E39B7">
        <w:rPr>
          <w:rFonts w:eastAsia="Times New Roman"/>
          <w:color w:val="000000"/>
          <w:shd w:val="clear" w:color="auto" w:fill="FFFFFF"/>
        </w:rPr>
        <w:t>ANRE</w:t>
      </w:r>
      <w:r w:rsidRPr="006E39B7">
        <w:rPr>
          <w:rFonts w:eastAsia="Times New Roman"/>
          <w:color w:val="000000"/>
          <w:shd w:val="clear" w:color="auto" w:fill="FFFFFF"/>
        </w:rPr>
        <w:tab/>
        <w:t>- Autoritatea Naţională de Reglementare în Domeniul Energiei;</w:t>
      </w:r>
    </w:p>
    <w:p w:rsidR="00674029" w:rsidRDefault="00674029" w:rsidP="00C25115">
      <w:pPr>
        <w:pStyle w:val="ListParagraph"/>
        <w:numPr>
          <w:ilvl w:val="0"/>
          <w:numId w:val="4"/>
        </w:numPr>
        <w:spacing w:line="360" w:lineRule="auto"/>
        <w:jc w:val="both"/>
        <w:rPr>
          <w:rFonts w:eastAsia="Times New Roman"/>
          <w:color w:val="000000"/>
          <w:shd w:val="clear" w:color="auto" w:fill="FFFFFF"/>
        </w:rPr>
      </w:pPr>
      <w:r>
        <w:rPr>
          <w:rFonts w:eastAsia="Times New Roman"/>
          <w:color w:val="000000"/>
          <w:shd w:val="clear" w:color="auto" w:fill="FFFFFF"/>
        </w:rPr>
        <w:t>ATR – Aviz tehnic de racordare</w:t>
      </w:r>
    </w:p>
    <w:p w:rsidR="00C25115" w:rsidRPr="006E39B7" w:rsidRDefault="00C25115" w:rsidP="00C25115">
      <w:pPr>
        <w:pStyle w:val="ListParagraph"/>
        <w:numPr>
          <w:ilvl w:val="0"/>
          <w:numId w:val="4"/>
        </w:numPr>
        <w:spacing w:line="360" w:lineRule="auto"/>
        <w:jc w:val="both"/>
        <w:rPr>
          <w:rFonts w:eastAsia="Times New Roman"/>
          <w:color w:val="000000"/>
          <w:shd w:val="clear" w:color="auto" w:fill="FFFFFF"/>
        </w:rPr>
      </w:pPr>
      <w:r w:rsidRPr="006E39B7">
        <w:rPr>
          <w:rFonts w:eastAsia="Times New Roman"/>
          <w:color w:val="000000"/>
          <w:shd w:val="clear" w:color="auto" w:fill="FFFFFF"/>
        </w:rPr>
        <w:t>CTSI – Centrul de telecomandă și supraveghere instalații</w:t>
      </w:r>
    </w:p>
    <w:p w:rsidR="00C25115" w:rsidRPr="006E39B7" w:rsidRDefault="00C25115" w:rsidP="00C25115">
      <w:pPr>
        <w:pStyle w:val="ListParagraph"/>
        <w:numPr>
          <w:ilvl w:val="0"/>
          <w:numId w:val="4"/>
        </w:numPr>
        <w:spacing w:line="360" w:lineRule="auto"/>
        <w:jc w:val="both"/>
        <w:rPr>
          <w:rFonts w:eastAsia="Times New Roman"/>
          <w:color w:val="000000"/>
          <w:shd w:val="clear" w:color="auto" w:fill="FFFFFF"/>
        </w:rPr>
      </w:pPr>
      <w:r w:rsidRPr="006E39B7">
        <w:rPr>
          <w:rFonts w:eastAsia="Times New Roman"/>
          <w:color w:val="000000"/>
          <w:shd w:val="clear" w:color="auto" w:fill="FFFFFF"/>
        </w:rPr>
        <w:t>DLR - Dynamic Line Rating;</w:t>
      </w:r>
    </w:p>
    <w:p w:rsidR="00C25115" w:rsidRPr="006E39B7" w:rsidRDefault="00C25115" w:rsidP="00C25115">
      <w:pPr>
        <w:pStyle w:val="ListParagraph"/>
        <w:numPr>
          <w:ilvl w:val="0"/>
          <w:numId w:val="4"/>
        </w:numPr>
        <w:spacing w:line="360" w:lineRule="auto"/>
        <w:jc w:val="both"/>
        <w:rPr>
          <w:rFonts w:eastAsia="Times New Roman"/>
          <w:color w:val="000000"/>
          <w:shd w:val="clear" w:color="auto" w:fill="FFFFFF"/>
        </w:rPr>
      </w:pPr>
      <w:r w:rsidRPr="006E39B7">
        <w:rPr>
          <w:rFonts w:eastAsia="Times New Roman"/>
          <w:color w:val="000000"/>
          <w:shd w:val="clear" w:color="auto" w:fill="FFFFFF"/>
        </w:rPr>
        <w:t xml:space="preserve">ENS (Energy Not Supplied) - energia nelivrată, definită ca energia </w:t>
      </w:r>
      <w:r w:rsidR="00C63CD4" w:rsidRPr="00C63CD4">
        <w:rPr>
          <w:rFonts w:eastAsia="Times New Roman"/>
          <w:color w:val="000000"/>
          <w:shd w:val="clear" w:color="auto" w:fill="FFFFFF"/>
        </w:rPr>
        <w:t xml:space="preserve">nelivrată </w:t>
      </w:r>
      <w:r w:rsidR="00AF7C47" w:rsidRPr="00C63CD4">
        <w:rPr>
          <w:rStyle w:val="slitbdy"/>
          <w:rFonts w:ascii="Times New Roman" w:eastAsia="Times New Roman" w:hAnsi="Times New Roman"/>
          <w:sz w:val="24"/>
          <w:szCs w:val="24"/>
        </w:rPr>
        <w:t>utilizatorilor/neprodusă în centrale din cauza întreruperilor de lungă durată</w:t>
      </w:r>
      <w:r w:rsidRPr="006E39B7">
        <w:rPr>
          <w:rFonts w:eastAsia="Times New Roman"/>
          <w:color w:val="000000"/>
          <w:shd w:val="clear" w:color="auto" w:fill="FFFFFF"/>
        </w:rPr>
        <w:t>;</w:t>
      </w:r>
    </w:p>
    <w:p w:rsidR="00C25115" w:rsidRPr="006E39B7" w:rsidRDefault="00C25115" w:rsidP="00C25115">
      <w:pPr>
        <w:pStyle w:val="ListParagraph"/>
        <w:numPr>
          <w:ilvl w:val="0"/>
          <w:numId w:val="4"/>
        </w:numPr>
        <w:spacing w:line="360" w:lineRule="auto"/>
        <w:jc w:val="both"/>
        <w:rPr>
          <w:rFonts w:eastAsia="Times New Roman"/>
          <w:color w:val="000000"/>
          <w:shd w:val="clear" w:color="auto" w:fill="FFFFFF"/>
        </w:rPr>
      </w:pPr>
      <w:r w:rsidRPr="006E39B7">
        <w:rPr>
          <w:rFonts w:eastAsia="Times New Roman"/>
          <w:color w:val="000000"/>
          <w:shd w:val="clear" w:color="auto" w:fill="FFFFFF"/>
        </w:rPr>
        <w:t xml:space="preserve">INDLIN - indisponibilitatea medie a LEA, </w:t>
      </w:r>
      <w:r w:rsidR="00C63CD4" w:rsidRPr="00C63CD4">
        <w:rPr>
          <w:rStyle w:val="slitbdy"/>
          <w:rFonts w:ascii="Times New Roman" w:eastAsia="Times New Roman" w:hAnsi="Times New Roman"/>
          <w:sz w:val="24"/>
          <w:szCs w:val="24"/>
        </w:rPr>
        <w:t>determinat</w:t>
      </w:r>
      <w:r w:rsidR="00C63CD4">
        <w:rPr>
          <w:rStyle w:val="slitbdy"/>
          <w:rFonts w:ascii="Times New Roman" w:eastAsia="Times New Roman" w:hAnsi="Times New Roman"/>
          <w:sz w:val="24"/>
          <w:szCs w:val="24"/>
        </w:rPr>
        <w:t>ă</w:t>
      </w:r>
      <w:r w:rsidR="00C63CD4" w:rsidRPr="00C63CD4">
        <w:rPr>
          <w:rStyle w:val="slitbdy"/>
          <w:rFonts w:ascii="Times New Roman" w:eastAsia="Times New Roman" w:hAnsi="Times New Roman"/>
          <w:sz w:val="24"/>
          <w:szCs w:val="24"/>
        </w:rPr>
        <w:t xml:space="preserve"> de evenimentele planificate sau neplanificate</w:t>
      </w:r>
      <w:r w:rsidRPr="006E39B7">
        <w:rPr>
          <w:rFonts w:eastAsia="Times New Roman"/>
          <w:color w:val="000000"/>
          <w:shd w:val="clear" w:color="auto" w:fill="FFFFFF"/>
        </w:rPr>
        <w:t>;</w:t>
      </w:r>
    </w:p>
    <w:p w:rsidR="00C25115" w:rsidRPr="006E39B7" w:rsidRDefault="00C25115" w:rsidP="00C25115">
      <w:pPr>
        <w:pStyle w:val="ListParagraph"/>
        <w:numPr>
          <w:ilvl w:val="0"/>
          <w:numId w:val="4"/>
        </w:numPr>
        <w:spacing w:line="360" w:lineRule="auto"/>
        <w:jc w:val="both"/>
        <w:rPr>
          <w:rFonts w:eastAsia="Times New Roman"/>
          <w:color w:val="000000"/>
          <w:shd w:val="clear" w:color="auto" w:fill="FFFFFF"/>
        </w:rPr>
      </w:pPr>
      <w:r w:rsidRPr="006E39B7">
        <w:rPr>
          <w:rFonts w:eastAsia="Times New Roman"/>
          <w:color w:val="000000"/>
          <w:shd w:val="clear" w:color="auto" w:fill="FFFFFF"/>
        </w:rPr>
        <w:t xml:space="preserve">INDTRA - indisponibilitatea medie a transformatoarelor şi autotransformatoarelor, </w:t>
      </w:r>
      <w:r w:rsidR="00C63CD4" w:rsidRPr="00C63CD4">
        <w:rPr>
          <w:rStyle w:val="slitbdy"/>
          <w:rFonts w:ascii="Times New Roman" w:eastAsia="Times New Roman" w:hAnsi="Times New Roman"/>
          <w:sz w:val="24"/>
          <w:szCs w:val="24"/>
        </w:rPr>
        <w:t>determinată de evenimentele planificate sau neplanificate</w:t>
      </w:r>
      <w:r w:rsidRPr="006E39B7">
        <w:rPr>
          <w:rFonts w:eastAsia="Times New Roman"/>
          <w:color w:val="000000"/>
          <w:shd w:val="clear" w:color="auto" w:fill="FFFFFF"/>
        </w:rPr>
        <w:t>;</w:t>
      </w:r>
    </w:p>
    <w:p w:rsidR="00C25115" w:rsidRPr="006E39B7" w:rsidRDefault="00C25115" w:rsidP="00C25115">
      <w:pPr>
        <w:pStyle w:val="ListParagraph"/>
        <w:numPr>
          <w:ilvl w:val="0"/>
          <w:numId w:val="4"/>
        </w:numPr>
        <w:spacing w:line="360" w:lineRule="auto"/>
        <w:jc w:val="both"/>
        <w:rPr>
          <w:rFonts w:eastAsia="Times New Roman"/>
          <w:color w:val="000000"/>
          <w:shd w:val="clear" w:color="auto" w:fill="FFFFFF"/>
        </w:rPr>
      </w:pPr>
      <w:r w:rsidRPr="006E39B7">
        <w:rPr>
          <w:rFonts w:eastAsia="Times New Roman"/>
          <w:color w:val="000000"/>
          <w:shd w:val="clear" w:color="auto" w:fill="FFFFFF"/>
        </w:rPr>
        <w:t>LEA - linie electrică aeriană;</w:t>
      </w:r>
    </w:p>
    <w:p w:rsidR="00C25115" w:rsidRPr="006E39B7" w:rsidRDefault="00C25115" w:rsidP="00C25115">
      <w:pPr>
        <w:pStyle w:val="ListParagraph"/>
        <w:numPr>
          <w:ilvl w:val="0"/>
          <w:numId w:val="4"/>
        </w:numPr>
        <w:spacing w:line="360" w:lineRule="auto"/>
        <w:jc w:val="both"/>
        <w:rPr>
          <w:rFonts w:eastAsia="Times New Roman"/>
          <w:color w:val="000000"/>
          <w:shd w:val="clear" w:color="auto" w:fill="FFFFFF"/>
        </w:rPr>
      </w:pPr>
      <w:r w:rsidRPr="006E39B7">
        <w:rPr>
          <w:rFonts w:eastAsia="Times New Roman"/>
          <w:color w:val="000000"/>
          <w:shd w:val="clear" w:color="auto" w:fill="FFFFFF"/>
        </w:rPr>
        <w:t>OD – operator de distribuție a energiei electrice concesionar;</w:t>
      </w:r>
    </w:p>
    <w:p w:rsidR="00C25115" w:rsidRPr="006E39B7" w:rsidRDefault="00C25115" w:rsidP="00C25115">
      <w:pPr>
        <w:pStyle w:val="ListParagraph"/>
        <w:numPr>
          <w:ilvl w:val="0"/>
          <w:numId w:val="4"/>
        </w:numPr>
        <w:spacing w:line="360" w:lineRule="auto"/>
        <w:jc w:val="both"/>
        <w:rPr>
          <w:rFonts w:eastAsia="Times New Roman"/>
          <w:color w:val="000000"/>
          <w:shd w:val="clear" w:color="auto" w:fill="FFFFFF"/>
        </w:rPr>
      </w:pPr>
      <w:r w:rsidRPr="006E39B7">
        <w:rPr>
          <w:rFonts w:eastAsia="Times New Roman"/>
          <w:color w:val="000000"/>
          <w:shd w:val="clear" w:color="auto" w:fill="FFFFFF"/>
        </w:rPr>
        <w:t>Operatori de rețea – operatorii de distribuție a energiei electrice concesionari și operatorul de transport și de sistem;</w:t>
      </w:r>
    </w:p>
    <w:p w:rsidR="00C25115" w:rsidRPr="006E39B7" w:rsidRDefault="00C25115" w:rsidP="00C25115">
      <w:pPr>
        <w:pStyle w:val="ListParagraph"/>
        <w:numPr>
          <w:ilvl w:val="0"/>
          <w:numId w:val="4"/>
        </w:numPr>
        <w:spacing w:line="360" w:lineRule="auto"/>
        <w:jc w:val="both"/>
        <w:rPr>
          <w:rFonts w:eastAsia="Times New Roman"/>
          <w:color w:val="000000"/>
          <w:shd w:val="clear" w:color="auto" w:fill="FFFFFF"/>
        </w:rPr>
      </w:pPr>
      <w:r w:rsidRPr="006E39B7">
        <w:rPr>
          <w:rFonts w:eastAsia="Times New Roman"/>
          <w:color w:val="000000"/>
          <w:shd w:val="clear" w:color="auto" w:fill="FFFFFF"/>
        </w:rPr>
        <w:t>OTS - operatorul de transport și de sistem;</w:t>
      </w:r>
    </w:p>
    <w:p w:rsidR="00C25115" w:rsidRPr="006E39B7" w:rsidRDefault="00C25115" w:rsidP="00C25115">
      <w:pPr>
        <w:pStyle w:val="ListParagraph"/>
        <w:numPr>
          <w:ilvl w:val="0"/>
          <w:numId w:val="4"/>
        </w:numPr>
        <w:spacing w:line="360" w:lineRule="auto"/>
        <w:jc w:val="both"/>
        <w:rPr>
          <w:rFonts w:eastAsia="Times New Roman"/>
          <w:color w:val="000000"/>
          <w:shd w:val="clear" w:color="auto" w:fill="FFFFFF"/>
        </w:rPr>
      </w:pPr>
      <w:r w:rsidRPr="006E39B7">
        <w:rPr>
          <w:rFonts w:eastAsia="Times New Roman"/>
          <w:color w:val="000000"/>
          <w:shd w:val="clear" w:color="auto" w:fill="FFFFFF"/>
        </w:rPr>
        <w:t>RRR - rată reglementată a rentabilităţii;</w:t>
      </w:r>
    </w:p>
    <w:p w:rsidR="00C25115" w:rsidRPr="006E39B7" w:rsidRDefault="00C25115" w:rsidP="00C25115">
      <w:pPr>
        <w:pStyle w:val="ListParagraph"/>
        <w:numPr>
          <w:ilvl w:val="0"/>
          <w:numId w:val="4"/>
        </w:numPr>
        <w:spacing w:line="360" w:lineRule="auto"/>
        <w:jc w:val="both"/>
        <w:rPr>
          <w:rFonts w:eastAsia="Times New Roman"/>
          <w:color w:val="000000"/>
          <w:shd w:val="clear" w:color="auto" w:fill="FFFFFF"/>
        </w:rPr>
      </w:pPr>
      <w:r w:rsidRPr="006E39B7">
        <w:rPr>
          <w:rFonts w:eastAsia="Times New Roman"/>
          <w:color w:val="000000"/>
          <w:shd w:val="clear" w:color="auto" w:fill="FFFFFF"/>
        </w:rPr>
        <w:t>SAIDI (System Average Interruption Duration Index) - indicele durata medie a întreruperilor în reţea (sistem)</w:t>
      </w:r>
      <w:r w:rsidR="009E1B0C">
        <w:rPr>
          <w:rFonts w:eastAsia="Times New Roman"/>
          <w:color w:val="000000"/>
          <w:shd w:val="clear" w:color="auto" w:fill="FFFFFF"/>
        </w:rPr>
        <w:t xml:space="preserve"> pentru un utilizator</w:t>
      </w:r>
      <w:r w:rsidRPr="006E39B7">
        <w:rPr>
          <w:rFonts w:eastAsia="Times New Roman"/>
          <w:color w:val="000000"/>
          <w:shd w:val="clear" w:color="auto" w:fill="FFFFFF"/>
        </w:rPr>
        <w:t>;</w:t>
      </w:r>
    </w:p>
    <w:p w:rsidR="00C25115" w:rsidRPr="006E39B7" w:rsidRDefault="00C25115" w:rsidP="00C25115">
      <w:pPr>
        <w:pStyle w:val="ListParagraph"/>
        <w:numPr>
          <w:ilvl w:val="0"/>
          <w:numId w:val="4"/>
        </w:numPr>
        <w:spacing w:line="360" w:lineRule="auto"/>
        <w:jc w:val="both"/>
        <w:rPr>
          <w:rFonts w:eastAsia="Times New Roman"/>
          <w:color w:val="000000"/>
          <w:shd w:val="clear" w:color="auto" w:fill="FFFFFF"/>
        </w:rPr>
      </w:pPr>
      <w:r w:rsidRPr="006E39B7">
        <w:rPr>
          <w:rFonts w:eastAsia="Times New Roman"/>
          <w:color w:val="000000"/>
          <w:shd w:val="clear" w:color="auto" w:fill="FFFFFF"/>
        </w:rPr>
        <w:t>SAIFI (System Average Interruption Frequency Index) - indicele frecvenţa medie a întreruperilor în reţea (sistem)</w:t>
      </w:r>
      <w:r w:rsidR="00A37C73">
        <w:rPr>
          <w:rFonts w:eastAsia="Times New Roman"/>
          <w:color w:val="000000"/>
          <w:shd w:val="clear" w:color="auto" w:fill="FFFFFF"/>
        </w:rPr>
        <w:t xml:space="preserve"> pentru un utilizator</w:t>
      </w:r>
      <w:r w:rsidRPr="006E39B7">
        <w:rPr>
          <w:rFonts w:eastAsia="Times New Roman"/>
          <w:color w:val="000000"/>
          <w:shd w:val="clear" w:color="auto" w:fill="FFFFFF"/>
        </w:rPr>
        <w:t>;</w:t>
      </w:r>
    </w:p>
    <w:p w:rsidR="00C25115" w:rsidRPr="006E39B7" w:rsidRDefault="00C25115" w:rsidP="00C25115">
      <w:pPr>
        <w:pStyle w:val="ListParagraph"/>
        <w:numPr>
          <w:ilvl w:val="0"/>
          <w:numId w:val="4"/>
        </w:numPr>
        <w:spacing w:line="360" w:lineRule="auto"/>
        <w:jc w:val="both"/>
        <w:rPr>
          <w:rFonts w:eastAsia="Times New Roman"/>
          <w:color w:val="000000"/>
          <w:shd w:val="clear" w:color="auto" w:fill="FFFFFF"/>
        </w:rPr>
      </w:pPr>
      <w:r w:rsidRPr="006E39B7">
        <w:rPr>
          <w:rFonts w:eastAsia="Times New Roman"/>
          <w:color w:val="000000"/>
          <w:shd w:val="clear" w:color="auto" w:fill="FFFFFF"/>
        </w:rPr>
        <w:t>SMI – Sistem de măsurare inteligentă a energiei electrice.</w:t>
      </w:r>
    </w:p>
    <w:p w:rsidR="008A028E" w:rsidRDefault="008A028E">
      <w:pPr>
        <w:spacing w:after="160" w:line="259" w:lineRule="auto"/>
        <w:rPr>
          <w:b/>
          <w:sz w:val="28"/>
          <w:shd w:val="clear" w:color="auto" w:fill="FFFFFF"/>
        </w:rPr>
      </w:pPr>
      <w:r>
        <w:rPr>
          <w:shd w:val="clear" w:color="auto" w:fill="FFFFFF"/>
        </w:rPr>
        <w:br w:type="page"/>
      </w:r>
    </w:p>
    <w:p w:rsidR="00C25115" w:rsidRPr="006E39B7" w:rsidRDefault="00C25115" w:rsidP="00C25115">
      <w:pPr>
        <w:pStyle w:val="HeadingNumber01"/>
        <w:rPr>
          <w:shd w:val="clear" w:color="auto" w:fill="FFFFFF"/>
        </w:rPr>
      </w:pPr>
      <w:r w:rsidRPr="006E39B7">
        <w:rPr>
          <w:shd w:val="clear" w:color="auto" w:fill="FFFFFF"/>
        </w:rPr>
        <w:lastRenderedPageBreak/>
        <w:t>4. Reguli şi principii</w:t>
      </w:r>
    </w:p>
    <w:p w:rsidR="00C25115" w:rsidRPr="006E39B7" w:rsidRDefault="00C25115" w:rsidP="00EF2206">
      <w:pPr>
        <w:pStyle w:val="ListParagraph"/>
        <w:numPr>
          <w:ilvl w:val="0"/>
          <w:numId w:val="2"/>
        </w:numPr>
        <w:spacing w:line="360" w:lineRule="auto"/>
        <w:ind w:left="709"/>
        <w:jc w:val="both"/>
        <w:rPr>
          <w:rFonts w:eastAsia="Times New Roman"/>
          <w:color w:val="000000"/>
          <w:shd w:val="clear" w:color="auto" w:fill="FFFFFF"/>
        </w:rPr>
      </w:pPr>
      <w:bookmarkStart w:id="13" w:name="_Hlk178075903"/>
    </w:p>
    <w:bookmarkEnd w:id="13"/>
    <w:p w:rsidR="00C25115" w:rsidRPr="006E39B7" w:rsidRDefault="00C25115" w:rsidP="00215DD9">
      <w:pPr>
        <w:pStyle w:val="ListParagraph"/>
        <w:spacing w:line="360" w:lineRule="auto"/>
        <w:ind w:firstLine="284"/>
        <w:jc w:val="both"/>
        <w:rPr>
          <w:rFonts w:eastAsiaTheme="majorEastAsia" w:cstheme="majorBidi"/>
        </w:rPr>
      </w:pPr>
      <w:r w:rsidRPr="006E39B7">
        <w:rPr>
          <w:rFonts w:eastAsiaTheme="majorEastAsia" w:cstheme="majorBidi"/>
        </w:rPr>
        <w:t xml:space="preserve">Indicatorii pe baza cărora se evaluează anual performanţa realizată de operatorii de rețea cu privire la dezvoltarea unei reţele </w:t>
      </w:r>
      <w:r w:rsidR="008A028E">
        <w:rPr>
          <w:rFonts w:eastAsiaTheme="majorEastAsia" w:cstheme="majorBidi"/>
        </w:rPr>
        <w:t>electrice</w:t>
      </w:r>
      <w:r w:rsidRPr="006E39B7">
        <w:rPr>
          <w:rFonts w:eastAsiaTheme="majorEastAsia" w:cstheme="majorBidi"/>
        </w:rPr>
        <w:t xml:space="preserve"> care să promoveze eficienţa energetică şi integrarea energiei</w:t>
      </w:r>
      <w:r>
        <w:rPr>
          <w:rFonts w:eastAsiaTheme="majorEastAsia" w:cstheme="majorBidi"/>
        </w:rPr>
        <w:t xml:space="preserve"> </w:t>
      </w:r>
      <w:r w:rsidRPr="006E39B7">
        <w:rPr>
          <w:rFonts w:eastAsiaTheme="majorEastAsia" w:cstheme="majorBidi"/>
        </w:rPr>
        <w:t>produse din surse regenerabile și a serviciilor de flexibilitate sunt grupaţi în 3 categorii, după cum urmează:</w:t>
      </w:r>
    </w:p>
    <w:p w:rsidR="00C25115" w:rsidRPr="006E39B7" w:rsidRDefault="00C25115" w:rsidP="00215DD9">
      <w:pPr>
        <w:pStyle w:val="ListParagraph"/>
        <w:numPr>
          <w:ilvl w:val="0"/>
          <w:numId w:val="6"/>
        </w:numPr>
        <w:spacing w:line="360" w:lineRule="auto"/>
        <w:ind w:left="1276"/>
        <w:jc w:val="both"/>
      </w:pPr>
      <w:r w:rsidRPr="006E39B7">
        <w:t>Indicatori care reflectă calitatea serviciului de distribuție, respectiv de transport al energiei electrice;</w:t>
      </w:r>
    </w:p>
    <w:p w:rsidR="00C25115" w:rsidRPr="006E39B7" w:rsidRDefault="00C25115" w:rsidP="00215DD9">
      <w:pPr>
        <w:pStyle w:val="ListParagraph"/>
        <w:numPr>
          <w:ilvl w:val="0"/>
          <w:numId w:val="6"/>
        </w:numPr>
        <w:spacing w:line="360" w:lineRule="auto"/>
        <w:ind w:left="1276"/>
        <w:jc w:val="both"/>
      </w:pPr>
      <w:r w:rsidRPr="006E39B7">
        <w:t>Indicatori care reflectă integrarea producției de energie electrică din surse regenerabile și a serviciilor de flexibilitate;</w:t>
      </w:r>
    </w:p>
    <w:p w:rsidR="00C25115" w:rsidRPr="006E39B7" w:rsidRDefault="00C25115" w:rsidP="00215DD9">
      <w:pPr>
        <w:pStyle w:val="ListParagraph"/>
        <w:numPr>
          <w:ilvl w:val="0"/>
          <w:numId w:val="6"/>
        </w:numPr>
        <w:spacing w:line="360" w:lineRule="auto"/>
        <w:ind w:left="1276"/>
        <w:jc w:val="both"/>
      </w:pPr>
      <w:r w:rsidRPr="006E39B7">
        <w:t>Indicatori care reflectă nivelul de digitalizare a rețelelor electrice.</w:t>
      </w:r>
    </w:p>
    <w:p w:rsidR="00C25115" w:rsidRPr="006E39B7" w:rsidRDefault="00C25115" w:rsidP="00EF2206">
      <w:pPr>
        <w:pStyle w:val="ListParagraph"/>
        <w:numPr>
          <w:ilvl w:val="0"/>
          <w:numId w:val="2"/>
        </w:numPr>
        <w:spacing w:line="360" w:lineRule="auto"/>
        <w:ind w:left="709"/>
        <w:jc w:val="both"/>
        <w:rPr>
          <w:rFonts w:eastAsia="Times New Roman"/>
          <w:color w:val="000000"/>
          <w:shd w:val="clear" w:color="auto" w:fill="FFFFFF"/>
        </w:rPr>
      </w:pPr>
    </w:p>
    <w:p w:rsidR="00C25115" w:rsidRPr="006E39B7" w:rsidRDefault="00C25115" w:rsidP="00C25115">
      <w:pPr>
        <w:pStyle w:val="ListParagraph"/>
        <w:numPr>
          <w:ilvl w:val="0"/>
          <w:numId w:val="7"/>
        </w:numPr>
        <w:spacing w:line="360" w:lineRule="auto"/>
        <w:ind w:left="709"/>
        <w:jc w:val="both"/>
        <w:rPr>
          <w:rFonts w:eastAsiaTheme="majorEastAsia" w:cstheme="majorBidi"/>
        </w:rPr>
      </w:pPr>
      <w:r w:rsidRPr="006E39B7">
        <w:rPr>
          <w:rFonts w:eastAsiaTheme="majorEastAsia" w:cstheme="majorBidi"/>
        </w:rPr>
        <w:t xml:space="preserve">Nivelul de performanță realizat într-un an t de operatorii de rețea se determină prin intermediul unui indicator de performanță compus calculat conform prevederilor </w:t>
      </w:r>
      <w:r w:rsidRPr="00215DD9">
        <w:rPr>
          <w:rFonts w:eastAsiaTheme="majorEastAsia" w:cstheme="majorBidi"/>
        </w:rPr>
        <w:t xml:space="preserve">art. </w:t>
      </w:r>
      <w:r w:rsidR="00743DAE" w:rsidRPr="00215DD9">
        <w:rPr>
          <w:rFonts w:eastAsiaTheme="majorEastAsia" w:cstheme="majorBidi"/>
        </w:rPr>
        <w:t>1</w:t>
      </w:r>
      <w:r w:rsidR="008A028E">
        <w:rPr>
          <w:rFonts w:eastAsiaTheme="majorEastAsia" w:cstheme="majorBidi"/>
        </w:rPr>
        <w:t>3 și art. 17</w:t>
      </w:r>
      <w:r w:rsidRPr="006E39B7">
        <w:rPr>
          <w:rFonts w:eastAsiaTheme="majorEastAsia" w:cstheme="majorBidi"/>
        </w:rPr>
        <w:t xml:space="preserve"> din prezenta metodologie.</w:t>
      </w:r>
    </w:p>
    <w:p w:rsidR="00C25115" w:rsidRPr="006E39B7" w:rsidRDefault="00C25115" w:rsidP="00C25115">
      <w:pPr>
        <w:pStyle w:val="ListParagraph"/>
        <w:numPr>
          <w:ilvl w:val="0"/>
          <w:numId w:val="7"/>
        </w:numPr>
        <w:spacing w:line="360" w:lineRule="auto"/>
        <w:ind w:left="709"/>
        <w:jc w:val="both"/>
        <w:rPr>
          <w:rFonts w:eastAsiaTheme="majorEastAsia" w:cstheme="majorBidi"/>
        </w:rPr>
      </w:pPr>
      <w:r w:rsidRPr="00067C16">
        <w:t xml:space="preserve">Nivelul de performanţă față de care valoarea RRR se majorează sau se diminuează în conformitate cu prevederile art. 76 din </w:t>
      </w:r>
      <w:r w:rsidRPr="00067C16">
        <w:rPr>
          <w:rFonts w:eastAsia="Calibri"/>
        </w:rPr>
        <w:t xml:space="preserve">Metodologia de stabilire a tarifelor pentru serviciul de distribuţie a energiei electrice, aprobată prin ordinul președintelui ANRE nr. 67 din 17/09/2024, respectiv art. 62 din Metodologia de stabilire a tarifelor pentru serviciul de transport al energiei electrice, aprobată prin ordinul președintelui ANRE nr. 68/17.09.2024, corespunde unei </w:t>
      </w:r>
      <w:r w:rsidRPr="00067C16">
        <w:t>valori de referinţă a indicatorului de performanță compus prevăzut la alin. (1), aprobată de ANRE.</w:t>
      </w:r>
    </w:p>
    <w:p w:rsidR="00C25115" w:rsidRPr="006E39B7" w:rsidRDefault="00C25115" w:rsidP="00EF2206">
      <w:pPr>
        <w:pStyle w:val="ListParagraph"/>
        <w:numPr>
          <w:ilvl w:val="0"/>
          <w:numId w:val="2"/>
        </w:numPr>
        <w:spacing w:line="360" w:lineRule="auto"/>
        <w:ind w:left="709"/>
        <w:jc w:val="both"/>
        <w:rPr>
          <w:rFonts w:eastAsia="Times New Roman"/>
          <w:color w:val="000000"/>
          <w:shd w:val="clear" w:color="auto" w:fill="FFFFFF"/>
        </w:rPr>
      </w:pPr>
      <w:bookmarkStart w:id="14" w:name="_Hlk178155893"/>
    </w:p>
    <w:bookmarkEnd w:id="14"/>
    <w:p w:rsidR="00E04F44" w:rsidRPr="00F14B80" w:rsidRDefault="00C25115" w:rsidP="00F14B80">
      <w:pPr>
        <w:spacing w:line="360" w:lineRule="auto"/>
        <w:ind w:left="349"/>
        <w:jc w:val="both"/>
        <w:rPr>
          <w:b/>
          <w:bCs/>
        </w:rPr>
      </w:pPr>
      <w:r w:rsidRPr="00F14B80">
        <w:rPr>
          <w:rFonts w:eastAsiaTheme="majorEastAsia" w:cstheme="majorBidi"/>
        </w:rPr>
        <w:t xml:space="preserve">Raportarea valorilor realizate pentru indicatorii monitorizați şi evaluarea nivelului de performanță prevăzut la art. 5 alin. (1) se efectuează de către operatorii de rețea </w:t>
      </w:r>
      <w:r w:rsidR="003953BB" w:rsidRPr="00F14B80">
        <w:rPr>
          <w:rFonts w:eastAsiaTheme="majorEastAsia" w:cstheme="majorBidi"/>
        </w:rPr>
        <w:t xml:space="preserve">şi ANRE </w:t>
      </w:r>
      <w:r w:rsidRPr="00F14B80">
        <w:rPr>
          <w:rFonts w:eastAsiaTheme="majorEastAsia" w:cstheme="majorBidi"/>
        </w:rPr>
        <w:t xml:space="preserve">anual, începând cu anul al treilea al perioadei a V-a de reglementare. Raportarea şi evaluarea din anul al treilea al perioadei a V-a de reglementare se efectuează pentru primii doi ani ai perioadei a V-a de reglementare. </w:t>
      </w:r>
    </w:p>
    <w:p w:rsidR="00E04F44" w:rsidRPr="006E39B7" w:rsidRDefault="00E04F44" w:rsidP="00EF2206">
      <w:pPr>
        <w:pStyle w:val="ListParagraph"/>
        <w:numPr>
          <w:ilvl w:val="0"/>
          <w:numId w:val="2"/>
        </w:numPr>
        <w:spacing w:line="360" w:lineRule="auto"/>
        <w:ind w:left="709"/>
        <w:jc w:val="both"/>
        <w:rPr>
          <w:rFonts w:eastAsia="Times New Roman"/>
          <w:color w:val="000000"/>
          <w:shd w:val="clear" w:color="auto" w:fill="FFFFFF"/>
        </w:rPr>
      </w:pPr>
    </w:p>
    <w:p w:rsidR="00E04F44" w:rsidRPr="00AF27C8" w:rsidRDefault="00081C55" w:rsidP="00AF27C8">
      <w:pPr>
        <w:spacing w:line="360" w:lineRule="auto"/>
        <w:ind w:firstLine="284"/>
        <w:jc w:val="both"/>
        <w:rPr>
          <w:bCs/>
        </w:rPr>
      </w:pPr>
      <w:r w:rsidRPr="00AF27C8">
        <w:rPr>
          <w:bCs/>
        </w:rPr>
        <w:t>Valorile c</w:t>
      </w:r>
      <w:r w:rsidR="00E04F44" w:rsidRPr="00AF27C8">
        <w:rPr>
          <w:bCs/>
        </w:rPr>
        <w:t>oeficienți</w:t>
      </w:r>
      <w:r w:rsidRPr="00AF27C8">
        <w:rPr>
          <w:bCs/>
        </w:rPr>
        <w:t>lor</w:t>
      </w:r>
      <w:r w:rsidR="00E04F44" w:rsidRPr="00AF27C8">
        <w:rPr>
          <w:bCs/>
        </w:rPr>
        <w:t xml:space="preserve"> de ponderare a indicatorilor din categoriile A</w:t>
      </w:r>
      <w:r w:rsidRPr="00AF27C8">
        <w:rPr>
          <w:bCs/>
        </w:rPr>
        <w:t>,</w:t>
      </w:r>
      <w:r w:rsidR="00E04F44" w:rsidRPr="00AF27C8">
        <w:rPr>
          <w:bCs/>
        </w:rPr>
        <w:t xml:space="preserve"> B </w:t>
      </w:r>
      <w:r w:rsidRPr="00AF27C8">
        <w:rPr>
          <w:bCs/>
        </w:rPr>
        <w:t xml:space="preserve">şi C </w:t>
      </w:r>
      <w:r w:rsidR="00E04F44" w:rsidRPr="00AF27C8">
        <w:rPr>
          <w:bCs/>
        </w:rPr>
        <w:t xml:space="preserve">se stabilesc </w:t>
      </w:r>
      <w:r w:rsidRPr="00AF27C8">
        <w:rPr>
          <w:bCs/>
        </w:rPr>
        <w:t xml:space="preserve">astfel încât suma </w:t>
      </w:r>
      <w:r w:rsidR="00D156CD">
        <w:rPr>
          <w:bCs/>
        </w:rPr>
        <w:t>indicatorilor din fiecare categorie</w:t>
      </w:r>
      <w:r w:rsidRPr="00AF27C8">
        <w:rPr>
          <w:bCs/>
        </w:rPr>
        <w:t xml:space="preserve"> să fie egală cu</w:t>
      </w:r>
      <w:r w:rsidR="00E04F44" w:rsidRPr="00AF27C8">
        <w:rPr>
          <w:bCs/>
        </w:rPr>
        <w:t xml:space="preserve"> 100%.</w:t>
      </w:r>
    </w:p>
    <w:p w:rsidR="00E04F44" w:rsidRPr="006E39B7" w:rsidRDefault="00E04F44" w:rsidP="00AF27C8">
      <w:pPr>
        <w:pStyle w:val="ListParagraph"/>
        <w:numPr>
          <w:ilvl w:val="0"/>
          <w:numId w:val="2"/>
        </w:numPr>
        <w:spacing w:line="360" w:lineRule="auto"/>
        <w:ind w:left="0" w:firstLine="349"/>
        <w:jc w:val="both"/>
        <w:rPr>
          <w:rFonts w:eastAsia="Times New Roman"/>
          <w:color w:val="000000"/>
          <w:shd w:val="clear" w:color="auto" w:fill="FFFFFF"/>
        </w:rPr>
      </w:pPr>
    </w:p>
    <w:p w:rsidR="00E04F44" w:rsidRDefault="003E723F" w:rsidP="003E723F">
      <w:pPr>
        <w:pStyle w:val="ListParagraph"/>
        <w:numPr>
          <w:ilvl w:val="0"/>
          <w:numId w:val="8"/>
        </w:numPr>
        <w:spacing w:line="360" w:lineRule="auto"/>
        <w:jc w:val="both"/>
        <w:rPr>
          <w:bCs/>
        </w:rPr>
      </w:pPr>
      <w:r w:rsidRPr="003E723F">
        <w:rPr>
          <w:bCs/>
        </w:rPr>
        <w:t xml:space="preserve">Nivelul de performanță realizat </w:t>
      </w:r>
      <w:r w:rsidR="003E4E89" w:rsidRPr="006E39B7">
        <w:rPr>
          <w:rFonts w:eastAsiaTheme="majorEastAsia" w:cstheme="majorBidi"/>
        </w:rPr>
        <w:t>într-un an t</w:t>
      </w:r>
      <w:r w:rsidRPr="003E723F">
        <w:rPr>
          <w:bCs/>
        </w:rPr>
        <w:t xml:space="preserve"> aferent indicatorilor </w:t>
      </w:r>
      <w:r w:rsidR="00177B90">
        <w:rPr>
          <w:bCs/>
        </w:rPr>
        <w:t>di</w:t>
      </w:r>
      <w:r w:rsidRPr="003E723F">
        <w:rPr>
          <w:bCs/>
        </w:rPr>
        <w:t>n categoria C se determină prin raportarea la valori țintă stabilite pentru fiecare indicator.</w:t>
      </w:r>
    </w:p>
    <w:p w:rsidR="003E723F" w:rsidRPr="006E39B7" w:rsidRDefault="003E723F" w:rsidP="003E723F">
      <w:pPr>
        <w:pStyle w:val="ListParagraph"/>
        <w:numPr>
          <w:ilvl w:val="0"/>
          <w:numId w:val="8"/>
        </w:numPr>
        <w:spacing w:line="360" w:lineRule="auto"/>
        <w:jc w:val="both"/>
        <w:rPr>
          <w:rFonts w:eastAsiaTheme="majorEastAsia" w:cstheme="majorBidi"/>
        </w:rPr>
      </w:pPr>
      <w:r w:rsidRPr="006E39B7">
        <w:rPr>
          <w:rFonts w:eastAsiaTheme="majorEastAsia" w:cstheme="majorBidi"/>
        </w:rPr>
        <w:t>Pentru stabilirea țintelor necesare determinării nivelului de performanță reflectat prin indicatorii din categoria C:</w:t>
      </w:r>
    </w:p>
    <w:p w:rsidR="003E723F" w:rsidRDefault="003E723F" w:rsidP="003E723F">
      <w:pPr>
        <w:pStyle w:val="ListParagraph"/>
        <w:numPr>
          <w:ilvl w:val="1"/>
          <w:numId w:val="8"/>
        </w:numPr>
        <w:spacing w:line="360" w:lineRule="auto"/>
        <w:jc w:val="both"/>
        <w:rPr>
          <w:rFonts w:eastAsiaTheme="majorEastAsia" w:cstheme="majorBidi"/>
        </w:rPr>
      </w:pPr>
      <w:r w:rsidRPr="006E39B7">
        <w:rPr>
          <w:rFonts w:eastAsiaTheme="majorEastAsia" w:cstheme="majorBidi"/>
        </w:rPr>
        <w:t xml:space="preserve"> operatorii de rețea realizează, într-o perioadă de maxim doi ani de la data aprobării prezentului ordin, studii și analize privind necesarul de digitalizare a rețelelor electrice în funcție de configurația și starea rețelelor, regimurile de funcționare, prognozele pe termen mediu și lung privind cererea de consum și rezerva de capacitate necesară pentru integrarea producției </w:t>
      </w:r>
      <w:r w:rsidR="008E3E37">
        <w:rPr>
          <w:rFonts w:eastAsiaTheme="majorEastAsia" w:cstheme="majorBidi"/>
        </w:rPr>
        <w:t>de energie electrică</w:t>
      </w:r>
      <w:r w:rsidRPr="006E39B7">
        <w:rPr>
          <w:rFonts w:eastAsiaTheme="majorEastAsia" w:cstheme="majorBidi"/>
        </w:rPr>
        <w:t xml:space="preserve"> din surse regenerabile;</w:t>
      </w:r>
    </w:p>
    <w:p w:rsidR="003E723F" w:rsidRDefault="003E723F" w:rsidP="003E723F">
      <w:pPr>
        <w:pStyle w:val="ListParagraph"/>
        <w:numPr>
          <w:ilvl w:val="1"/>
          <w:numId w:val="8"/>
        </w:numPr>
        <w:spacing w:line="360" w:lineRule="auto"/>
        <w:jc w:val="both"/>
        <w:rPr>
          <w:rFonts w:eastAsiaTheme="majorEastAsia" w:cstheme="majorBidi"/>
        </w:rPr>
      </w:pPr>
      <w:r w:rsidRPr="003E723F">
        <w:rPr>
          <w:rFonts w:eastAsiaTheme="majorEastAsia" w:cstheme="majorBidi"/>
        </w:rPr>
        <w:t>țintele necesare determinării nivelului de performanță reflectat prin indicatorii din categoria C se stabilesc de ANRE pe baza propunerilor operatorilor de rețea fundamentate prin rezultatele din studiile și analizele prevăzute la litera a)</w:t>
      </w:r>
      <w:r>
        <w:rPr>
          <w:rFonts w:eastAsiaTheme="majorEastAsia" w:cstheme="majorBidi"/>
        </w:rPr>
        <w:t>.</w:t>
      </w:r>
    </w:p>
    <w:p w:rsidR="003E723F" w:rsidRDefault="003E723F" w:rsidP="003E723F">
      <w:pPr>
        <w:pStyle w:val="ListParagraph"/>
        <w:numPr>
          <w:ilvl w:val="0"/>
          <w:numId w:val="8"/>
        </w:numPr>
        <w:spacing w:line="360" w:lineRule="auto"/>
        <w:jc w:val="both"/>
        <w:rPr>
          <w:rFonts w:eastAsiaTheme="majorEastAsia" w:cstheme="majorBidi"/>
        </w:rPr>
      </w:pPr>
      <w:r w:rsidRPr="006E39B7">
        <w:rPr>
          <w:rFonts w:eastAsiaTheme="majorEastAsia" w:cstheme="majorBidi"/>
        </w:rPr>
        <w:t>În situaţia în care</w:t>
      </w:r>
      <w:r w:rsidR="008A028E">
        <w:rPr>
          <w:rFonts w:eastAsiaTheme="majorEastAsia" w:cstheme="majorBidi"/>
        </w:rPr>
        <w:t>,</w:t>
      </w:r>
      <w:r w:rsidRPr="006E39B7">
        <w:rPr>
          <w:rFonts w:eastAsiaTheme="majorEastAsia" w:cstheme="majorBidi"/>
        </w:rPr>
        <w:t xml:space="preserve"> pentru un indicator monitorizat din categoria C</w:t>
      </w:r>
      <w:r w:rsidR="008A028E">
        <w:rPr>
          <w:rFonts w:eastAsiaTheme="majorEastAsia" w:cstheme="majorBidi"/>
        </w:rPr>
        <w:t>,</w:t>
      </w:r>
      <w:r w:rsidRPr="006E39B7">
        <w:rPr>
          <w:rFonts w:eastAsiaTheme="majorEastAsia" w:cstheme="majorBidi"/>
        </w:rPr>
        <w:t xml:space="preserve"> a fost îndeplinită ținta de către un operator </w:t>
      </w:r>
      <w:r w:rsidR="00FE144A">
        <w:rPr>
          <w:rFonts w:eastAsiaTheme="majorEastAsia" w:cstheme="majorBidi"/>
        </w:rPr>
        <w:t>de rețea</w:t>
      </w:r>
      <w:r w:rsidRPr="006E39B7">
        <w:rPr>
          <w:rFonts w:eastAsiaTheme="majorEastAsia" w:cstheme="majorBidi"/>
        </w:rPr>
        <w:t xml:space="preserve">, începând cu anul următor anului în care a fost îndeplinită ținta, încetează monitorizarea respectivului indicator și </w:t>
      </w:r>
      <w:r w:rsidR="00FE144A">
        <w:rPr>
          <w:rFonts w:eastAsiaTheme="majorEastAsia" w:cstheme="majorBidi"/>
        </w:rPr>
        <w:t xml:space="preserve">acest indicator </w:t>
      </w:r>
      <w:r w:rsidRPr="006E39B7">
        <w:rPr>
          <w:rFonts w:eastAsiaTheme="majorEastAsia" w:cstheme="majorBidi"/>
        </w:rPr>
        <w:t>se exclude din formula de calcul a indicatorului de performanță compus.</w:t>
      </w:r>
    </w:p>
    <w:p w:rsidR="00887702" w:rsidRPr="006E39B7" w:rsidRDefault="00887702" w:rsidP="00EF2206">
      <w:pPr>
        <w:pStyle w:val="ListParagraph"/>
        <w:numPr>
          <w:ilvl w:val="0"/>
          <w:numId w:val="2"/>
        </w:numPr>
        <w:spacing w:line="360" w:lineRule="auto"/>
        <w:ind w:left="709"/>
        <w:jc w:val="both"/>
        <w:rPr>
          <w:rFonts w:eastAsia="Times New Roman"/>
          <w:color w:val="000000"/>
          <w:shd w:val="clear" w:color="auto" w:fill="FFFFFF"/>
        </w:rPr>
      </w:pPr>
    </w:p>
    <w:p w:rsidR="00887702" w:rsidRPr="006E39B7" w:rsidRDefault="00887702" w:rsidP="00887702">
      <w:pPr>
        <w:pStyle w:val="ListParagraph"/>
        <w:spacing w:line="360" w:lineRule="auto"/>
        <w:ind w:left="709" w:hanging="425"/>
        <w:jc w:val="both"/>
      </w:pPr>
      <w:r w:rsidRPr="006E39B7">
        <w:rPr>
          <w:rFonts w:eastAsiaTheme="majorEastAsia" w:cstheme="majorBidi"/>
        </w:rPr>
        <w:t xml:space="preserve">(1) Valoarea RRR se majorează în anul t conform prevederilor </w:t>
      </w:r>
      <w:r w:rsidRPr="006E39B7">
        <w:rPr>
          <w:rFonts w:eastAsia="Calibri"/>
        </w:rPr>
        <w:t xml:space="preserve">Metodologiei de stabilire a tarifelor pentru serviciul de distribuţie a energiei electrice, aprobată prin ordinul președintelui ANRE nr. 67 din 17/09/2024, respectiv Metodologiei de stabilire a tarifelor pentru serviciul de transport al energiei electrice, aprobată prin ordinul președintelui ANRE nr. 68/17.09.2024, </w:t>
      </w:r>
      <w:r w:rsidRPr="006E39B7">
        <w:rPr>
          <w:rFonts w:eastAsiaTheme="majorEastAsia" w:cstheme="majorBidi"/>
        </w:rPr>
        <w:t>p</w:t>
      </w:r>
      <w:r w:rsidRPr="006E39B7">
        <w:t xml:space="preserve">entru </w:t>
      </w:r>
      <w:r w:rsidR="008E3E37">
        <w:rPr>
          <w:rFonts w:eastAsiaTheme="majorEastAsia" w:cstheme="majorBidi"/>
        </w:rPr>
        <w:t>OD</w:t>
      </w:r>
      <w:r w:rsidRPr="006E39B7">
        <w:rPr>
          <w:rFonts w:eastAsiaTheme="majorEastAsia" w:cstheme="majorBidi"/>
        </w:rPr>
        <w:t xml:space="preserve">, respectiv pentru </w:t>
      </w:r>
      <w:r w:rsidR="008E3E37">
        <w:rPr>
          <w:rFonts w:eastAsiaTheme="majorEastAsia" w:cstheme="majorBidi"/>
        </w:rPr>
        <w:t>OTS</w:t>
      </w:r>
      <w:r w:rsidRPr="006E39B7">
        <w:rPr>
          <w:rFonts w:eastAsiaTheme="majorEastAsia" w:cstheme="majorBidi"/>
        </w:rPr>
        <w:t>,</w:t>
      </w:r>
      <w:r w:rsidRPr="006E39B7" w:rsidDel="00654B67">
        <w:t xml:space="preserve"> </w:t>
      </w:r>
      <w:r w:rsidR="00177B90">
        <w:t>în situaţia în care</w:t>
      </w:r>
      <w:r w:rsidRPr="006E39B7">
        <w:t xml:space="preserve"> valoarea realizată a indicatorului de performanță compus</w:t>
      </w:r>
      <w:r w:rsidR="008E3E37">
        <w:t xml:space="preserve"> </w:t>
      </w:r>
      <w:r w:rsidR="00D156CD">
        <w:t xml:space="preserve">prevăzut la art. 5 </w:t>
      </w:r>
      <w:r w:rsidRPr="006E39B7">
        <w:t>pentru anul t este mai mare decât 90%.</w:t>
      </w:r>
    </w:p>
    <w:p w:rsidR="00887702" w:rsidRPr="006E39B7" w:rsidRDefault="00887702" w:rsidP="00887702">
      <w:pPr>
        <w:pStyle w:val="ListParagraph"/>
        <w:spacing w:line="360" w:lineRule="auto"/>
        <w:ind w:left="709" w:hanging="425"/>
        <w:jc w:val="both"/>
      </w:pPr>
      <w:r w:rsidRPr="006E39B7">
        <w:t>(2)</w:t>
      </w:r>
      <w:r w:rsidRPr="006E39B7">
        <w:rPr>
          <w:rFonts w:eastAsiaTheme="majorEastAsia" w:cstheme="majorBidi"/>
        </w:rPr>
        <w:t xml:space="preserve"> Valoarea RRR se diminuează în anul t conform prevederilor </w:t>
      </w:r>
      <w:r w:rsidRPr="006E39B7">
        <w:rPr>
          <w:rFonts w:eastAsia="Calibri"/>
        </w:rPr>
        <w:t xml:space="preserve">Metodologiei de stabilire a tarifelor pentru serviciul de distribuţie a energiei electrice, aprobată prin ordinul președintelui ANRE nr. 67 din 17/09/2024, respectiv Metodologiei de stabilire a tarifelor pentru serviciul de transport al energiei electrice, aprobată prin ordinul președintelui ANRE nr. 68/17.09.2024, </w:t>
      </w:r>
      <w:r w:rsidRPr="006E39B7">
        <w:rPr>
          <w:rFonts w:eastAsiaTheme="majorEastAsia" w:cstheme="majorBidi"/>
        </w:rPr>
        <w:t>p</w:t>
      </w:r>
      <w:r w:rsidRPr="006E39B7">
        <w:t xml:space="preserve">entru </w:t>
      </w:r>
      <w:r w:rsidR="008E3E37">
        <w:rPr>
          <w:rFonts w:eastAsiaTheme="majorEastAsia" w:cstheme="majorBidi"/>
        </w:rPr>
        <w:t>OD</w:t>
      </w:r>
      <w:r w:rsidRPr="006E39B7">
        <w:rPr>
          <w:rFonts w:eastAsiaTheme="majorEastAsia" w:cstheme="majorBidi"/>
        </w:rPr>
        <w:t xml:space="preserve">, respectiv pentru </w:t>
      </w:r>
      <w:r w:rsidR="008E3E37">
        <w:rPr>
          <w:rFonts w:eastAsiaTheme="majorEastAsia" w:cstheme="majorBidi"/>
        </w:rPr>
        <w:t>OTS</w:t>
      </w:r>
      <w:r w:rsidR="00177B90">
        <w:rPr>
          <w:rFonts w:eastAsiaTheme="majorEastAsia" w:cstheme="majorBidi"/>
        </w:rPr>
        <w:t>, în situaţia în care</w:t>
      </w:r>
      <w:r w:rsidRPr="006E39B7">
        <w:t xml:space="preserve"> valoarea realizată a indicatorului de performanță compus</w:t>
      </w:r>
      <w:r w:rsidR="008E3E37">
        <w:t xml:space="preserve"> </w:t>
      </w:r>
      <w:r w:rsidR="00D156CD">
        <w:t xml:space="preserve">prevăzut la art. 5 </w:t>
      </w:r>
      <w:r w:rsidRPr="006E39B7">
        <w:t>pentru anul t este mai mică decât 70%.</w:t>
      </w:r>
    </w:p>
    <w:p w:rsidR="000F63B9" w:rsidRPr="006E39B7" w:rsidRDefault="000F63B9" w:rsidP="000F63B9">
      <w:pPr>
        <w:pStyle w:val="HeadingNumber01"/>
        <w:jc w:val="both"/>
      </w:pPr>
      <w:bookmarkStart w:id="15" w:name="_Hlk178077126"/>
      <w:r w:rsidRPr="006E39B7">
        <w:lastRenderedPageBreak/>
        <w:t>5. Indicatori de performanță pentru serviciul de distribuție a energiei electrice</w:t>
      </w:r>
    </w:p>
    <w:p w:rsidR="00C27594" w:rsidRPr="006E39B7" w:rsidRDefault="00C27594" w:rsidP="00EF2206">
      <w:pPr>
        <w:pStyle w:val="ListParagraph"/>
        <w:numPr>
          <w:ilvl w:val="0"/>
          <w:numId w:val="2"/>
        </w:numPr>
        <w:spacing w:line="360" w:lineRule="auto"/>
        <w:ind w:left="709"/>
        <w:jc w:val="both"/>
        <w:rPr>
          <w:rFonts w:eastAsia="Times New Roman"/>
          <w:color w:val="000000"/>
          <w:shd w:val="clear" w:color="auto" w:fill="FFFFFF"/>
        </w:rPr>
      </w:pPr>
      <w:bookmarkStart w:id="16" w:name="_Hlk178599884"/>
      <w:bookmarkEnd w:id="15"/>
    </w:p>
    <w:p w:rsidR="00C27594" w:rsidRPr="006E39B7" w:rsidRDefault="00C27594" w:rsidP="00C27594">
      <w:pPr>
        <w:spacing w:line="360" w:lineRule="auto"/>
        <w:ind w:firstLine="426"/>
        <w:jc w:val="both"/>
        <w:rPr>
          <w:b/>
        </w:rPr>
      </w:pPr>
      <w:bookmarkStart w:id="17" w:name="_Hlk178664718"/>
      <w:bookmarkEnd w:id="16"/>
      <w:r>
        <w:t xml:space="preserve">(1) </w:t>
      </w:r>
      <w:bookmarkStart w:id="18" w:name="_Hlk178752941"/>
      <w:r w:rsidRPr="006E39B7">
        <w:t xml:space="preserve">Indicatorii </w:t>
      </w:r>
      <w:r w:rsidR="00E62A52">
        <w:t xml:space="preserve">de monitorizare </w:t>
      </w:r>
      <w:bookmarkStart w:id="19" w:name="_Hlk176250757"/>
      <w:bookmarkStart w:id="20" w:name="_Hlk178077250"/>
      <w:r w:rsidRPr="006E22A5">
        <w:t xml:space="preserve">din categoria </w:t>
      </w:r>
      <w:r w:rsidR="00581246">
        <w:t>A</w:t>
      </w:r>
      <w:r w:rsidRPr="006E22A5">
        <w:t xml:space="preserve"> sunt</w:t>
      </w:r>
      <w:bookmarkEnd w:id="18"/>
      <w:r w:rsidR="00DF4CC8" w:rsidRPr="00DF4CC8">
        <w:t xml:space="preserve"> </w:t>
      </w:r>
      <w:r w:rsidR="00DF4CC8">
        <w:t xml:space="preserve">următorii </w:t>
      </w:r>
      <w:r w:rsidR="00DF4CC8" w:rsidRPr="006E39B7">
        <w:t>indicatori de calitate a serviciului de distribuție a energiei electrice</w:t>
      </w:r>
      <w:r w:rsidRPr="006E22A5">
        <w:t>:</w:t>
      </w:r>
      <w:bookmarkEnd w:id="17"/>
    </w:p>
    <w:bookmarkEnd w:id="19"/>
    <w:bookmarkEnd w:id="20"/>
    <w:p w:rsidR="00C27594" w:rsidRPr="00CA339C" w:rsidRDefault="00C27594" w:rsidP="00C27594">
      <w:pPr>
        <w:pStyle w:val="ListParagraph"/>
        <w:numPr>
          <w:ilvl w:val="1"/>
          <w:numId w:val="11"/>
        </w:numPr>
        <w:spacing w:line="360" w:lineRule="auto"/>
        <w:ind w:left="1276"/>
        <w:jc w:val="both"/>
      </w:pPr>
      <w:r w:rsidRPr="006E39B7">
        <w:t xml:space="preserve">SAIDI </w:t>
      </w:r>
      <w:r w:rsidR="00723BEB">
        <w:t>–</w:t>
      </w:r>
      <w:r w:rsidRPr="006E39B7">
        <w:t xml:space="preserve"> </w:t>
      </w:r>
      <w:r w:rsidR="00723BEB" w:rsidRPr="00CA339C">
        <w:t xml:space="preserve">Indicele </w:t>
      </w:r>
      <w:r w:rsidR="00742BA4" w:rsidRPr="00CA339C">
        <w:t>d</w:t>
      </w:r>
      <w:r w:rsidRPr="00CA339C">
        <w:t>urata medie a întreruperilor</w:t>
      </w:r>
      <w:r w:rsidR="00472DAD" w:rsidRPr="00CA339C">
        <w:t xml:space="preserve"> în </w:t>
      </w:r>
      <w:r w:rsidR="00472DAD" w:rsidRPr="00CA339C">
        <w:rPr>
          <w:rStyle w:val="slitbdy"/>
          <w:rFonts w:ascii="Times New Roman" w:eastAsia="Times New Roman" w:hAnsi="Times New Roman"/>
          <w:sz w:val="24"/>
          <w:szCs w:val="24"/>
        </w:rPr>
        <w:t xml:space="preserve">reţea (sistem) </w:t>
      </w:r>
      <w:r w:rsidR="00CA339C" w:rsidRPr="00CA339C">
        <w:rPr>
          <w:rStyle w:val="slitbdy"/>
          <w:rFonts w:ascii="Times New Roman" w:eastAsia="Times New Roman" w:hAnsi="Times New Roman"/>
          <w:sz w:val="24"/>
          <w:szCs w:val="24"/>
        </w:rPr>
        <w:t>pentru un utilizator</w:t>
      </w:r>
      <w:r w:rsidR="00CA339C" w:rsidRPr="00CA339C">
        <w:t xml:space="preserve"> din zona de concesiune,</w:t>
      </w:r>
      <w:r w:rsidR="00CA339C" w:rsidRPr="00CA339C">
        <w:rPr>
          <w:rStyle w:val="slitbdy"/>
          <w:rFonts w:ascii="Times New Roman" w:eastAsia="Times New Roman" w:hAnsi="Times New Roman"/>
          <w:sz w:val="24"/>
          <w:szCs w:val="24"/>
        </w:rPr>
        <w:t xml:space="preserve"> pentru cazul întreruperi </w:t>
      </w:r>
      <w:r w:rsidR="00CA339C" w:rsidRPr="00CA339C">
        <w:t>neplanificate, altele decât cele cauzate de condiţii meteorologice deosebite, de utilizatori sau terţi</w:t>
      </w:r>
      <w:r w:rsidRPr="00CA339C">
        <w:t xml:space="preserve"> [min/an];</w:t>
      </w:r>
    </w:p>
    <w:p w:rsidR="00C27594" w:rsidRPr="00CA339C" w:rsidRDefault="00C27594" w:rsidP="00C27594">
      <w:pPr>
        <w:pStyle w:val="ListParagraph"/>
        <w:numPr>
          <w:ilvl w:val="1"/>
          <w:numId w:val="11"/>
        </w:numPr>
        <w:spacing w:line="360" w:lineRule="auto"/>
        <w:ind w:left="1276"/>
        <w:jc w:val="both"/>
      </w:pPr>
      <w:r w:rsidRPr="00CA339C">
        <w:t xml:space="preserve">SAIFI - </w:t>
      </w:r>
      <w:r w:rsidR="00742BA4" w:rsidRPr="00CA339C">
        <w:t>Indicele f</w:t>
      </w:r>
      <w:r w:rsidRPr="00CA339C">
        <w:t xml:space="preserve">recvenţa medie a întreruperilor în </w:t>
      </w:r>
      <w:r w:rsidR="00DF0B64" w:rsidRPr="00CA339C">
        <w:rPr>
          <w:rStyle w:val="slitbdy"/>
          <w:rFonts w:ascii="Times New Roman" w:eastAsia="Times New Roman" w:hAnsi="Times New Roman"/>
          <w:sz w:val="24"/>
          <w:szCs w:val="24"/>
        </w:rPr>
        <w:t xml:space="preserve">reţea (sistem) </w:t>
      </w:r>
      <w:r w:rsidR="00CA339C" w:rsidRPr="00CA339C">
        <w:rPr>
          <w:rStyle w:val="slitbdy"/>
          <w:rFonts w:ascii="Times New Roman" w:eastAsia="Times New Roman" w:hAnsi="Times New Roman"/>
          <w:sz w:val="24"/>
          <w:szCs w:val="24"/>
        </w:rPr>
        <w:t>pentru un utilizator</w:t>
      </w:r>
      <w:r w:rsidR="00CA339C" w:rsidRPr="00CA339C">
        <w:t xml:space="preserve"> din zona de concesiune,</w:t>
      </w:r>
      <w:r w:rsidR="00CA339C" w:rsidRPr="00CA339C">
        <w:rPr>
          <w:rStyle w:val="slitbdy"/>
          <w:rFonts w:ascii="Times New Roman" w:eastAsia="Times New Roman" w:hAnsi="Times New Roman"/>
          <w:sz w:val="24"/>
          <w:szCs w:val="24"/>
        </w:rPr>
        <w:t xml:space="preserve"> pentru cazul întreruperi </w:t>
      </w:r>
      <w:r w:rsidR="00CA339C" w:rsidRPr="00CA339C">
        <w:t>neplanificate, altele decât cele cauzate de condiţii meteorologice deosebite, de utilizatori sau terţi</w:t>
      </w:r>
      <w:r w:rsidRPr="00CA339C">
        <w:t xml:space="preserve"> [într/an];</w:t>
      </w:r>
    </w:p>
    <w:p w:rsidR="00C27594" w:rsidRDefault="00C27594" w:rsidP="00C27594">
      <w:pPr>
        <w:pStyle w:val="ListParagraph"/>
        <w:numPr>
          <w:ilvl w:val="1"/>
          <w:numId w:val="11"/>
        </w:numPr>
        <w:spacing w:line="360" w:lineRule="auto"/>
        <w:ind w:left="1276"/>
        <w:jc w:val="both"/>
      </w:pPr>
      <w:r w:rsidRPr="00CA339C">
        <w:t xml:space="preserve">Numărul de reclamații </w:t>
      </w:r>
      <w:r w:rsidR="00E05F39" w:rsidRPr="00CA339C">
        <w:t xml:space="preserve">primite </w:t>
      </w:r>
      <w:r w:rsidRPr="00CA339C">
        <w:t>referitoare la calitatea curbei de tensiune înregistrate pe</w:t>
      </w:r>
      <w:r w:rsidR="00E05F39" w:rsidRPr="00CA339C">
        <w:t>ntru</w:t>
      </w:r>
      <w:r w:rsidRPr="00CA339C">
        <w:t xml:space="preserve"> toate nivelurile de tensiune</w:t>
      </w:r>
      <w:r w:rsidRPr="006E39B7">
        <w:t>, în rețelele de distribuție a energiei electrice din zona de concesiune.</w:t>
      </w:r>
    </w:p>
    <w:p w:rsidR="00C27594" w:rsidRDefault="00461B12" w:rsidP="00C27594">
      <w:pPr>
        <w:pStyle w:val="ListParagraph"/>
        <w:numPr>
          <w:ilvl w:val="0"/>
          <w:numId w:val="11"/>
        </w:numPr>
        <w:spacing w:line="360" w:lineRule="auto"/>
        <w:jc w:val="both"/>
      </w:pPr>
      <w:bookmarkStart w:id="21" w:name="_Hlk178673662"/>
      <w:r>
        <w:t>Valoarea i</w:t>
      </w:r>
      <w:r w:rsidR="00C27594">
        <w:t>ndicatori</w:t>
      </w:r>
      <w:r>
        <w:t>lor</w:t>
      </w:r>
      <w:r w:rsidR="00C27594">
        <w:t xml:space="preserve"> </w:t>
      </w:r>
      <w:r>
        <w:t xml:space="preserve">de </w:t>
      </w:r>
      <w:r w:rsidR="00C27594">
        <w:t>monitoriza</w:t>
      </w:r>
      <w:r>
        <w:t>re</w:t>
      </w:r>
      <w:r w:rsidR="00C27594">
        <w:t xml:space="preserve"> prevăzuţi la alin. (1) se determină anual de </w:t>
      </w:r>
      <w:r w:rsidR="00FE144A">
        <w:t>OD</w:t>
      </w:r>
      <w:r w:rsidR="00C27594">
        <w:t xml:space="preserve"> </w:t>
      </w:r>
      <w:bookmarkEnd w:id="21"/>
      <w:r w:rsidR="00C27594">
        <w:t xml:space="preserve">conform prevederilor </w:t>
      </w:r>
      <w:r w:rsidR="00C27594" w:rsidRPr="006E39B7">
        <w:t>Standardul</w:t>
      </w:r>
      <w:r w:rsidR="00C27594">
        <w:t>ui</w:t>
      </w:r>
      <w:r w:rsidR="00C27594" w:rsidRPr="006E39B7">
        <w:t xml:space="preserve"> de performanță pentru serviciul de distribuție a energiei electrice aprobat prin ordin al președintelui ANRE, ediția în vigoare</w:t>
      </w:r>
      <w:r w:rsidR="00C27594">
        <w:t xml:space="preserve">. </w:t>
      </w:r>
    </w:p>
    <w:p w:rsidR="00C27594" w:rsidRDefault="00C27594" w:rsidP="00C27594">
      <w:pPr>
        <w:pStyle w:val="ListParagraph"/>
        <w:numPr>
          <w:ilvl w:val="0"/>
          <w:numId w:val="11"/>
        </w:numPr>
        <w:spacing w:line="360" w:lineRule="auto"/>
        <w:jc w:val="both"/>
      </w:pPr>
      <w:r>
        <w:t xml:space="preserve">Indicatorii de performanță </w:t>
      </w:r>
      <w:r w:rsidR="00702339">
        <w:t xml:space="preserve">din categoria A, </w:t>
      </w:r>
      <w:r>
        <w:t>aferenți anului t</w:t>
      </w:r>
      <w:r w:rsidR="00702339">
        <w:t>,</w:t>
      </w:r>
      <w:r>
        <w:t xml:space="preserve"> I</w:t>
      </w:r>
      <w:r w:rsidRPr="00C27594">
        <w:rPr>
          <w:vertAlign w:val="subscript"/>
        </w:rPr>
        <w:t>A</w:t>
      </w:r>
      <w:r w:rsidR="005B5A3F">
        <w:rPr>
          <w:vertAlign w:val="subscript"/>
        </w:rPr>
        <w:t>d</w:t>
      </w:r>
      <w:r w:rsidR="00702339">
        <w:rPr>
          <w:vertAlign w:val="subscript"/>
        </w:rPr>
        <w:t>,</w:t>
      </w:r>
      <w:r>
        <w:t xml:space="preserve"> se calculează</w:t>
      </w:r>
      <w:r w:rsidR="00461B12">
        <w:t xml:space="preserve"> pe baza indicatorilor de monitorizare prevăzuţi la alin. (1),</w:t>
      </w:r>
      <w:r>
        <w:t xml:space="preserve"> cu următoarea formulă:</w:t>
      </w:r>
      <w:bookmarkStart w:id="22" w:name="_Hlk177716570"/>
    </w:p>
    <w:p w:rsidR="00C27594" w:rsidRPr="00C27594" w:rsidRDefault="00F57362" w:rsidP="00C27594">
      <w:pPr>
        <w:spacing w:line="360" w:lineRule="auto"/>
        <w:jc w:val="both"/>
      </w:pPr>
      <m:oMathPara>
        <m:oMath>
          <m:sSub>
            <m:sSubPr>
              <m:ctrlPr>
                <w:rPr>
                  <w:rFonts w:ascii="Cambria Math" w:hAnsi="Cambria Math"/>
                  <w:i/>
                </w:rPr>
              </m:ctrlPr>
            </m:sSubPr>
            <m:e>
              <m:r>
                <w:rPr>
                  <w:rFonts w:ascii="Cambria Math" w:hAnsi="Cambria Math"/>
                </w:rPr>
                <m:t>I</m:t>
              </m:r>
            </m:e>
            <m:sub>
              <m:r>
                <w:rPr>
                  <w:rFonts w:ascii="Cambria Math" w:hAnsi="Cambria Math"/>
                </w:rPr>
                <m:t>Adi</m:t>
              </m:r>
            </m:sub>
          </m:sSub>
          <m:r>
            <w:rPr>
              <w:rFonts w:ascii="Cambria Math" w:hAnsi="Cambria Math"/>
            </w:rPr>
            <m:t>=</m:t>
          </m:r>
          <m:f>
            <m:fPr>
              <m:ctrlPr>
                <w:rPr>
                  <w:rFonts w:ascii="Cambria Math" w:hAnsi="Cambria Math"/>
                  <w:i/>
                </w:rPr>
              </m:ctrlPr>
            </m:fPr>
            <m:num>
              <m:r>
                <w:rPr>
                  <w:rFonts w:ascii="Cambria Math" w:hAnsi="Cambria Math"/>
                </w:rPr>
                <m:t>MIN(</m:t>
              </m:r>
              <m:sSub>
                <m:sSubPr>
                  <m:ctrlPr>
                    <w:rPr>
                      <w:rFonts w:ascii="Cambria Math" w:hAnsi="Cambria Math"/>
                      <w:i/>
                    </w:rPr>
                  </m:ctrlPr>
                </m:sSubPr>
                <m:e>
                  <m:sSub>
                    <m:sSubPr>
                      <m:ctrlPr>
                        <w:rPr>
                          <w:rFonts w:ascii="Cambria Math" w:hAnsi="Cambria Math"/>
                          <w:i/>
                        </w:rPr>
                      </m:ctrlPr>
                    </m:sSubPr>
                    <m:e>
                      <m:r>
                        <w:rPr>
                          <w:rFonts w:ascii="Cambria Math" w:hAnsi="Cambria Math"/>
                        </w:rPr>
                        <m:t>V</m:t>
                      </m:r>
                    </m:e>
                    <m:sub>
                      <m:r>
                        <w:rPr>
                          <w:rFonts w:ascii="Cambria Math" w:hAnsi="Cambria Math"/>
                        </w:rPr>
                        <m:t>Adi</m:t>
                      </m:r>
                    </m:sub>
                  </m:sSub>
                </m:e>
                <m:sub>
                  <m:r>
                    <w:rPr>
                      <w:rFonts w:ascii="Cambria Math" w:hAnsi="Cambria Math"/>
                    </w:rPr>
                    <m:t>a</m:t>
                  </m:r>
                  <m:sSub>
                    <m:sSubPr>
                      <m:ctrlPr>
                        <w:rPr>
                          <w:rFonts w:ascii="Cambria Math" w:hAnsi="Cambria Math"/>
                          <w:i/>
                        </w:rPr>
                      </m:ctrlPr>
                    </m:sSubPr>
                    <m:e>
                      <m:r>
                        <w:rPr>
                          <w:rFonts w:ascii="Cambria Math" w:hAnsi="Cambria Math"/>
                        </w:rPr>
                        <m:t>n</m:t>
                      </m:r>
                    </m:e>
                    <m:sub>
                      <m:r>
                        <w:rPr>
                          <w:rFonts w:ascii="Cambria Math" w:hAnsi="Cambria Math"/>
                        </w:rPr>
                        <m:t>t-4</m:t>
                      </m:r>
                    </m:sub>
                  </m:sSub>
                </m:sub>
              </m:sSub>
              <m:r>
                <w:rPr>
                  <w:rFonts w:ascii="Cambria Math" w:hAnsi="Cambria Math"/>
                </w:rPr>
                <m:t>,…,</m:t>
              </m:r>
              <m:sSub>
                <m:sSubPr>
                  <m:ctrlPr>
                    <w:rPr>
                      <w:rFonts w:ascii="Cambria Math" w:hAnsi="Cambria Math"/>
                      <w:i/>
                    </w:rPr>
                  </m:ctrlPr>
                </m:sSubPr>
                <m:e>
                  <m:sSub>
                    <m:sSubPr>
                      <m:ctrlPr>
                        <w:rPr>
                          <w:rFonts w:ascii="Cambria Math" w:hAnsi="Cambria Math"/>
                          <w:i/>
                        </w:rPr>
                      </m:ctrlPr>
                    </m:sSubPr>
                    <m:e>
                      <m:r>
                        <w:rPr>
                          <w:rFonts w:ascii="Cambria Math" w:hAnsi="Cambria Math"/>
                        </w:rPr>
                        <m:t>V</m:t>
                      </m:r>
                    </m:e>
                    <m:sub>
                      <m:r>
                        <w:rPr>
                          <w:rFonts w:ascii="Cambria Math" w:hAnsi="Cambria Math"/>
                        </w:rPr>
                        <m:t>Adi</m:t>
                      </m:r>
                    </m:sub>
                  </m:sSub>
                </m:e>
                <m:sub>
                  <m:r>
                    <w:rPr>
                      <w:rFonts w:ascii="Cambria Math" w:hAnsi="Cambria Math"/>
                    </w:rPr>
                    <m:t>a</m:t>
                  </m:r>
                  <m:sSub>
                    <m:sSubPr>
                      <m:ctrlPr>
                        <w:rPr>
                          <w:rFonts w:ascii="Cambria Math" w:hAnsi="Cambria Math"/>
                          <w:i/>
                        </w:rPr>
                      </m:ctrlPr>
                    </m:sSubPr>
                    <m:e>
                      <m:r>
                        <w:rPr>
                          <w:rFonts w:ascii="Cambria Math" w:hAnsi="Cambria Math"/>
                        </w:rPr>
                        <m:t>n</m:t>
                      </m:r>
                    </m:e>
                    <m:sub>
                      <m:r>
                        <w:rPr>
                          <w:rFonts w:ascii="Cambria Math" w:hAnsi="Cambria Math"/>
                        </w:rPr>
                        <m:t>t</m:t>
                      </m:r>
                    </m:sub>
                  </m:sSub>
                </m:sub>
              </m:sSub>
              <m:r>
                <w:rPr>
                  <w:rFonts w:ascii="Cambria Math" w:hAnsi="Cambria Math"/>
                </w:rPr>
                <m:t>)</m:t>
              </m:r>
            </m:num>
            <m:den>
              <m:sSub>
                <m:sSubPr>
                  <m:ctrlPr>
                    <w:rPr>
                      <w:rFonts w:ascii="Cambria Math" w:hAnsi="Cambria Math"/>
                      <w:i/>
                    </w:rPr>
                  </m:ctrlPr>
                </m:sSubPr>
                <m:e>
                  <m:sSub>
                    <m:sSubPr>
                      <m:ctrlPr>
                        <w:rPr>
                          <w:rFonts w:ascii="Cambria Math" w:hAnsi="Cambria Math"/>
                          <w:i/>
                        </w:rPr>
                      </m:ctrlPr>
                    </m:sSubPr>
                    <m:e>
                      <m:r>
                        <w:rPr>
                          <w:rFonts w:ascii="Cambria Math" w:hAnsi="Cambria Math"/>
                        </w:rPr>
                        <m:t>V</m:t>
                      </m:r>
                    </m:e>
                    <m:sub>
                      <m:r>
                        <w:rPr>
                          <w:rFonts w:ascii="Cambria Math" w:hAnsi="Cambria Math"/>
                        </w:rPr>
                        <m:t>Adi</m:t>
                      </m:r>
                    </m:sub>
                  </m:sSub>
                </m:e>
                <m:sub>
                  <m:sSub>
                    <m:sSubPr>
                      <m:ctrlPr>
                        <w:rPr>
                          <w:rFonts w:ascii="Cambria Math" w:hAnsi="Cambria Math"/>
                          <w:i/>
                        </w:rPr>
                      </m:ctrlPr>
                    </m:sSubPr>
                    <m:e>
                      <m:r>
                        <w:rPr>
                          <w:rFonts w:ascii="Cambria Math" w:hAnsi="Cambria Math"/>
                        </w:rPr>
                        <m:t>an</m:t>
                      </m:r>
                    </m:e>
                    <m:sub>
                      <m:r>
                        <w:rPr>
                          <w:rFonts w:ascii="Cambria Math" w:hAnsi="Cambria Math"/>
                        </w:rPr>
                        <m:t>t</m:t>
                      </m:r>
                    </m:sub>
                  </m:sSub>
                </m:sub>
              </m:sSub>
            </m:den>
          </m:f>
          <m:r>
            <w:rPr>
              <w:rFonts w:ascii="Cambria Math" w:hAnsi="Cambria Math"/>
            </w:rPr>
            <m:t>×100 [%]</m:t>
          </m:r>
        </m:oMath>
      </m:oMathPara>
    </w:p>
    <w:bookmarkEnd w:id="22"/>
    <w:p w:rsidR="00C27594" w:rsidRPr="006E39B7" w:rsidRDefault="00C27594" w:rsidP="00C27594">
      <w:pPr>
        <w:spacing w:line="360" w:lineRule="auto"/>
        <w:jc w:val="both"/>
      </w:pPr>
      <w:r w:rsidRPr="006E39B7">
        <w:t>Unde:</w:t>
      </w:r>
    </w:p>
    <w:p w:rsidR="00C27594" w:rsidRPr="006E39B7" w:rsidRDefault="00C27594" w:rsidP="00C27594">
      <w:pPr>
        <w:pStyle w:val="ListParagraph"/>
        <w:numPr>
          <w:ilvl w:val="0"/>
          <w:numId w:val="12"/>
        </w:numPr>
        <w:spacing w:line="360" w:lineRule="auto"/>
        <w:jc w:val="both"/>
      </w:pPr>
      <w:r w:rsidRPr="006E39B7">
        <w:t>I</w:t>
      </w:r>
      <w:r>
        <w:rPr>
          <w:vertAlign w:val="subscript"/>
        </w:rPr>
        <w:t>A</w:t>
      </w:r>
      <w:r w:rsidR="005B5A3F">
        <w:rPr>
          <w:vertAlign w:val="subscript"/>
        </w:rPr>
        <w:t>d</w:t>
      </w:r>
      <w:r w:rsidRPr="006E39B7">
        <w:rPr>
          <w:vertAlign w:val="subscript"/>
        </w:rPr>
        <w:t>i</w:t>
      </w:r>
      <w:r w:rsidRPr="006E39B7">
        <w:t xml:space="preserve"> – indicator care reflectă performanța realizată de </w:t>
      </w:r>
      <w:r w:rsidR="00D410D8">
        <w:t>OD</w:t>
      </w:r>
      <w:r w:rsidRPr="006E39B7">
        <w:t xml:space="preserve"> referito</w:t>
      </w:r>
      <w:r w:rsidR="00EB51A3">
        <w:t>a</w:t>
      </w:r>
      <w:r w:rsidRPr="006E39B7">
        <w:t>r</w:t>
      </w:r>
      <w:r w:rsidR="00EB51A3">
        <w:t>e</w:t>
      </w:r>
      <w:r w:rsidRPr="006E39B7">
        <w:t xml:space="preserve"> la calitatea serviciului</w:t>
      </w:r>
      <w:r w:rsidR="00BB6924">
        <w:t xml:space="preserve"> de distribuţie</w:t>
      </w:r>
      <w:r w:rsidRPr="006E39B7">
        <w:t xml:space="preserve"> în anul t de raportare</w:t>
      </w:r>
      <w:r w:rsidR="005F5EC4">
        <w:t xml:space="preserve"> pentru indicatorul</w:t>
      </w:r>
      <w:r w:rsidR="00A75E25">
        <w:t xml:space="preserve"> de monitorizare</w:t>
      </w:r>
      <w:r w:rsidR="005F5EC4">
        <w:t xml:space="preserve"> i</w:t>
      </w:r>
      <w:r w:rsidR="00DF4CC8">
        <w:t>,</w:t>
      </w:r>
      <w:r w:rsidR="005F5EC4">
        <w:t xml:space="preserve"> conform nominalizări</w:t>
      </w:r>
      <w:r w:rsidR="00DF4CC8">
        <w:t>lor</w:t>
      </w:r>
      <w:r w:rsidR="005F5EC4">
        <w:t xml:space="preserve"> de la alin. (1)</w:t>
      </w:r>
      <w:r w:rsidRPr="006E39B7">
        <w:t>;</w:t>
      </w:r>
    </w:p>
    <w:p w:rsidR="00C27594" w:rsidRPr="006E39B7" w:rsidRDefault="00C27594" w:rsidP="00C27594">
      <w:pPr>
        <w:pStyle w:val="ListParagraph"/>
        <w:numPr>
          <w:ilvl w:val="0"/>
          <w:numId w:val="12"/>
        </w:numPr>
        <w:spacing w:line="360" w:lineRule="auto"/>
        <w:jc w:val="both"/>
      </w:pPr>
      <w:r w:rsidRPr="006E39B7">
        <w:t>MIN() – funcție matematică prin care se determină valoarea minimă dintr-un șir de valori;</w:t>
      </w:r>
    </w:p>
    <w:p w:rsidR="00C27594" w:rsidRPr="006E39B7" w:rsidRDefault="00C27594" w:rsidP="00C27594">
      <w:pPr>
        <w:pStyle w:val="ListParagraph"/>
        <w:numPr>
          <w:ilvl w:val="0"/>
          <w:numId w:val="12"/>
        </w:numPr>
        <w:spacing w:line="360" w:lineRule="auto"/>
        <w:jc w:val="both"/>
      </w:pPr>
      <w:r w:rsidRPr="006E39B7">
        <w:t>V</w:t>
      </w:r>
      <w:r w:rsidR="0051524B" w:rsidRPr="0051524B">
        <w:rPr>
          <w:vertAlign w:val="subscript"/>
        </w:rPr>
        <w:t>Ad</w:t>
      </w:r>
      <w:r w:rsidRPr="006E39B7">
        <w:rPr>
          <w:vertAlign w:val="subscript"/>
        </w:rPr>
        <w:t>i</w:t>
      </w:r>
      <w:r w:rsidRPr="006E39B7">
        <w:t xml:space="preserve"> – valoarea anuală a  indicator</w:t>
      </w:r>
      <w:r w:rsidR="00A75E25">
        <w:t>ului</w:t>
      </w:r>
      <w:r w:rsidRPr="006E39B7">
        <w:t xml:space="preserve"> de </w:t>
      </w:r>
      <w:r w:rsidR="00F050B2">
        <w:t xml:space="preserve">monitorizare </w:t>
      </w:r>
      <w:r w:rsidR="00A75E25">
        <w:t>i, conform nominalizărilor de</w:t>
      </w:r>
      <w:r w:rsidRPr="006E39B7">
        <w:t xml:space="preserve"> la </w:t>
      </w:r>
      <w:r>
        <w:t>alin. (1)</w:t>
      </w:r>
      <w:r w:rsidRPr="006E39B7">
        <w:t>.</w:t>
      </w:r>
    </w:p>
    <w:p w:rsidR="00C27594" w:rsidRPr="006E39B7" w:rsidRDefault="00C27594" w:rsidP="00C27594">
      <w:pPr>
        <w:pStyle w:val="ListParagraph"/>
        <w:numPr>
          <w:ilvl w:val="0"/>
          <w:numId w:val="12"/>
        </w:numPr>
        <w:spacing w:line="360" w:lineRule="auto"/>
        <w:jc w:val="both"/>
      </w:pPr>
      <w:r w:rsidRPr="006E39B7">
        <w:t>an</w:t>
      </w:r>
      <w:r w:rsidRPr="006E39B7">
        <w:rPr>
          <w:vertAlign w:val="subscript"/>
        </w:rPr>
        <w:t>t</w:t>
      </w:r>
      <w:r w:rsidRPr="006E39B7">
        <w:t xml:space="preserve"> – anul de raportare;</w:t>
      </w:r>
    </w:p>
    <w:p w:rsidR="00C27594" w:rsidRPr="006E39B7" w:rsidRDefault="00C27594" w:rsidP="00C27594">
      <w:pPr>
        <w:pStyle w:val="ListParagraph"/>
        <w:numPr>
          <w:ilvl w:val="0"/>
          <w:numId w:val="12"/>
        </w:numPr>
        <w:spacing w:line="360" w:lineRule="auto"/>
        <w:jc w:val="both"/>
      </w:pPr>
      <w:r w:rsidRPr="006E39B7">
        <w:lastRenderedPageBreak/>
        <w:t>an</w:t>
      </w:r>
      <w:r w:rsidRPr="006E39B7">
        <w:rPr>
          <w:vertAlign w:val="subscript"/>
        </w:rPr>
        <w:t>t-4</w:t>
      </w:r>
      <w:r w:rsidRPr="006E39B7">
        <w:t>,...., an</w:t>
      </w:r>
      <w:r w:rsidRPr="006E39B7">
        <w:rPr>
          <w:vertAlign w:val="subscript"/>
        </w:rPr>
        <w:t>t</w:t>
      </w:r>
      <w:r w:rsidRPr="006E39B7">
        <w:t xml:space="preserve"> – perioadă de cinci ani consecutivi, inclusiv anul t de raportare, pentru care se iau în calcul valorile indicatorilor </w:t>
      </w:r>
      <w:r w:rsidR="00F050B2">
        <w:t xml:space="preserve">de </w:t>
      </w:r>
      <w:r w:rsidRPr="006E39B7">
        <w:t>monitoriza</w:t>
      </w:r>
      <w:r w:rsidR="00F050B2">
        <w:t>re</w:t>
      </w:r>
      <w:r w:rsidRPr="006E39B7">
        <w:t>, pentru determinarea indicatorului de performanță aferent anului t de raportare;</w:t>
      </w:r>
    </w:p>
    <w:p w:rsidR="00C27594" w:rsidRPr="006E39B7" w:rsidRDefault="00C27594" w:rsidP="00C27594">
      <w:pPr>
        <w:pStyle w:val="ListParagraph"/>
        <w:numPr>
          <w:ilvl w:val="0"/>
          <w:numId w:val="12"/>
        </w:numPr>
        <w:spacing w:line="360" w:lineRule="auto"/>
        <w:jc w:val="both"/>
      </w:pPr>
      <w:r w:rsidRPr="006E39B7">
        <w:t xml:space="preserve">i – </w:t>
      </w:r>
      <w:bookmarkStart w:id="23" w:name="_Hlk177650023"/>
      <w:r w:rsidRPr="006E39B7">
        <w:t xml:space="preserve">numărul de ordine al indicatorului </w:t>
      </w:r>
      <w:bookmarkEnd w:id="23"/>
      <w:r w:rsidR="00F523D6">
        <w:t xml:space="preserve">de </w:t>
      </w:r>
      <w:r w:rsidR="00A75E25">
        <w:t>monitorizare/</w:t>
      </w:r>
      <w:r w:rsidR="00F523D6">
        <w:t>performanță,</w:t>
      </w:r>
      <w:r w:rsidR="000D0056">
        <w:t xml:space="preserve"> </w:t>
      </w:r>
      <w:r w:rsidR="000D0056" w:rsidRPr="00D22202">
        <w:t>conform nominalizări</w:t>
      </w:r>
      <w:r w:rsidR="00F050B2">
        <w:t>lor</w:t>
      </w:r>
      <w:r w:rsidR="000D0056" w:rsidRPr="00D22202">
        <w:t xml:space="preserve"> de la alin. (1)</w:t>
      </w:r>
      <w:r w:rsidRPr="006E39B7">
        <w:t>.</w:t>
      </w:r>
    </w:p>
    <w:p w:rsidR="00C27594" w:rsidRPr="006E39B7" w:rsidRDefault="00C27594" w:rsidP="00EF2206">
      <w:pPr>
        <w:pStyle w:val="ListParagraph"/>
        <w:numPr>
          <w:ilvl w:val="0"/>
          <w:numId w:val="2"/>
        </w:numPr>
        <w:spacing w:line="360" w:lineRule="auto"/>
        <w:ind w:left="709"/>
        <w:jc w:val="both"/>
        <w:rPr>
          <w:rFonts w:eastAsia="Times New Roman"/>
          <w:color w:val="000000"/>
          <w:shd w:val="clear" w:color="auto" w:fill="FFFFFF"/>
        </w:rPr>
      </w:pPr>
    </w:p>
    <w:p w:rsidR="00C27594" w:rsidRPr="00C27594" w:rsidRDefault="002E6722" w:rsidP="00C27594">
      <w:pPr>
        <w:pStyle w:val="ListParagraph"/>
        <w:numPr>
          <w:ilvl w:val="0"/>
          <w:numId w:val="14"/>
        </w:numPr>
        <w:spacing w:line="360" w:lineRule="auto"/>
        <w:jc w:val="both"/>
        <w:rPr>
          <w:b/>
        </w:rPr>
      </w:pPr>
      <w:bookmarkStart w:id="24" w:name="_Hlk178605906"/>
      <w:bookmarkStart w:id="25" w:name="_Hlk178077377"/>
      <w:r w:rsidRPr="002E6722">
        <w:t xml:space="preserve">Indicatorii </w:t>
      </w:r>
      <w:r w:rsidR="00F050B2">
        <w:t>de monitorizare</w:t>
      </w:r>
      <w:r w:rsidRPr="002E6722">
        <w:t xml:space="preserve"> din categoria </w:t>
      </w:r>
      <w:r>
        <w:t>B</w:t>
      </w:r>
      <w:r w:rsidRPr="002E6722">
        <w:t xml:space="preserve"> sunt</w:t>
      </w:r>
      <w:r w:rsidR="00073E54" w:rsidRPr="00073E54">
        <w:t xml:space="preserve"> </w:t>
      </w:r>
      <w:r w:rsidR="00073E54">
        <w:t xml:space="preserve">următorii indicatori </w:t>
      </w:r>
      <w:r w:rsidR="00073E54" w:rsidRPr="006E39B7">
        <w:t>care reflectă integrarea producției de energie electrică din surse regenerabile și a serviciilor de flexibilitate</w:t>
      </w:r>
      <w:r w:rsidR="00C27594" w:rsidRPr="00C27594">
        <w:t>:</w:t>
      </w:r>
      <w:bookmarkEnd w:id="24"/>
    </w:p>
    <w:p w:rsidR="00C27594" w:rsidRPr="006E39B7" w:rsidRDefault="00550B2C" w:rsidP="00C27594">
      <w:pPr>
        <w:pStyle w:val="ListParagraph"/>
        <w:numPr>
          <w:ilvl w:val="1"/>
          <w:numId w:val="9"/>
        </w:numPr>
        <w:spacing w:line="360" w:lineRule="auto"/>
        <w:ind w:left="1134"/>
        <w:jc w:val="both"/>
      </w:pPr>
      <w:bookmarkStart w:id="26" w:name="_Hlk178077815"/>
      <w:bookmarkEnd w:id="25"/>
      <w:r>
        <w:t>N</w:t>
      </w:r>
      <w:r w:rsidR="000A7C07">
        <w:t xml:space="preserve">Pd  - </w:t>
      </w:r>
      <w:r w:rsidR="00685280">
        <w:t>Ponderea n</w:t>
      </w:r>
      <w:r w:rsidR="00C27594">
        <w:t>umăr</w:t>
      </w:r>
      <w:r w:rsidR="00685280">
        <w:t>ului de</w:t>
      </w:r>
      <w:r w:rsidR="00C27594">
        <w:t xml:space="preserve"> </w:t>
      </w:r>
      <w:r w:rsidR="00C0274D">
        <w:t>ATR emise pentru racordarea la</w:t>
      </w:r>
      <w:r w:rsidR="00042A22">
        <w:t xml:space="preserve"> rețelele electrice de distribuție </w:t>
      </w:r>
      <w:r w:rsidR="00C0274D">
        <w:t>de medie şi înaltă tensiune de</w:t>
      </w:r>
      <w:r w:rsidR="00C27594" w:rsidRPr="006E39B7">
        <w:t xml:space="preserve"> </w:t>
      </w:r>
      <w:r w:rsidR="00C0274D">
        <w:t xml:space="preserve">noi </w:t>
      </w:r>
      <w:r w:rsidR="00C0274D" w:rsidRPr="006E39B7">
        <w:t xml:space="preserve">locuri de producere </w:t>
      </w:r>
      <w:r w:rsidR="00C0274D">
        <w:t xml:space="preserve">cu unități de producere energie electrică </w:t>
      </w:r>
      <w:r w:rsidR="00C0274D" w:rsidRPr="006E39B7">
        <w:t>din surse regenerabile (altele decât cele aparținând prosumatorilor)</w:t>
      </w:r>
      <w:r w:rsidR="000E3A58">
        <w:t>, raportat la numărul cererilor de racordare</w:t>
      </w:r>
      <w:r w:rsidR="00C0274D">
        <w:t xml:space="preserve"> </w:t>
      </w:r>
      <w:r w:rsidR="00B6250A">
        <w:t>de acest tip</w:t>
      </w:r>
      <w:r w:rsidR="00F67A40">
        <w:t xml:space="preserve"> înregistrate de OD</w:t>
      </w:r>
      <w:r w:rsidR="00B6250A">
        <w:t xml:space="preserve"> </w:t>
      </w:r>
      <w:r w:rsidR="00C0274D">
        <w:t>[%];</w:t>
      </w:r>
    </w:p>
    <w:p w:rsidR="00685280" w:rsidRDefault="000A7C07" w:rsidP="000E3A58">
      <w:pPr>
        <w:pStyle w:val="ListParagraph"/>
        <w:numPr>
          <w:ilvl w:val="1"/>
          <w:numId w:val="9"/>
        </w:numPr>
        <w:spacing w:line="360" w:lineRule="auto"/>
        <w:ind w:left="1134"/>
        <w:jc w:val="both"/>
      </w:pPr>
      <w:r>
        <w:t xml:space="preserve">PPd - </w:t>
      </w:r>
      <w:r w:rsidR="00C27594" w:rsidRPr="00685280">
        <w:t>P</w:t>
      </w:r>
      <w:r w:rsidR="00685280">
        <w:t>onderea p</w:t>
      </w:r>
      <w:r w:rsidR="00C27594" w:rsidRPr="00685280">
        <w:t>uter</w:t>
      </w:r>
      <w:r w:rsidR="00685280">
        <w:t>ii</w:t>
      </w:r>
      <w:r w:rsidR="00C27594" w:rsidRPr="00685280">
        <w:t xml:space="preserve"> total</w:t>
      </w:r>
      <w:r w:rsidR="00685280">
        <w:t>e</w:t>
      </w:r>
      <w:r w:rsidR="00C27594" w:rsidRPr="00685280">
        <w:t xml:space="preserve"> </w:t>
      </w:r>
      <w:r w:rsidR="00C10A7F">
        <w:t>aprobate</w:t>
      </w:r>
      <w:r w:rsidR="00C27594" w:rsidRPr="00685280">
        <w:t xml:space="preserve"> </w:t>
      </w:r>
      <w:r w:rsidR="000E3A58">
        <w:t>pentru evacuare prin ATR emise pentru racordarea la rețelele electrice de distribuție de medie şi înaltă tensiune de</w:t>
      </w:r>
      <w:r w:rsidR="000E3A58" w:rsidRPr="006E39B7">
        <w:t xml:space="preserve"> </w:t>
      </w:r>
      <w:r w:rsidR="000E3A58">
        <w:t xml:space="preserve">noi </w:t>
      </w:r>
      <w:r w:rsidR="000E3A58" w:rsidRPr="006E39B7">
        <w:t xml:space="preserve">locuri de producere </w:t>
      </w:r>
      <w:r w:rsidR="000E3A58">
        <w:t xml:space="preserve">cu unități de producere energie electrică </w:t>
      </w:r>
      <w:r w:rsidR="000E3A58" w:rsidRPr="006E39B7">
        <w:t>din surse regenerabile (altele decât cele aparținând prosumatorilor)</w:t>
      </w:r>
      <w:r w:rsidR="000E3A58">
        <w:t>, raportat</w:t>
      </w:r>
      <w:r w:rsidR="00B6250A">
        <w:t>ă</w:t>
      </w:r>
      <w:r w:rsidR="000E3A58">
        <w:t xml:space="preserve"> la puterea</w:t>
      </w:r>
      <w:r w:rsidR="00B6250A">
        <w:t xml:space="preserve"> totală</w:t>
      </w:r>
      <w:r w:rsidR="000E3A58">
        <w:t xml:space="preserve"> solicitată prin cererile de racordare</w:t>
      </w:r>
      <w:r w:rsidR="00B6250A" w:rsidRPr="00B6250A">
        <w:t xml:space="preserve"> </w:t>
      </w:r>
      <w:r w:rsidR="00B6250A">
        <w:t>de acest tip</w:t>
      </w:r>
      <w:r w:rsidR="00F67A40">
        <w:t xml:space="preserve"> înregistrate de OD</w:t>
      </w:r>
      <w:r w:rsidR="00042A22" w:rsidRPr="00685280" w:rsidDel="00550B2C">
        <w:t xml:space="preserve"> </w:t>
      </w:r>
      <w:r>
        <w:t>[%]</w:t>
      </w:r>
      <w:r w:rsidR="00C27594" w:rsidRPr="006E39B7">
        <w:t>;</w:t>
      </w:r>
      <w:bookmarkEnd w:id="26"/>
    </w:p>
    <w:p w:rsidR="003C160B" w:rsidRDefault="003C160B" w:rsidP="003C160B">
      <w:pPr>
        <w:pStyle w:val="ListParagraph"/>
        <w:numPr>
          <w:ilvl w:val="1"/>
          <w:numId w:val="9"/>
        </w:numPr>
        <w:spacing w:line="360" w:lineRule="auto"/>
        <w:ind w:left="1134"/>
        <w:jc w:val="both"/>
      </w:pPr>
      <w:bookmarkStart w:id="27" w:name="_Hlk178667248"/>
      <w:r>
        <w:t>NStoc - Ponderea numărului de ATR emise pentru racordarea la rețelele electrice de distribuție de noi unități de stocare energie, raportat la numărul cererilor de racordare</w:t>
      </w:r>
      <w:r w:rsidRPr="00B6250A">
        <w:t xml:space="preserve"> </w:t>
      </w:r>
      <w:r>
        <w:t>de acest tip</w:t>
      </w:r>
      <w:r w:rsidR="00F67A40">
        <w:t xml:space="preserve"> </w:t>
      </w:r>
      <w:bookmarkStart w:id="28" w:name="_Hlk179884736"/>
      <w:r w:rsidR="00F67A40">
        <w:t>înregistrate de OD</w:t>
      </w:r>
      <w:bookmarkEnd w:id="28"/>
      <w:r>
        <w:t xml:space="preserve"> [%];</w:t>
      </w:r>
    </w:p>
    <w:p w:rsidR="003C160B" w:rsidRDefault="003C160B" w:rsidP="003C160B">
      <w:pPr>
        <w:pStyle w:val="ListParagraph"/>
        <w:numPr>
          <w:ilvl w:val="1"/>
          <w:numId w:val="9"/>
        </w:numPr>
        <w:spacing w:line="360" w:lineRule="auto"/>
        <w:ind w:left="1134"/>
        <w:jc w:val="both"/>
      </w:pPr>
      <w:r>
        <w:t>PStoc - Ponderea puterii totale aprobate pentru evacuare prin ATR emise pentru racordarea la rețelele electrice de distribuție a unităților de stocare energie, raportată la puterea totală solicitată prin cererile de racordare</w:t>
      </w:r>
      <w:r w:rsidRPr="00B6250A">
        <w:t xml:space="preserve"> </w:t>
      </w:r>
      <w:r>
        <w:t>de acest tip</w:t>
      </w:r>
      <w:r w:rsidR="00F67A40" w:rsidRPr="00F67A40">
        <w:t xml:space="preserve"> înregistrate de OD</w:t>
      </w:r>
      <w:r>
        <w:t xml:space="preserve"> [%];</w:t>
      </w:r>
      <w:bookmarkEnd w:id="27"/>
    </w:p>
    <w:p w:rsidR="00685280" w:rsidRDefault="00550B2C" w:rsidP="003C160B">
      <w:pPr>
        <w:pStyle w:val="ListParagraph"/>
        <w:numPr>
          <w:ilvl w:val="1"/>
          <w:numId w:val="9"/>
        </w:numPr>
        <w:spacing w:line="360" w:lineRule="auto"/>
        <w:ind w:left="1134"/>
        <w:jc w:val="both"/>
      </w:pPr>
      <w:r>
        <w:t>N</w:t>
      </w:r>
      <w:r w:rsidR="000A7C07">
        <w:t xml:space="preserve">Pros - </w:t>
      </w:r>
      <w:r w:rsidR="00685280">
        <w:t>Ponderea n</w:t>
      </w:r>
      <w:r w:rsidR="00C27594">
        <w:t>umăr</w:t>
      </w:r>
      <w:r w:rsidR="00685280">
        <w:t>ului de</w:t>
      </w:r>
      <w:r w:rsidR="00C27594">
        <w:t xml:space="preserve"> </w:t>
      </w:r>
      <w:r w:rsidR="00C27594" w:rsidRPr="006E39B7">
        <w:t>prosumatori</w:t>
      </w:r>
      <w:r>
        <w:t xml:space="preserve"> nou racordaţi</w:t>
      </w:r>
      <w:r w:rsidR="00042A22" w:rsidRPr="00042A22">
        <w:t xml:space="preserve"> </w:t>
      </w:r>
      <w:r w:rsidR="00042A22">
        <w:t>în rețelele electrice de distribuție din zona de concesiune</w:t>
      </w:r>
      <w:r w:rsidR="004B6AB0">
        <w:t>,</w:t>
      </w:r>
      <w:r w:rsidR="004B6AB0" w:rsidRPr="004B6AB0">
        <w:t xml:space="preserve"> </w:t>
      </w:r>
      <w:r w:rsidR="004B6AB0">
        <w:t>raportat la numărul cererilor de racordare</w:t>
      </w:r>
      <w:r w:rsidR="000A7C07">
        <w:t xml:space="preserve"> </w:t>
      </w:r>
      <w:r w:rsidR="00B6250A">
        <w:t>de acest tip</w:t>
      </w:r>
      <w:r w:rsidR="00F67A40" w:rsidRPr="00F67A40">
        <w:t xml:space="preserve"> înregistrate de OD</w:t>
      </w:r>
      <w:r w:rsidR="00B6250A">
        <w:t xml:space="preserve"> </w:t>
      </w:r>
      <w:r w:rsidR="000A7C07">
        <w:t>[%]</w:t>
      </w:r>
      <w:r w:rsidR="00C27594" w:rsidRPr="006E39B7">
        <w:t>;</w:t>
      </w:r>
    </w:p>
    <w:p w:rsidR="00C27594" w:rsidRDefault="000A7C07" w:rsidP="00685280">
      <w:pPr>
        <w:pStyle w:val="ListParagraph"/>
        <w:numPr>
          <w:ilvl w:val="1"/>
          <w:numId w:val="9"/>
        </w:numPr>
        <w:spacing w:line="360" w:lineRule="auto"/>
        <w:ind w:left="1134"/>
        <w:jc w:val="both"/>
      </w:pPr>
      <w:r>
        <w:t xml:space="preserve">PPros - </w:t>
      </w:r>
      <w:r w:rsidR="00685280" w:rsidRPr="00685280">
        <w:t>P</w:t>
      </w:r>
      <w:r w:rsidR="00685280">
        <w:t>onderea p</w:t>
      </w:r>
      <w:r w:rsidR="00685280" w:rsidRPr="00685280">
        <w:t>uter</w:t>
      </w:r>
      <w:r w:rsidR="00685280">
        <w:t>ii</w:t>
      </w:r>
      <w:r w:rsidR="00685280" w:rsidRPr="00685280">
        <w:t xml:space="preserve"> total</w:t>
      </w:r>
      <w:r w:rsidR="00685280">
        <w:t>e</w:t>
      </w:r>
      <w:r w:rsidR="00685280" w:rsidRPr="00685280">
        <w:t xml:space="preserve"> </w:t>
      </w:r>
      <w:r w:rsidR="00C10A7F">
        <w:t>aprobate</w:t>
      </w:r>
      <w:r w:rsidR="00685280" w:rsidRPr="00685280">
        <w:t xml:space="preserve"> </w:t>
      </w:r>
      <w:r w:rsidR="00B6250A">
        <w:t>pentru evacuare</w:t>
      </w:r>
      <w:r w:rsidR="00685280" w:rsidRPr="00685280">
        <w:t xml:space="preserve"> prosumatorilor</w:t>
      </w:r>
      <w:r w:rsidR="00550B2C">
        <w:t xml:space="preserve"> nou racordaţi</w:t>
      </w:r>
      <w:r w:rsidR="00042A22" w:rsidRPr="00042A22">
        <w:t xml:space="preserve"> </w:t>
      </w:r>
      <w:r w:rsidR="00042A22">
        <w:t>în rețelele electrice de distribuție din zona de concesiune</w:t>
      </w:r>
      <w:r w:rsidR="00B6250A">
        <w:t>, raportată la puterea totală solicitată prin cererile de racordare</w:t>
      </w:r>
      <w:r w:rsidR="00685280">
        <w:t xml:space="preserve"> </w:t>
      </w:r>
      <w:r w:rsidR="00B6250A">
        <w:t>de acest tip</w:t>
      </w:r>
      <w:r w:rsidR="00F67A40" w:rsidRPr="00F67A40">
        <w:t xml:space="preserve"> înregistrate de OD</w:t>
      </w:r>
      <w:r w:rsidR="00B6250A">
        <w:t xml:space="preserve"> </w:t>
      </w:r>
      <w:r>
        <w:t>[%]</w:t>
      </w:r>
      <w:r w:rsidR="00685280" w:rsidRPr="006E39B7">
        <w:t>;</w:t>
      </w:r>
    </w:p>
    <w:p w:rsidR="0030183A" w:rsidRDefault="006A2C9F" w:rsidP="000F63B9">
      <w:pPr>
        <w:pStyle w:val="ListParagraph"/>
        <w:numPr>
          <w:ilvl w:val="1"/>
          <w:numId w:val="9"/>
        </w:numPr>
        <w:spacing w:line="360" w:lineRule="auto"/>
        <w:ind w:left="1134"/>
        <w:jc w:val="both"/>
      </w:pPr>
      <w:r>
        <w:lastRenderedPageBreak/>
        <w:t>N</w:t>
      </w:r>
      <w:r w:rsidR="00550B2C">
        <w:t>Flexi</w:t>
      </w:r>
      <w:r>
        <w:t xml:space="preserve"> - </w:t>
      </w:r>
      <w:r w:rsidR="0030183A" w:rsidRPr="0030183A">
        <w:t>Număr</w:t>
      </w:r>
      <w:r>
        <w:t>ul</w:t>
      </w:r>
      <w:r w:rsidR="0030183A" w:rsidRPr="0030183A">
        <w:t xml:space="preserve"> de </w:t>
      </w:r>
      <w:r w:rsidR="00042A22">
        <w:t>produse</w:t>
      </w:r>
      <w:r w:rsidR="0030183A" w:rsidRPr="0030183A">
        <w:t xml:space="preserve"> de servicii de flexibilitate </w:t>
      </w:r>
      <w:r w:rsidR="00042A22">
        <w:t>achiziţionate</w:t>
      </w:r>
      <w:r w:rsidR="00042A22" w:rsidRPr="0030183A">
        <w:t xml:space="preserve"> </w:t>
      </w:r>
      <w:r w:rsidR="0049194C">
        <w:t xml:space="preserve">în anul t </w:t>
      </w:r>
      <w:r w:rsidR="00E512DE">
        <w:t xml:space="preserve">de OD </w:t>
      </w:r>
      <w:r w:rsidR="0049194C">
        <w:t>de la</w:t>
      </w:r>
      <w:r w:rsidR="0030183A" w:rsidRPr="0030183A">
        <w:t xml:space="preserve"> producători, consumatori dispecerizabili, agregatori, alte entități care furnizează servicii de flexibilitate.</w:t>
      </w:r>
    </w:p>
    <w:p w:rsidR="00760E61" w:rsidRDefault="00760E61" w:rsidP="0030183A">
      <w:pPr>
        <w:pStyle w:val="ListParagraph"/>
        <w:numPr>
          <w:ilvl w:val="0"/>
          <w:numId w:val="14"/>
        </w:numPr>
        <w:spacing w:line="360" w:lineRule="auto"/>
        <w:jc w:val="both"/>
      </w:pPr>
      <w:r w:rsidRPr="00760E61">
        <w:t xml:space="preserve">Indicatorii </w:t>
      </w:r>
      <w:r w:rsidR="0049194C">
        <w:t>de monitorizare</w:t>
      </w:r>
      <w:r w:rsidRPr="00760E61">
        <w:t xml:space="preserve"> prevăzuţi la alin. (1)</w:t>
      </w:r>
      <w:r w:rsidR="00484570">
        <w:t>, punctele 1-6</w:t>
      </w:r>
      <w:r w:rsidRPr="00760E61">
        <w:t xml:space="preserve"> se determină anual de </w:t>
      </w:r>
      <w:r w:rsidR="00D638EF">
        <w:t>OD</w:t>
      </w:r>
      <w:r w:rsidRPr="00760E61">
        <w:t xml:space="preserve"> </w:t>
      </w:r>
      <w:r w:rsidR="0049194C">
        <w:t>utilizând următoarele formule</w:t>
      </w:r>
      <w:r>
        <w:t>:</w:t>
      </w:r>
    </w:p>
    <w:p w:rsidR="003C160B" w:rsidRDefault="003C160B" w:rsidP="003C160B">
      <w:pPr>
        <w:pStyle w:val="ListParagraph"/>
        <w:numPr>
          <w:ilvl w:val="1"/>
          <w:numId w:val="39"/>
        </w:numPr>
        <w:spacing w:line="360" w:lineRule="auto"/>
        <w:jc w:val="both"/>
      </w:pPr>
      <w:r>
        <w:t>Pentru indicatorii de monitorizare prevăzuţi la punctele 1 şi 3:</w:t>
      </w:r>
    </w:p>
    <w:p w:rsidR="003C160B" w:rsidRDefault="00F57362" w:rsidP="003C160B">
      <w:pPr>
        <w:pStyle w:val="ListParagraph"/>
        <w:spacing w:line="360" w:lineRule="auto"/>
        <w:jc w:val="both"/>
      </w:pPr>
      <m:oMathPara>
        <m:oMath>
          <m:sSub>
            <m:sSubPr>
              <m:ctrlPr>
                <w:rPr>
                  <w:rFonts w:ascii="Cambria Math" w:hAnsi="Cambria Math"/>
                  <w:i/>
                </w:rPr>
              </m:ctrlPr>
            </m:sSubPr>
            <m:e>
              <m:r>
                <w:rPr>
                  <w:rFonts w:ascii="Cambria Math" w:hAnsi="Cambria Math"/>
                </w:rPr>
                <m:t>N</m:t>
              </m:r>
            </m:e>
            <m:sub>
              <m:r>
                <w:rPr>
                  <w:rFonts w:ascii="Cambria Math" w:hAnsi="Cambria Math"/>
                </w:rPr>
                <m:t>i</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NATR</m:t>
                  </m:r>
                </m:e>
                <m:sub>
                  <m:r>
                    <w:rPr>
                      <w:rFonts w:ascii="Cambria Math" w:hAnsi="Cambria Math"/>
                    </w:rPr>
                    <m:t>i</m:t>
                  </m:r>
                </m:sub>
              </m:sSub>
            </m:num>
            <m:den>
              <m:sSub>
                <m:sSubPr>
                  <m:ctrlPr>
                    <w:rPr>
                      <w:rFonts w:ascii="Cambria Math" w:hAnsi="Cambria Math"/>
                      <w:i/>
                    </w:rPr>
                  </m:ctrlPr>
                </m:sSubPr>
                <m:e>
                  <m:r>
                    <w:rPr>
                      <w:rFonts w:ascii="Cambria Math" w:hAnsi="Cambria Math"/>
                    </w:rPr>
                    <m:t>NSol</m:t>
                  </m:r>
                </m:e>
                <m:sub>
                  <m:r>
                    <w:rPr>
                      <w:rFonts w:ascii="Cambria Math" w:hAnsi="Cambria Math"/>
                    </w:rPr>
                    <m:t>i</m:t>
                  </m:r>
                </m:sub>
              </m:sSub>
            </m:den>
          </m:f>
          <m:r>
            <w:rPr>
              <w:rFonts w:ascii="Cambria Math" w:hAnsi="Cambria Math"/>
            </w:rPr>
            <m:t>×100 [%]</m:t>
          </m:r>
        </m:oMath>
      </m:oMathPara>
    </w:p>
    <w:p w:rsidR="003C160B" w:rsidRDefault="003C160B" w:rsidP="003C160B">
      <w:pPr>
        <w:spacing w:line="360" w:lineRule="auto"/>
        <w:ind w:firstLine="284"/>
        <w:jc w:val="both"/>
      </w:pPr>
      <w:r>
        <w:t>Unde:</w:t>
      </w:r>
    </w:p>
    <w:p w:rsidR="003C160B" w:rsidRDefault="003C160B" w:rsidP="003C160B">
      <w:pPr>
        <w:pStyle w:val="ListParagraph"/>
        <w:numPr>
          <w:ilvl w:val="0"/>
          <w:numId w:val="12"/>
        </w:numPr>
        <w:spacing w:line="360" w:lineRule="auto"/>
        <w:jc w:val="both"/>
      </w:pPr>
      <w:r>
        <w:t>Ni – indicator de monitorizare referitor la ponderea numărului de ATR emise pentru noi locuri de producere sau unităţi de stocare după caz, raportat la numărul cererilor de racordare de acest tip</w:t>
      </w:r>
      <w:r w:rsidR="00E85026" w:rsidRPr="00E85026">
        <w:t xml:space="preserve"> înregistrate de OD</w:t>
      </w:r>
      <w:r>
        <w:t>, calculat pentru un an t;</w:t>
      </w:r>
    </w:p>
    <w:p w:rsidR="003C160B" w:rsidRDefault="003C160B" w:rsidP="003C160B">
      <w:pPr>
        <w:pStyle w:val="ListParagraph"/>
        <w:numPr>
          <w:ilvl w:val="0"/>
          <w:numId w:val="12"/>
        </w:numPr>
        <w:spacing w:line="360" w:lineRule="auto"/>
        <w:jc w:val="both"/>
      </w:pPr>
      <w:r>
        <w:t>NATR – numărul de ATR emise de O</w:t>
      </w:r>
      <w:r w:rsidR="00B11284">
        <w:t>D</w:t>
      </w:r>
      <w:r>
        <w:t xml:space="preserve"> în termenul reglementat</w:t>
      </w:r>
      <w:r w:rsidRPr="00AE12A6">
        <w:t xml:space="preserve"> </w:t>
      </w:r>
      <w:r>
        <w:t xml:space="preserve">ca urmare a cererilor de racordare înregistrate în anul t pentru racordarea </w:t>
      </w:r>
      <w:r w:rsidR="00B11284">
        <w:t xml:space="preserve">la reţele electrice de medie şi înaltă tensiune </w:t>
      </w:r>
      <w:r>
        <w:t>de noi locuri de producere sau unităţi de stocare după caz</w:t>
      </w:r>
      <w:r w:rsidR="00CE5509">
        <w:t>, care îndeplinesc condiţia ca termenul pentru racordarea obiectivelor prevăzut în ATR să coincidă cu termenul de PIF solicitat de utilizator prin cererea de racordare</w:t>
      </w:r>
      <w:r>
        <w:t>;</w:t>
      </w:r>
    </w:p>
    <w:p w:rsidR="003C160B" w:rsidRDefault="003C160B" w:rsidP="003C160B">
      <w:pPr>
        <w:pStyle w:val="ListParagraph"/>
        <w:numPr>
          <w:ilvl w:val="0"/>
          <w:numId w:val="12"/>
        </w:numPr>
        <w:spacing w:line="360" w:lineRule="auto"/>
        <w:jc w:val="both"/>
      </w:pPr>
      <w:r>
        <w:t xml:space="preserve">NSol – numărul de solicitări/cereri pentru racordarea </w:t>
      </w:r>
      <w:r w:rsidR="0078359F">
        <w:t xml:space="preserve">la reţelele electrice de medie şi înaltă tensiune de </w:t>
      </w:r>
      <w:r>
        <w:t>noi locuri de producere sau unităţi de stocare după caz, înregistrate de O</w:t>
      </w:r>
      <w:r w:rsidR="0078359F">
        <w:t>D</w:t>
      </w:r>
      <w:r>
        <w:t xml:space="preserve"> în anul t</w:t>
      </w:r>
      <w:r w:rsidRPr="00D22202">
        <w:t>;</w:t>
      </w:r>
    </w:p>
    <w:p w:rsidR="003C160B" w:rsidRDefault="003C160B" w:rsidP="003C160B">
      <w:pPr>
        <w:pStyle w:val="ListParagraph"/>
        <w:numPr>
          <w:ilvl w:val="0"/>
          <w:numId w:val="12"/>
        </w:numPr>
        <w:spacing w:line="360" w:lineRule="auto"/>
        <w:jc w:val="both"/>
      </w:pPr>
      <w:r>
        <w:t xml:space="preserve">i - </w:t>
      </w:r>
      <w:r w:rsidRPr="007666AB">
        <w:t>numărul de ordine al indicatorului monitorizat</w:t>
      </w:r>
      <w:r>
        <w:t xml:space="preserve">; i = 1 sau 3 </w:t>
      </w:r>
      <w:r w:rsidRPr="00D22202">
        <w:t xml:space="preserve">conform </w:t>
      </w:r>
      <w:r>
        <w:t xml:space="preserve">indicatorilor </w:t>
      </w:r>
      <w:r w:rsidRPr="00D22202">
        <w:t>nominaliz</w:t>
      </w:r>
      <w:r>
        <w:t>aţi</w:t>
      </w:r>
      <w:r w:rsidRPr="00D22202">
        <w:t xml:space="preserve"> la alin. (1)</w:t>
      </w:r>
      <w:r>
        <w:t>.</w:t>
      </w:r>
    </w:p>
    <w:p w:rsidR="00625D88" w:rsidRDefault="00625D88" w:rsidP="00625D88">
      <w:pPr>
        <w:pStyle w:val="ListParagraph"/>
        <w:numPr>
          <w:ilvl w:val="1"/>
          <w:numId w:val="39"/>
        </w:numPr>
        <w:spacing w:line="360" w:lineRule="auto"/>
        <w:jc w:val="both"/>
      </w:pPr>
      <w:r>
        <w:t>Pentru indicatorii de monitorizare prevăzuţi la punctele 2 şi 4:</w:t>
      </w:r>
    </w:p>
    <w:p w:rsidR="00625D88" w:rsidRDefault="00F57362" w:rsidP="00625D88">
      <w:pPr>
        <w:pStyle w:val="ListParagraph"/>
        <w:spacing w:line="360" w:lineRule="auto"/>
        <w:jc w:val="both"/>
      </w:pPr>
      <m:oMathPara>
        <m:oMath>
          <m:sSub>
            <m:sSubPr>
              <m:ctrlPr>
                <w:rPr>
                  <w:rFonts w:ascii="Cambria Math" w:hAnsi="Cambria Math"/>
                  <w:i/>
                </w:rPr>
              </m:ctrlPr>
            </m:sSubPr>
            <m:e>
              <m:r>
                <w:rPr>
                  <w:rFonts w:ascii="Cambria Math" w:hAnsi="Cambria Math"/>
                </w:rPr>
                <m:t>P</m:t>
              </m:r>
            </m:e>
            <m:sub>
              <m:r>
                <w:rPr>
                  <w:rFonts w:ascii="Cambria Math" w:hAnsi="Cambria Math"/>
                </w:rPr>
                <m:t>i</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PATR</m:t>
                  </m:r>
                </m:e>
                <m:sub>
                  <m:r>
                    <w:rPr>
                      <w:rFonts w:ascii="Cambria Math" w:hAnsi="Cambria Math"/>
                    </w:rPr>
                    <m:t>i</m:t>
                  </m:r>
                </m:sub>
              </m:sSub>
            </m:num>
            <m:den>
              <m:sSub>
                <m:sSubPr>
                  <m:ctrlPr>
                    <w:rPr>
                      <w:rFonts w:ascii="Cambria Math" w:hAnsi="Cambria Math"/>
                      <w:i/>
                    </w:rPr>
                  </m:ctrlPr>
                </m:sSubPr>
                <m:e>
                  <m:r>
                    <w:rPr>
                      <w:rFonts w:ascii="Cambria Math" w:hAnsi="Cambria Math"/>
                    </w:rPr>
                    <m:t>PSol</m:t>
                  </m:r>
                </m:e>
                <m:sub>
                  <m:r>
                    <w:rPr>
                      <w:rFonts w:ascii="Cambria Math" w:hAnsi="Cambria Math"/>
                    </w:rPr>
                    <m:t>i</m:t>
                  </m:r>
                </m:sub>
              </m:sSub>
            </m:den>
          </m:f>
          <m:r>
            <w:rPr>
              <w:rFonts w:ascii="Cambria Math" w:hAnsi="Cambria Math"/>
            </w:rPr>
            <m:t>×100 [%]</m:t>
          </m:r>
        </m:oMath>
      </m:oMathPara>
    </w:p>
    <w:p w:rsidR="00625D88" w:rsidRDefault="00625D88" w:rsidP="00625D88">
      <w:pPr>
        <w:pStyle w:val="ListParagraph"/>
      </w:pPr>
    </w:p>
    <w:p w:rsidR="00625D88" w:rsidRDefault="00625D88" w:rsidP="00625D88">
      <w:pPr>
        <w:spacing w:line="360" w:lineRule="auto"/>
        <w:ind w:firstLine="284"/>
        <w:jc w:val="both"/>
      </w:pPr>
      <w:r>
        <w:t>Unde:</w:t>
      </w:r>
    </w:p>
    <w:p w:rsidR="00625D88" w:rsidRDefault="00625D88" w:rsidP="00625D88">
      <w:pPr>
        <w:pStyle w:val="ListParagraph"/>
        <w:numPr>
          <w:ilvl w:val="0"/>
          <w:numId w:val="12"/>
        </w:numPr>
        <w:spacing w:line="360" w:lineRule="auto"/>
        <w:jc w:val="both"/>
      </w:pPr>
      <w:r>
        <w:t>P</w:t>
      </w:r>
      <w:r w:rsidRPr="00F26B32">
        <w:rPr>
          <w:vertAlign w:val="subscript"/>
        </w:rPr>
        <w:t>i</w:t>
      </w:r>
      <w:r>
        <w:t xml:space="preserve"> – indicator de monitorizare privind ponderea puterii totale aprobate prin ATR emise pentru noi locuri de producere sau unităţi de stocare după caz,</w:t>
      </w:r>
      <w:r w:rsidR="00B535EE" w:rsidRPr="00B535EE">
        <w:t xml:space="preserve"> </w:t>
      </w:r>
      <w:r w:rsidR="00047380">
        <w:t>raportată la puterea totală solicitată prin cererile de racordare</w:t>
      </w:r>
      <w:r w:rsidR="00047380" w:rsidRPr="00B6250A">
        <w:t xml:space="preserve"> </w:t>
      </w:r>
      <w:r w:rsidR="00047380">
        <w:t>de acest tip</w:t>
      </w:r>
      <w:r w:rsidR="00E85026" w:rsidRPr="00E85026">
        <w:t xml:space="preserve"> înregistrate de OD</w:t>
      </w:r>
      <w:r w:rsidRPr="00450D5C">
        <w:t>;</w:t>
      </w:r>
    </w:p>
    <w:p w:rsidR="00625D88" w:rsidRDefault="00625D88" w:rsidP="00625D88">
      <w:pPr>
        <w:pStyle w:val="ListParagraph"/>
        <w:numPr>
          <w:ilvl w:val="0"/>
          <w:numId w:val="12"/>
        </w:numPr>
        <w:spacing w:line="360" w:lineRule="auto"/>
        <w:jc w:val="both"/>
      </w:pPr>
      <w:r>
        <w:t>PATR</w:t>
      </w:r>
      <w:r w:rsidRPr="00F26B32">
        <w:rPr>
          <w:vertAlign w:val="subscript"/>
        </w:rPr>
        <w:t>i</w:t>
      </w:r>
      <w:r>
        <w:t xml:space="preserve"> [MW] – puterea totală aprobată pentru evacuare prin ATR emise de O</w:t>
      </w:r>
      <w:r w:rsidR="00B535EE">
        <w:t>D</w:t>
      </w:r>
      <w:r>
        <w:t xml:space="preserve"> în termenul reglementat</w:t>
      </w:r>
      <w:r w:rsidRPr="00AE12A6">
        <w:t xml:space="preserve"> </w:t>
      </w:r>
      <w:r>
        <w:t xml:space="preserve">ca urmare a cererilor de racordare înregistrate în anul t pentru racordarea de noi </w:t>
      </w:r>
      <w:r>
        <w:lastRenderedPageBreak/>
        <w:t>locuri de producere sau unităţi de stocare după caz</w:t>
      </w:r>
      <w:r w:rsidR="00B535EE">
        <w:t>, care îndeplinesc condiţia ca termenul pentru racordare din ATR să coincidă cu termenul de PIF solicitat de utilizator prin cererea de racordare</w:t>
      </w:r>
      <w:r>
        <w:t>;</w:t>
      </w:r>
    </w:p>
    <w:p w:rsidR="00625D88" w:rsidRDefault="00625D88" w:rsidP="00625D88">
      <w:pPr>
        <w:pStyle w:val="ListParagraph"/>
        <w:numPr>
          <w:ilvl w:val="0"/>
          <w:numId w:val="12"/>
        </w:numPr>
        <w:spacing w:line="360" w:lineRule="auto"/>
        <w:jc w:val="both"/>
      </w:pPr>
      <w:r>
        <w:t>PSol</w:t>
      </w:r>
      <w:r w:rsidRPr="003751A2">
        <w:rPr>
          <w:vertAlign w:val="subscript"/>
        </w:rPr>
        <w:t>i</w:t>
      </w:r>
      <w:r>
        <w:t xml:space="preserve"> [MW] – puterea totală solicitată pentru evacuare prin cererile pentru racordarea  noilor locuri de producere sau unităţi de stocare după caz, înregistrate de O</w:t>
      </w:r>
      <w:r w:rsidR="00B535EE">
        <w:t>D</w:t>
      </w:r>
      <w:r>
        <w:t xml:space="preserve"> în anul t;</w:t>
      </w:r>
    </w:p>
    <w:p w:rsidR="004F318B" w:rsidRDefault="00625D88" w:rsidP="00625D88">
      <w:pPr>
        <w:pStyle w:val="ListParagraph"/>
        <w:numPr>
          <w:ilvl w:val="0"/>
          <w:numId w:val="12"/>
        </w:numPr>
        <w:spacing w:line="360" w:lineRule="auto"/>
        <w:jc w:val="both"/>
      </w:pPr>
      <w:r>
        <w:t xml:space="preserve">i - </w:t>
      </w:r>
      <w:r w:rsidRPr="007666AB">
        <w:t>numărul de ordine al indicatorului monitorizat</w:t>
      </w:r>
      <w:r>
        <w:t xml:space="preserve">, i = 2 sau 4 </w:t>
      </w:r>
      <w:r w:rsidRPr="00D22202">
        <w:t xml:space="preserve">conform </w:t>
      </w:r>
      <w:r>
        <w:t xml:space="preserve">indicatorilor </w:t>
      </w:r>
      <w:r w:rsidRPr="00D22202">
        <w:t>nominaliz</w:t>
      </w:r>
      <w:r>
        <w:t>aţi</w:t>
      </w:r>
      <w:r w:rsidRPr="00D22202">
        <w:t xml:space="preserve"> la alin. (1)</w:t>
      </w:r>
      <w:r>
        <w:t>.</w:t>
      </w:r>
    </w:p>
    <w:p w:rsidR="00760E61" w:rsidRDefault="00760E61" w:rsidP="00625D88">
      <w:pPr>
        <w:pStyle w:val="ListParagraph"/>
        <w:numPr>
          <w:ilvl w:val="1"/>
          <w:numId w:val="39"/>
        </w:numPr>
        <w:spacing w:line="360" w:lineRule="auto"/>
        <w:jc w:val="both"/>
      </w:pPr>
      <w:r>
        <w:t>Pentru indicator</w:t>
      </w:r>
      <w:r w:rsidR="00E042D7">
        <w:t>ul</w:t>
      </w:r>
      <w:r>
        <w:t xml:space="preserve"> </w:t>
      </w:r>
      <w:r w:rsidR="00991E11">
        <w:t xml:space="preserve">de monitorizare </w:t>
      </w:r>
      <w:r w:rsidR="0049194C">
        <w:t>prevăzu</w:t>
      </w:r>
      <w:r w:rsidR="00E042D7">
        <w:t>t</w:t>
      </w:r>
      <w:r w:rsidR="0049194C">
        <w:t xml:space="preserve"> la punct</w:t>
      </w:r>
      <w:r w:rsidR="00E042D7">
        <w:t>ul</w:t>
      </w:r>
      <w:r w:rsidR="0049194C">
        <w:t xml:space="preserve"> </w:t>
      </w:r>
      <w:r w:rsidR="00F647FF">
        <w:t>5</w:t>
      </w:r>
      <w:r w:rsidR="00991E11">
        <w:t>:</w:t>
      </w:r>
    </w:p>
    <w:bookmarkStart w:id="29" w:name="_Hlk178758204"/>
    <w:p w:rsidR="00991E11" w:rsidRDefault="00F57362" w:rsidP="0095552B">
      <w:pPr>
        <w:pStyle w:val="ListParagraph"/>
        <w:spacing w:line="360" w:lineRule="auto"/>
        <w:jc w:val="both"/>
      </w:pPr>
      <m:oMathPara>
        <m:oMath>
          <m:sSub>
            <m:sSubPr>
              <m:ctrlPr>
                <w:rPr>
                  <w:rFonts w:ascii="Cambria Math" w:hAnsi="Cambria Math"/>
                  <w:i/>
                </w:rPr>
              </m:ctrlPr>
            </m:sSubPr>
            <m:e>
              <m:r>
                <w:rPr>
                  <w:rFonts w:ascii="Cambria Math" w:hAnsi="Cambria Math"/>
                </w:rPr>
                <m:t>N</m:t>
              </m:r>
            </m:e>
            <m:sub>
              <m:r>
                <m:rPr>
                  <m:sty m:val="p"/>
                </m:rPr>
                <w:rPr>
                  <w:rFonts w:ascii="Cambria Math" w:hAnsi="Cambria Math"/>
                </w:rPr>
                <m:t>Pros</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NCR</m:t>
                  </m:r>
                </m:e>
                <m:sub>
                  <m:r>
                    <m:rPr>
                      <m:sty m:val="p"/>
                    </m:rPr>
                    <w:rPr>
                      <w:rFonts w:ascii="Cambria Math" w:hAnsi="Cambria Math"/>
                    </w:rPr>
                    <m:t>Pros</m:t>
                  </m:r>
                </m:sub>
              </m:sSub>
            </m:num>
            <m:den>
              <m:sSub>
                <m:sSubPr>
                  <m:ctrlPr>
                    <w:rPr>
                      <w:rFonts w:ascii="Cambria Math" w:hAnsi="Cambria Math"/>
                      <w:i/>
                    </w:rPr>
                  </m:ctrlPr>
                </m:sSubPr>
                <m:e>
                  <m:r>
                    <w:rPr>
                      <w:rFonts w:ascii="Cambria Math" w:hAnsi="Cambria Math"/>
                    </w:rPr>
                    <m:t>NSol</m:t>
                  </m:r>
                </m:e>
                <m:sub>
                  <m:r>
                    <m:rPr>
                      <m:sty m:val="p"/>
                    </m:rPr>
                    <w:rPr>
                      <w:rFonts w:ascii="Cambria Math" w:hAnsi="Cambria Math"/>
                    </w:rPr>
                    <m:t>Pros</m:t>
                  </m:r>
                </m:sub>
              </m:sSub>
            </m:den>
          </m:f>
          <m:r>
            <w:rPr>
              <w:rFonts w:ascii="Cambria Math" w:hAnsi="Cambria Math"/>
            </w:rPr>
            <m:t>×100 [%]</m:t>
          </m:r>
        </m:oMath>
      </m:oMathPara>
    </w:p>
    <w:bookmarkEnd w:id="29"/>
    <w:p w:rsidR="00991E11" w:rsidRDefault="00991E11" w:rsidP="009A2635">
      <w:pPr>
        <w:spacing w:line="360" w:lineRule="auto"/>
        <w:ind w:firstLine="284"/>
        <w:jc w:val="both"/>
      </w:pPr>
      <w:r>
        <w:t>Unde:</w:t>
      </w:r>
    </w:p>
    <w:p w:rsidR="00991E11" w:rsidRDefault="0049194C" w:rsidP="00BD7B06">
      <w:pPr>
        <w:pStyle w:val="ListParagraph"/>
        <w:numPr>
          <w:ilvl w:val="0"/>
          <w:numId w:val="12"/>
        </w:numPr>
        <w:spacing w:line="360" w:lineRule="auto"/>
        <w:jc w:val="both"/>
      </w:pPr>
      <w:r>
        <w:t>N</w:t>
      </w:r>
      <w:r w:rsidR="00991E11">
        <w:t>i – indicator de monitorizare referitor la ponderea numărului de</w:t>
      </w:r>
      <w:r>
        <w:t xml:space="preserve"> prosumatori </w:t>
      </w:r>
      <w:r w:rsidR="005A77A5">
        <w:t>nou racorda</w:t>
      </w:r>
      <w:r w:rsidR="00E042D7">
        <w:t>ţi</w:t>
      </w:r>
      <w:r w:rsidR="00F26B32">
        <w:t>, calculat pentru un an t</w:t>
      </w:r>
      <w:r w:rsidR="00BD7B06">
        <w:t>;</w:t>
      </w:r>
    </w:p>
    <w:p w:rsidR="00BD7B06" w:rsidRDefault="00BD7B06" w:rsidP="00BD7B06">
      <w:pPr>
        <w:pStyle w:val="ListParagraph"/>
        <w:numPr>
          <w:ilvl w:val="0"/>
          <w:numId w:val="12"/>
        </w:numPr>
        <w:spacing w:line="360" w:lineRule="auto"/>
        <w:jc w:val="both"/>
      </w:pPr>
      <w:r>
        <w:t>NC</w:t>
      </w:r>
      <w:r w:rsidR="00C3417E">
        <w:t>R</w:t>
      </w:r>
      <w:r w:rsidR="009E7DE4" w:rsidRPr="009E7DE4">
        <w:rPr>
          <w:vertAlign w:val="subscript"/>
        </w:rPr>
        <w:t>Pros</w:t>
      </w:r>
      <w:r>
        <w:t xml:space="preserve"> – numărul de certificate de racordare emise</w:t>
      </w:r>
      <w:r w:rsidR="001955E6">
        <w:t xml:space="preserve"> de OD</w:t>
      </w:r>
      <w:r>
        <w:t xml:space="preserve"> </w:t>
      </w:r>
      <w:r w:rsidR="009E7DE4">
        <w:t xml:space="preserve">în anul t </w:t>
      </w:r>
      <w:r w:rsidR="00C3417E">
        <w:t xml:space="preserve">pentru racordarea </w:t>
      </w:r>
      <w:r w:rsidR="0006364D">
        <w:t xml:space="preserve">noilor </w:t>
      </w:r>
      <w:r w:rsidR="00C3417E">
        <w:t>prosumatori</w:t>
      </w:r>
      <w:r>
        <w:t>;</w:t>
      </w:r>
    </w:p>
    <w:p w:rsidR="00D22202" w:rsidRDefault="00BD7B06" w:rsidP="009E7DE4">
      <w:pPr>
        <w:pStyle w:val="ListParagraph"/>
        <w:numPr>
          <w:ilvl w:val="0"/>
          <w:numId w:val="12"/>
        </w:numPr>
        <w:spacing w:line="360" w:lineRule="auto"/>
        <w:jc w:val="both"/>
      </w:pPr>
      <w:r>
        <w:t>NS</w:t>
      </w:r>
      <w:r w:rsidR="001955E6">
        <w:t>ol</w:t>
      </w:r>
      <w:r w:rsidR="009E7DE4" w:rsidRPr="009E7DE4">
        <w:rPr>
          <w:vertAlign w:val="subscript"/>
        </w:rPr>
        <w:t>Pros</w:t>
      </w:r>
      <w:r>
        <w:t xml:space="preserve"> – numărul de </w:t>
      </w:r>
      <w:r w:rsidR="00D22202">
        <w:t>solicitări/cereri pentru racordare</w:t>
      </w:r>
      <w:r w:rsidR="001955E6">
        <w:t xml:space="preserve">a </w:t>
      </w:r>
      <w:r w:rsidR="0006364D">
        <w:t>noilor</w:t>
      </w:r>
      <w:r w:rsidR="001955E6">
        <w:t xml:space="preserve"> prosumatori,</w:t>
      </w:r>
      <w:r w:rsidR="00D22202">
        <w:t xml:space="preserve"> înregistrate </w:t>
      </w:r>
      <w:r w:rsidR="0006364D">
        <w:t xml:space="preserve">de OD </w:t>
      </w:r>
      <w:r w:rsidR="00D22202">
        <w:t xml:space="preserve">în </w:t>
      </w:r>
      <w:r w:rsidR="001955E6">
        <w:t>anul t</w:t>
      </w:r>
      <w:r w:rsidR="00D22202">
        <w:t>.</w:t>
      </w:r>
    </w:p>
    <w:p w:rsidR="00991E11" w:rsidRDefault="00991E11" w:rsidP="009E7DE4">
      <w:pPr>
        <w:pStyle w:val="ListParagraph"/>
        <w:numPr>
          <w:ilvl w:val="1"/>
          <w:numId w:val="39"/>
        </w:numPr>
        <w:spacing w:line="360" w:lineRule="auto"/>
        <w:jc w:val="both"/>
      </w:pPr>
      <w:r>
        <w:t>Pentru indicator</w:t>
      </w:r>
      <w:r w:rsidR="00C719BC">
        <w:t xml:space="preserve">ul </w:t>
      </w:r>
      <w:r>
        <w:t xml:space="preserve">de monitorizare </w:t>
      </w:r>
      <w:r w:rsidR="00F26B32">
        <w:t>prevăzu</w:t>
      </w:r>
      <w:r w:rsidR="00C719BC">
        <w:t>t</w:t>
      </w:r>
      <w:r w:rsidR="00F26B32">
        <w:t xml:space="preserve"> la punct</w:t>
      </w:r>
      <w:r w:rsidR="00C719BC">
        <w:t>ul</w:t>
      </w:r>
      <w:r w:rsidR="00F26B32">
        <w:t xml:space="preserve"> 6</w:t>
      </w:r>
      <w:r>
        <w:t>:</w:t>
      </w:r>
    </w:p>
    <w:p w:rsidR="00FE3E3A" w:rsidRDefault="00F57362" w:rsidP="0095552B">
      <w:pPr>
        <w:pStyle w:val="ListParagraph"/>
        <w:spacing w:line="360" w:lineRule="auto"/>
        <w:jc w:val="both"/>
      </w:pPr>
      <m:oMathPara>
        <m:oMath>
          <m:sSub>
            <m:sSubPr>
              <m:ctrlPr>
                <w:rPr>
                  <w:rFonts w:ascii="Cambria Math" w:hAnsi="Cambria Math"/>
                  <w:i/>
                </w:rPr>
              </m:ctrlPr>
            </m:sSubPr>
            <m:e>
              <m:r>
                <w:rPr>
                  <w:rFonts w:ascii="Cambria Math" w:hAnsi="Cambria Math"/>
                </w:rPr>
                <m:t>P</m:t>
              </m:r>
            </m:e>
            <m:sub>
              <m:r>
                <m:rPr>
                  <m:sty m:val="p"/>
                </m:rPr>
                <w:rPr>
                  <w:rFonts w:ascii="Cambria Math" w:hAnsi="Cambria Math"/>
                </w:rPr>
                <m:t>Pros</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PCR</m:t>
                  </m:r>
                </m:e>
                <m:sub>
                  <m:r>
                    <m:rPr>
                      <m:sty m:val="p"/>
                    </m:rPr>
                    <w:rPr>
                      <w:rFonts w:ascii="Cambria Math" w:hAnsi="Cambria Math"/>
                    </w:rPr>
                    <m:t>Pros</m:t>
                  </m:r>
                </m:sub>
              </m:sSub>
            </m:num>
            <m:den>
              <m:sSub>
                <m:sSubPr>
                  <m:ctrlPr>
                    <w:rPr>
                      <w:rFonts w:ascii="Cambria Math" w:hAnsi="Cambria Math"/>
                      <w:i/>
                    </w:rPr>
                  </m:ctrlPr>
                </m:sSubPr>
                <m:e>
                  <m:r>
                    <w:rPr>
                      <w:rFonts w:ascii="Cambria Math" w:hAnsi="Cambria Math"/>
                    </w:rPr>
                    <m:t>PSol</m:t>
                  </m:r>
                </m:e>
                <m:sub>
                  <m:r>
                    <m:rPr>
                      <m:sty m:val="p"/>
                    </m:rPr>
                    <w:rPr>
                      <w:rFonts w:ascii="Cambria Math" w:hAnsi="Cambria Math"/>
                    </w:rPr>
                    <m:t>Pros</m:t>
                  </m:r>
                </m:sub>
              </m:sSub>
            </m:den>
          </m:f>
          <m:r>
            <w:rPr>
              <w:rFonts w:ascii="Cambria Math" w:hAnsi="Cambria Math"/>
            </w:rPr>
            <m:t>×100 [%]</m:t>
          </m:r>
        </m:oMath>
      </m:oMathPara>
    </w:p>
    <w:p w:rsidR="00991E11" w:rsidRDefault="00FE3E3A" w:rsidP="009A2635">
      <w:pPr>
        <w:spacing w:line="360" w:lineRule="auto"/>
        <w:ind w:firstLine="284"/>
        <w:jc w:val="both"/>
      </w:pPr>
      <w:r>
        <w:t>Unde:</w:t>
      </w:r>
    </w:p>
    <w:p w:rsidR="00FE3E3A" w:rsidRDefault="00FE3E3A" w:rsidP="00FE3E3A">
      <w:pPr>
        <w:pStyle w:val="ListParagraph"/>
        <w:numPr>
          <w:ilvl w:val="0"/>
          <w:numId w:val="12"/>
        </w:numPr>
        <w:spacing w:line="360" w:lineRule="auto"/>
        <w:jc w:val="both"/>
      </w:pPr>
      <w:r>
        <w:t>P</w:t>
      </w:r>
      <w:r w:rsidR="00C719BC" w:rsidRPr="00C719BC">
        <w:rPr>
          <w:vertAlign w:val="subscript"/>
        </w:rPr>
        <w:t>Pros</w:t>
      </w:r>
      <w:r>
        <w:t xml:space="preserve"> – indicator de monitorizare </w:t>
      </w:r>
      <w:r w:rsidR="00A77EC2">
        <w:t>privind</w:t>
      </w:r>
      <w:r>
        <w:t xml:space="preserve"> ponderea puterii </w:t>
      </w:r>
      <w:r w:rsidR="00F26B32">
        <w:t xml:space="preserve">totale </w:t>
      </w:r>
      <w:r w:rsidR="00C10A7F">
        <w:t xml:space="preserve">aprobate </w:t>
      </w:r>
      <w:r>
        <w:t xml:space="preserve">aferentă </w:t>
      </w:r>
      <w:r w:rsidR="00F26B32">
        <w:t>prosumatorilor nou racorda</w:t>
      </w:r>
      <w:r w:rsidR="006F3E91">
        <w:t>ţi</w:t>
      </w:r>
      <w:r w:rsidR="00F26B32">
        <w:t>, calculat pentru un an t</w:t>
      </w:r>
      <w:r w:rsidR="00450D5C" w:rsidRPr="00450D5C">
        <w:t>;</w:t>
      </w:r>
    </w:p>
    <w:p w:rsidR="00450D5C" w:rsidRDefault="00450D5C" w:rsidP="00FE3E3A">
      <w:pPr>
        <w:pStyle w:val="ListParagraph"/>
        <w:numPr>
          <w:ilvl w:val="0"/>
          <w:numId w:val="12"/>
        </w:numPr>
        <w:spacing w:line="360" w:lineRule="auto"/>
        <w:jc w:val="both"/>
      </w:pPr>
      <w:r>
        <w:t>PC</w:t>
      </w:r>
      <w:r w:rsidR="00F26B32">
        <w:t>R</w:t>
      </w:r>
      <w:r w:rsidR="00C719BC" w:rsidRPr="00C719BC">
        <w:rPr>
          <w:vertAlign w:val="subscript"/>
        </w:rPr>
        <w:t>Pros</w:t>
      </w:r>
      <w:r>
        <w:t xml:space="preserve"> [MW] – puterea totală </w:t>
      </w:r>
      <w:r w:rsidR="00405D5A">
        <w:t xml:space="preserve">aprobată </w:t>
      </w:r>
      <w:r w:rsidR="003751A2">
        <w:t xml:space="preserve">pentru evacuare </w:t>
      </w:r>
      <w:r w:rsidR="00405D5A">
        <w:t>prin</w:t>
      </w:r>
      <w:r>
        <w:t xml:space="preserve"> certificatel</w:t>
      </w:r>
      <w:r w:rsidR="00405D5A">
        <w:t>e</w:t>
      </w:r>
      <w:r>
        <w:t xml:space="preserve"> de racordare emise</w:t>
      </w:r>
      <w:r w:rsidR="006F3E91">
        <w:t xml:space="preserve"> de OD</w:t>
      </w:r>
      <w:r>
        <w:t xml:space="preserve"> </w:t>
      </w:r>
      <w:r w:rsidR="006F3E91">
        <w:t xml:space="preserve">în anul t </w:t>
      </w:r>
      <w:r w:rsidR="003751A2">
        <w:t xml:space="preserve">pentru </w:t>
      </w:r>
      <w:r w:rsidR="00C72460">
        <w:t xml:space="preserve">noi </w:t>
      </w:r>
      <w:r w:rsidR="003751A2">
        <w:t>prosumatori</w:t>
      </w:r>
      <w:r>
        <w:t>;</w:t>
      </w:r>
    </w:p>
    <w:p w:rsidR="00706B4B" w:rsidRDefault="00450D5C" w:rsidP="006F3E91">
      <w:pPr>
        <w:pStyle w:val="ListParagraph"/>
        <w:numPr>
          <w:ilvl w:val="0"/>
          <w:numId w:val="12"/>
        </w:numPr>
        <w:spacing w:line="360" w:lineRule="auto"/>
        <w:jc w:val="both"/>
      </w:pPr>
      <w:r>
        <w:t>PS</w:t>
      </w:r>
      <w:r w:rsidR="003751A2">
        <w:t>ol</w:t>
      </w:r>
      <w:r w:rsidR="00C719BC" w:rsidRPr="00C719BC">
        <w:rPr>
          <w:vertAlign w:val="subscript"/>
        </w:rPr>
        <w:t>Pros</w:t>
      </w:r>
      <w:r>
        <w:t xml:space="preserve"> </w:t>
      </w:r>
      <w:r w:rsidR="00706B4B">
        <w:t>[MW] –</w:t>
      </w:r>
      <w:r>
        <w:t xml:space="preserve"> </w:t>
      </w:r>
      <w:r w:rsidR="00706B4B">
        <w:t xml:space="preserve">puterea totală </w:t>
      </w:r>
      <w:r w:rsidR="003751A2">
        <w:t xml:space="preserve">solicitată pentru evacuare prin </w:t>
      </w:r>
      <w:r w:rsidR="00706B4B">
        <w:t>cereril</w:t>
      </w:r>
      <w:r w:rsidR="003751A2">
        <w:t>e</w:t>
      </w:r>
      <w:r w:rsidR="00706B4B">
        <w:t xml:space="preserve"> pentru racordare</w:t>
      </w:r>
      <w:r w:rsidR="003751A2">
        <w:t xml:space="preserve">a </w:t>
      </w:r>
      <w:r w:rsidR="00706B4B">
        <w:t xml:space="preserve"> </w:t>
      </w:r>
      <w:r w:rsidR="00C72460">
        <w:t xml:space="preserve">noilor </w:t>
      </w:r>
      <w:r w:rsidR="003751A2">
        <w:t>prosumatori, înregistrate de OD în anul t</w:t>
      </w:r>
      <w:r w:rsidR="00706B4B">
        <w:t>.</w:t>
      </w:r>
    </w:p>
    <w:p w:rsidR="0030183A" w:rsidRPr="0030183A" w:rsidRDefault="00EC7798" w:rsidP="0030183A">
      <w:pPr>
        <w:pStyle w:val="ListParagraph"/>
        <w:numPr>
          <w:ilvl w:val="0"/>
          <w:numId w:val="14"/>
        </w:numPr>
        <w:spacing w:line="360" w:lineRule="auto"/>
        <w:jc w:val="both"/>
      </w:pPr>
      <w:r w:rsidRPr="00EC7798">
        <w:t xml:space="preserve">Indicatorii de performanță din categoria </w:t>
      </w:r>
      <w:r>
        <w:t>B</w:t>
      </w:r>
      <w:r w:rsidRPr="00EC7798">
        <w:t>, aferenți anului t, I</w:t>
      </w:r>
      <w:r w:rsidRPr="00EC7798">
        <w:rPr>
          <w:vertAlign w:val="subscript"/>
        </w:rPr>
        <w:t>Bd</w:t>
      </w:r>
      <w:r w:rsidRPr="00EC7798">
        <w:t xml:space="preserve">, </w:t>
      </w:r>
      <w:r w:rsidR="00494E7C">
        <w:t>se calculează pe baza indicatorilor de monitorizare prevăzuţi la alin. (1), cu următoarea formulă</w:t>
      </w:r>
      <w:r w:rsidR="0030183A">
        <w:t xml:space="preserve">: </w:t>
      </w:r>
      <w:bookmarkStart w:id="30" w:name="_Hlk176252082"/>
    </w:p>
    <w:bookmarkStart w:id="31" w:name="_Hlk178667872"/>
    <w:p w:rsidR="0030183A" w:rsidRPr="0030183A" w:rsidRDefault="00F57362" w:rsidP="0095552B">
      <w:pPr>
        <w:pStyle w:val="ListParagraph"/>
        <w:spacing w:line="360" w:lineRule="auto"/>
        <w:jc w:val="both"/>
      </w:pPr>
      <m:oMathPara>
        <m:oMathParaPr>
          <m:jc m:val="center"/>
        </m:oMathParaPr>
        <m:oMath>
          <m:sSub>
            <m:sSubPr>
              <m:ctrlPr>
                <w:rPr>
                  <w:rFonts w:ascii="Cambria Math" w:hAnsi="Cambria Math"/>
                  <w:i/>
                </w:rPr>
              </m:ctrlPr>
            </m:sSubPr>
            <m:e>
              <m:r>
                <w:rPr>
                  <w:rFonts w:ascii="Cambria Math" w:hAnsi="Cambria Math"/>
                </w:rPr>
                <m:t>I</m:t>
              </m:r>
            </m:e>
            <m:sub>
              <m:r>
                <w:rPr>
                  <w:rFonts w:ascii="Cambria Math" w:hAnsi="Cambria Math"/>
                </w:rPr>
                <m:t>Bdj</m:t>
              </m:r>
            </m:sub>
          </m:sSub>
          <m:r>
            <w:rPr>
              <w:rFonts w:ascii="Cambria Math" w:hAnsi="Cambria Math"/>
            </w:rPr>
            <m:t>=</m:t>
          </m:r>
          <m:f>
            <m:fPr>
              <m:ctrlPr>
                <w:rPr>
                  <w:rFonts w:ascii="Cambria Math" w:hAnsi="Cambria Math"/>
                  <w:i/>
                </w:rPr>
              </m:ctrlPr>
            </m:fPr>
            <m:num>
              <w:bookmarkStart w:id="32" w:name="_Hlk176251925"/>
              <m:sSub>
                <m:sSubPr>
                  <m:ctrlPr>
                    <w:rPr>
                      <w:rFonts w:ascii="Cambria Math" w:hAnsi="Cambria Math"/>
                      <w:i/>
                    </w:rPr>
                  </m:ctrlPr>
                </m:sSubPr>
                <m:e>
                  <m:sSub>
                    <m:sSubPr>
                      <m:ctrlPr>
                        <w:rPr>
                          <w:rFonts w:ascii="Cambria Math" w:hAnsi="Cambria Math"/>
                          <w:i/>
                        </w:rPr>
                      </m:ctrlPr>
                    </m:sSubPr>
                    <m:e>
                      <m:r>
                        <w:rPr>
                          <w:rFonts w:ascii="Cambria Math" w:hAnsi="Cambria Math"/>
                        </w:rPr>
                        <m:t>V</m:t>
                      </m:r>
                    </m:e>
                    <m:sub>
                      <m:r>
                        <w:rPr>
                          <w:rFonts w:ascii="Cambria Math" w:hAnsi="Cambria Math"/>
                        </w:rPr>
                        <m:t>Bdj</m:t>
                      </m:r>
                    </m:sub>
                  </m:sSub>
                </m:e>
                <m:sub>
                  <m:sSub>
                    <m:sSubPr>
                      <m:ctrlPr>
                        <w:rPr>
                          <w:rFonts w:ascii="Cambria Math" w:hAnsi="Cambria Math"/>
                          <w:i/>
                        </w:rPr>
                      </m:ctrlPr>
                    </m:sSubPr>
                    <m:e>
                      <m:r>
                        <w:rPr>
                          <w:rFonts w:ascii="Cambria Math" w:hAnsi="Cambria Math"/>
                        </w:rPr>
                        <m:t>an</m:t>
                      </m:r>
                    </m:e>
                    <m:sub>
                      <m:r>
                        <w:rPr>
                          <w:rFonts w:ascii="Cambria Math" w:hAnsi="Cambria Math"/>
                        </w:rPr>
                        <m:t>t</m:t>
                      </m:r>
                    </m:sub>
                  </m:sSub>
                </m:sub>
              </m:sSub>
              <w:bookmarkEnd w:id="32"/>
            </m:num>
            <m:den>
              <m:r>
                <w:rPr>
                  <w:rFonts w:ascii="Cambria Math" w:hAnsi="Cambria Math"/>
                </w:rPr>
                <m:t>MAX(</m:t>
              </m:r>
              <m:sSub>
                <m:sSubPr>
                  <m:ctrlPr>
                    <w:rPr>
                      <w:rFonts w:ascii="Cambria Math" w:hAnsi="Cambria Math"/>
                      <w:i/>
                    </w:rPr>
                  </m:ctrlPr>
                </m:sSubPr>
                <m:e>
                  <m:sSub>
                    <m:sSubPr>
                      <m:ctrlPr>
                        <w:rPr>
                          <w:rFonts w:ascii="Cambria Math" w:hAnsi="Cambria Math"/>
                          <w:i/>
                        </w:rPr>
                      </m:ctrlPr>
                    </m:sSubPr>
                    <m:e>
                      <m:r>
                        <w:rPr>
                          <w:rFonts w:ascii="Cambria Math" w:hAnsi="Cambria Math"/>
                        </w:rPr>
                        <m:t>V</m:t>
                      </m:r>
                    </m:e>
                    <m:sub>
                      <m:r>
                        <w:rPr>
                          <w:rFonts w:ascii="Cambria Math" w:hAnsi="Cambria Math"/>
                        </w:rPr>
                        <m:t>Bdj</m:t>
                      </m:r>
                    </m:sub>
                  </m:sSub>
                </m:e>
                <m:sub>
                  <m:r>
                    <w:rPr>
                      <w:rFonts w:ascii="Cambria Math" w:hAnsi="Cambria Math"/>
                    </w:rPr>
                    <m:t>a</m:t>
                  </m:r>
                  <m:sSub>
                    <m:sSubPr>
                      <m:ctrlPr>
                        <w:rPr>
                          <w:rFonts w:ascii="Cambria Math" w:hAnsi="Cambria Math"/>
                          <w:i/>
                        </w:rPr>
                      </m:ctrlPr>
                    </m:sSubPr>
                    <m:e>
                      <m:r>
                        <w:rPr>
                          <w:rFonts w:ascii="Cambria Math" w:hAnsi="Cambria Math"/>
                        </w:rPr>
                        <m:t>n</m:t>
                      </m:r>
                    </m:e>
                    <m:sub>
                      <m:r>
                        <w:rPr>
                          <w:rFonts w:ascii="Cambria Math" w:hAnsi="Cambria Math"/>
                        </w:rPr>
                        <m:t>t-4</m:t>
                      </m:r>
                    </m:sub>
                  </m:sSub>
                </m:sub>
              </m:sSub>
              <m:r>
                <w:rPr>
                  <w:rFonts w:ascii="Cambria Math" w:hAnsi="Cambria Math"/>
                </w:rPr>
                <m:t>,…,</m:t>
              </m:r>
              <m:sSub>
                <m:sSubPr>
                  <m:ctrlPr>
                    <w:rPr>
                      <w:rFonts w:ascii="Cambria Math" w:hAnsi="Cambria Math"/>
                      <w:i/>
                    </w:rPr>
                  </m:ctrlPr>
                </m:sSubPr>
                <m:e>
                  <m:sSub>
                    <m:sSubPr>
                      <m:ctrlPr>
                        <w:rPr>
                          <w:rFonts w:ascii="Cambria Math" w:hAnsi="Cambria Math"/>
                          <w:i/>
                        </w:rPr>
                      </m:ctrlPr>
                    </m:sSubPr>
                    <m:e>
                      <m:r>
                        <w:rPr>
                          <w:rFonts w:ascii="Cambria Math" w:hAnsi="Cambria Math"/>
                        </w:rPr>
                        <m:t>V</m:t>
                      </m:r>
                    </m:e>
                    <m:sub>
                      <m:r>
                        <w:rPr>
                          <w:rFonts w:ascii="Cambria Math" w:hAnsi="Cambria Math"/>
                        </w:rPr>
                        <m:t>Bdj</m:t>
                      </m:r>
                    </m:sub>
                  </m:sSub>
                </m:e>
                <m:sub>
                  <m:r>
                    <w:rPr>
                      <w:rFonts w:ascii="Cambria Math" w:hAnsi="Cambria Math"/>
                    </w:rPr>
                    <m:t>a</m:t>
                  </m:r>
                  <m:sSub>
                    <m:sSubPr>
                      <m:ctrlPr>
                        <w:rPr>
                          <w:rFonts w:ascii="Cambria Math" w:hAnsi="Cambria Math"/>
                          <w:i/>
                        </w:rPr>
                      </m:ctrlPr>
                    </m:sSubPr>
                    <m:e>
                      <m:r>
                        <w:rPr>
                          <w:rFonts w:ascii="Cambria Math" w:hAnsi="Cambria Math"/>
                        </w:rPr>
                        <m:t>n</m:t>
                      </m:r>
                    </m:e>
                    <m:sub>
                      <m:r>
                        <w:rPr>
                          <w:rFonts w:ascii="Cambria Math" w:hAnsi="Cambria Math"/>
                        </w:rPr>
                        <m:t>t</m:t>
                      </m:r>
                    </m:sub>
                  </m:sSub>
                </m:sub>
              </m:sSub>
              <m:r>
                <w:rPr>
                  <w:rFonts w:ascii="Cambria Math" w:hAnsi="Cambria Math"/>
                </w:rPr>
                <m:t>)</m:t>
              </m:r>
            </m:den>
          </m:f>
          <w:bookmarkEnd w:id="30"/>
          <m:r>
            <w:rPr>
              <w:rFonts w:ascii="Cambria Math" w:hAnsi="Cambria Math"/>
            </w:rPr>
            <m:t>×100 [%]</m:t>
          </m:r>
        </m:oMath>
      </m:oMathPara>
    </w:p>
    <w:bookmarkEnd w:id="31"/>
    <w:p w:rsidR="0030183A" w:rsidRPr="006E39B7" w:rsidRDefault="0030183A" w:rsidP="009A2635">
      <w:pPr>
        <w:spacing w:line="360" w:lineRule="auto"/>
        <w:ind w:firstLine="284"/>
        <w:jc w:val="both"/>
      </w:pPr>
      <w:r w:rsidRPr="006E39B7">
        <w:t>Unde:</w:t>
      </w:r>
    </w:p>
    <w:p w:rsidR="0030183A" w:rsidRPr="006E39B7" w:rsidRDefault="0030183A" w:rsidP="0030183A">
      <w:pPr>
        <w:pStyle w:val="ListParagraph"/>
        <w:numPr>
          <w:ilvl w:val="0"/>
          <w:numId w:val="12"/>
        </w:numPr>
        <w:spacing w:line="360" w:lineRule="auto"/>
        <w:jc w:val="both"/>
      </w:pPr>
      <w:r w:rsidRPr="006E39B7">
        <w:lastRenderedPageBreak/>
        <w:t>I</w:t>
      </w:r>
      <w:r w:rsidR="005F3B89">
        <w:rPr>
          <w:vertAlign w:val="subscript"/>
        </w:rPr>
        <w:t>Bd</w:t>
      </w:r>
      <w:r>
        <w:rPr>
          <w:vertAlign w:val="subscript"/>
        </w:rPr>
        <w:t>j</w:t>
      </w:r>
      <w:r w:rsidRPr="006E39B7">
        <w:t xml:space="preserve"> – </w:t>
      </w:r>
      <w:bookmarkStart w:id="33" w:name="_Hlk178758567"/>
      <w:r w:rsidRPr="006E39B7">
        <w:t xml:space="preserve">indicator care reflectă performanța </w:t>
      </w:r>
      <w:r w:rsidR="00484570">
        <w:t>realizată</w:t>
      </w:r>
      <w:r w:rsidR="00484570" w:rsidRPr="006E39B7">
        <w:t xml:space="preserve"> </w:t>
      </w:r>
      <w:r w:rsidRPr="006E39B7">
        <w:t xml:space="preserve">de </w:t>
      </w:r>
      <w:r w:rsidR="00E512DE">
        <w:t>OD</w:t>
      </w:r>
      <w:r w:rsidRPr="006E39B7">
        <w:t xml:space="preserve"> cu privire la </w:t>
      </w:r>
      <w:bookmarkEnd w:id="33"/>
      <w:r w:rsidRPr="006E39B7">
        <w:t>integrarea producției distribuite</w:t>
      </w:r>
      <w:bookmarkStart w:id="34" w:name="_Hlk178144777"/>
      <w:r w:rsidR="00D410D8">
        <w:t xml:space="preserve"> de energie electrică</w:t>
      </w:r>
      <w:r w:rsidRPr="006E39B7">
        <w:t xml:space="preserve"> din surse regenerabile </w:t>
      </w:r>
      <w:bookmarkEnd w:id="34"/>
      <w:r w:rsidRPr="006E39B7">
        <w:t>și a serviciilor de flexibilitate, în anul t de raportare</w:t>
      </w:r>
      <w:r w:rsidR="005F5EC4">
        <w:t>, pentru indicatorul j, conform nominalizări</w:t>
      </w:r>
      <w:r w:rsidR="00484570">
        <w:t>lor</w:t>
      </w:r>
      <w:r w:rsidR="005F5EC4">
        <w:t xml:space="preserve"> de la alin. (1)</w:t>
      </w:r>
      <w:r w:rsidRPr="006E39B7">
        <w:t>;</w:t>
      </w:r>
    </w:p>
    <w:p w:rsidR="0030183A" w:rsidRPr="006E39B7" w:rsidRDefault="0030183A" w:rsidP="0030183A">
      <w:pPr>
        <w:pStyle w:val="ListParagraph"/>
        <w:numPr>
          <w:ilvl w:val="0"/>
          <w:numId w:val="12"/>
        </w:numPr>
        <w:spacing w:line="360" w:lineRule="auto"/>
        <w:jc w:val="both"/>
      </w:pPr>
      <w:r w:rsidRPr="006E39B7">
        <w:t>MAX() – funcție matematică prin care se determină valoarea maximă dintr-un șir de valori;</w:t>
      </w:r>
    </w:p>
    <w:p w:rsidR="0030183A" w:rsidRPr="006E39B7" w:rsidRDefault="0030183A" w:rsidP="0030183A">
      <w:pPr>
        <w:pStyle w:val="ListParagraph"/>
        <w:numPr>
          <w:ilvl w:val="0"/>
          <w:numId w:val="12"/>
        </w:numPr>
        <w:spacing w:line="360" w:lineRule="auto"/>
        <w:jc w:val="both"/>
      </w:pPr>
      <w:r w:rsidRPr="006E39B7">
        <w:t>V</w:t>
      </w:r>
      <w:r w:rsidR="005F3B89" w:rsidRPr="005F3B89">
        <w:rPr>
          <w:vertAlign w:val="subscript"/>
        </w:rPr>
        <w:t>Bd</w:t>
      </w:r>
      <w:r>
        <w:rPr>
          <w:vertAlign w:val="subscript"/>
        </w:rPr>
        <w:t>j</w:t>
      </w:r>
      <w:r w:rsidRPr="006E39B7">
        <w:t xml:space="preserve"> - valoarea anuală a indicator</w:t>
      </w:r>
      <w:r w:rsidR="00C72460">
        <w:t>ului</w:t>
      </w:r>
      <w:r w:rsidRPr="006E39B7">
        <w:t xml:space="preserve"> </w:t>
      </w:r>
      <w:r w:rsidR="00484570" w:rsidRPr="006E39B7">
        <w:t xml:space="preserve">de </w:t>
      </w:r>
      <w:r w:rsidR="00484570">
        <w:t xml:space="preserve">monitorizare </w:t>
      </w:r>
      <w:r w:rsidR="00C72460">
        <w:t>j, conform nominalizărilor de</w:t>
      </w:r>
      <w:r w:rsidR="00484570" w:rsidRPr="006E39B7">
        <w:t xml:space="preserve"> la </w:t>
      </w:r>
      <w:r w:rsidR="00484570">
        <w:t>alin. (1);</w:t>
      </w:r>
    </w:p>
    <w:p w:rsidR="0030183A" w:rsidRPr="006E39B7" w:rsidRDefault="0030183A" w:rsidP="0030183A">
      <w:pPr>
        <w:pStyle w:val="ListParagraph"/>
        <w:numPr>
          <w:ilvl w:val="0"/>
          <w:numId w:val="12"/>
        </w:numPr>
        <w:spacing w:line="360" w:lineRule="auto"/>
        <w:jc w:val="both"/>
      </w:pPr>
      <w:r w:rsidRPr="006E39B7">
        <w:t>an</w:t>
      </w:r>
      <w:r w:rsidRPr="006E39B7">
        <w:rPr>
          <w:vertAlign w:val="subscript"/>
        </w:rPr>
        <w:t>t</w:t>
      </w:r>
      <w:r w:rsidRPr="006E39B7">
        <w:t xml:space="preserve"> – anul de raportare;</w:t>
      </w:r>
    </w:p>
    <w:p w:rsidR="0030183A" w:rsidRPr="006E39B7" w:rsidRDefault="0030183A" w:rsidP="0030183A">
      <w:pPr>
        <w:pStyle w:val="ListParagraph"/>
        <w:numPr>
          <w:ilvl w:val="0"/>
          <w:numId w:val="12"/>
        </w:numPr>
        <w:spacing w:line="360" w:lineRule="auto"/>
        <w:jc w:val="both"/>
      </w:pPr>
      <w:r w:rsidRPr="006E39B7">
        <w:t>an</w:t>
      </w:r>
      <w:r w:rsidRPr="006E39B7">
        <w:rPr>
          <w:vertAlign w:val="subscript"/>
        </w:rPr>
        <w:t>t-4</w:t>
      </w:r>
      <w:r w:rsidRPr="006E39B7">
        <w:t>,...., an</w:t>
      </w:r>
      <w:r w:rsidRPr="006E39B7">
        <w:rPr>
          <w:vertAlign w:val="subscript"/>
        </w:rPr>
        <w:t xml:space="preserve">t </w:t>
      </w:r>
      <w:r w:rsidRPr="006E39B7">
        <w:t>– perioadă de cinci ani consecutivi, inclusiv anul t de raportare, pentru care se iau în calcul valorile indicator</w:t>
      </w:r>
      <w:r w:rsidR="00664CAD">
        <w:t>ului</w:t>
      </w:r>
      <w:r w:rsidRPr="006E39B7">
        <w:t xml:space="preserve"> </w:t>
      </w:r>
      <w:r w:rsidR="00484570">
        <w:t xml:space="preserve">de </w:t>
      </w:r>
      <w:r w:rsidRPr="006E39B7">
        <w:t>monitoriza</w:t>
      </w:r>
      <w:r w:rsidR="00484570">
        <w:t>re</w:t>
      </w:r>
      <w:r w:rsidRPr="006E39B7">
        <w:t>, pentru determinarea indicatorului de performanță aferent anului t de raportare;</w:t>
      </w:r>
    </w:p>
    <w:p w:rsidR="00494E7C" w:rsidRDefault="0030183A" w:rsidP="00484570">
      <w:pPr>
        <w:pStyle w:val="ListParagraph"/>
        <w:numPr>
          <w:ilvl w:val="0"/>
          <w:numId w:val="12"/>
        </w:numPr>
        <w:spacing w:line="360" w:lineRule="auto"/>
        <w:jc w:val="both"/>
      </w:pPr>
      <w:r w:rsidRPr="006E39B7">
        <w:t xml:space="preserve">j – numărul de ordine al indicatorului </w:t>
      </w:r>
      <w:r w:rsidR="00F523D6">
        <w:t xml:space="preserve">de </w:t>
      </w:r>
      <w:r w:rsidR="00664CAD">
        <w:t>monitorizare/</w:t>
      </w:r>
      <w:r w:rsidR="00F523D6">
        <w:t>performanță</w:t>
      </w:r>
      <w:r w:rsidR="000D0056">
        <w:t xml:space="preserve">, </w:t>
      </w:r>
      <w:r w:rsidR="000D0056" w:rsidRPr="00D22202">
        <w:t>conform nominalizări</w:t>
      </w:r>
      <w:r w:rsidR="00484570">
        <w:t>lor</w:t>
      </w:r>
      <w:r w:rsidR="000D0056" w:rsidRPr="00D22202">
        <w:t xml:space="preserve"> de la alin. (1)</w:t>
      </w:r>
      <w:r w:rsidRPr="006E39B7">
        <w:t>.</w:t>
      </w:r>
    </w:p>
    <w:p w:rsidR="003E32D5" w:rsidRPr="0096397F" w:rsidRDefault="00EA304C" w:rsidP="003E32D5">
      <w:pPr>
        <w:pStyle w:val="ListParagraph"/>
        <w:numPr>
          <w:ilvl w:val="0"/>
          <w:numId w:val="14"/>
        </w:numPr>
        <w:spacing w:line="360" w:lineRule="auto"/>
        <w:jc w:val="both"/>
      </w:pPr>
      <w:r w:rsidRPr="0096397F">
        <w:t>Î</w:t>
      </w:r>
      <w:r w:rsidR="003E32D5" w:rsidRPr="0096397F">
        <w:t>n cazul în care valorile realizate V</w:t>
      </w:r>
      <w:r w:rsidR="003E32D5" w:rsidRPr="0096397F">
        <w:rPr>
          <w:vertAlign w:val="subscript"/>
        </w:rPr>
        <w:t>Bd</w:t>
      </w:r>
      <w:r w:rsidR="0096397F" w:rsidRPr="0096397F">
        <w:rPr>
          <w:vertAlign w:val="subscript"/>
        </w:rPr>
        <w:t>7</w:t>
      </w:r>
      <w:r w:rsidR="003E32D5" w:rsidRPr="0096397F">
        <w:t xml:space="preserve"> </w:t>
      </w:r>
      <w:r w:rsidR="00B313B0" w:rsidRPr="0096397F">
        <w:t xml:space="preserve">prevăzute la alin. (3) </w:t>
      </w:r>
      <w:r w:rsidR="003E32D5" w:rsidRPr="0096397F">
        <w:t>sunt egale cu zero pentru cei 5</w:t>
      </w:r>
      <w:r w:rsidR="00B313B0" w:rsidRPr="0096397F">
        <w:t xml:space="preserve"> ani consecutivi</w:t>
      </w:r>
      <w:r w:rsidR="0096397F" w:rsidRPr="0096397F">
        <w:t>: t-4, ..., t</w:t>
      </w:r>
      <w:r w:rsidR="003E32D5" w:rsidRPr="0096397F">
        <w:t xml:space="preserve"> (</w:t>
      </w:r>
      <w:r w:rsidR="0096397F">
        <w:t xml:space="preserve">OD </w:t>
      </w:r>
      <w:r w:rsidR="003E32D5" w:rsidRPr="0096397F">
        <w:t>nu a achiziționat niciun serviciu de flexibilitate</w:t>
      </w:r>
      <w:r w:rsidR="0096397F" w:rsidRPr="0096397F">
        <w:t xml:space="preserve"> în cei 5 ani</w:t>
      </w:r>
      <w:r w:rsidR="003E32D5" w:rsidRPr="0096397F">
        <w:t>), valoarea indicatorului de performanță</w:t>
      </w:r>
      <w:r w:rsidR="0096397F" w:rsidRPr="0096397F">
        <w:t xml:space="preserve"> I</w:t>
      </w:r>
      <w:r w:rsidR="0096397F" w:rsidRPr="0096397F">
        <w:rPr>
          <w:vertAlign w:val="subscript"/>
        </w:rPr>
        <w:t>Bd7</w:t>
      </w:r>
      <w:r w:rsidR="003E32D5" w:rsidRPr="0096397F">
        <w:t xml:space="preserve"> aferent anului </w:t>
      </w:r>
      <w:r w:rsidR="0096397F" w:rsidRPr="0096397F">
        <w:t xml:space="preserve">t </w:t>
      </w:r>
      <w:r w:rsidR="003E32D5" w:rsidRPr="0096397F">
        <w:t>este zero.</w:t>
      </w:r>
    </w:p>
    <w:p w:rsidR="005074B1" w:rsidRPr="006E39B7" w:rsidRDefault="005074B1" w:rsidP="00EF2206">
      <w:pPr>
        <w:pStyle w:val="ListParagraph"/>
        <w:numPr>
          <w:ilvl w:val="0"/>
          <w:numId w:val="2"/>
        </w:numPr>
        <w:spacing w:line="360" w:lineRule="auto"/>
        <w:ind w:left="709"/>
        <w:jc w:val="both"/>
        <w:rPr>
          <w:rFonts w:eastAsia="Times New Roman"/>
          <w:color w:val="000000"/>
          <w:shd w:val="clear" w:color="auto" w:fill="FFFFFF"/>
        </w:rPr>
      </w:pPr>
      <w:bookmarkStart w:id="35" w:name="_Hlk178664392"/>
    </w:p>
    <w:p w:rsidR="009F2E32" w:rsidRPr="009F2E32" w:rsidRDefault="002E6722" w:rsidP="009F2E32">
      <w:pPr>
        <w:pStyle w:val="ListParagraph"/>
        <w:numPr>
          <w:ilvl w:val="0"/>
          <w:numId w:val="18"/>
        </w:numPr>
        <w:spacing w:line="360" w:lineRule="auto"/>
        <w:jc w:val="both"/>
        <w:rPr>
          <w:b/>
        </w:rPr>
      </w:pPr>
      <w:bookmarkStart w:id="36" w:name="_Hlk178077445"/>
      <w:bookmarkEnd w:id="35"/>
      <w:r w:rsidRPr="002E6722">
        <w:t xml:space="preserve">Indicatorii </w:t>
      </w:r>
      <w:r w:rsidR="00147293">
        <w:t>de monitorizare</w:t>
      </w:r>
      <w:r w:rsidRPr="002E6722">
        <w:t xml:space="preserve"> din categoria </w:t>
      </w:r>
      <w:r>
        <w:t>C</w:t>
      </w:r>
      <w:r w:rsidRPr="002E6722">
        <w:t xml:space="preserve">, </w:t>
      </w:r>
      <w:r w:rsidR="00D206CB" w:rsidRPr="006E39B7">
        <w:t>care reflectă nivelul de digitalizare a rețelelor electrice</w:t>
      </w:r>
      <w:r w:rsidR="00D206CB" w:rsidRPr="002E6722">
        <w:t xml:space="preserve"> </w:t>
      </w:r>
      <w:r w:rsidRPr="002E6722">
        <w:t>sunt</w:t>
      </w:r>
      <w:r w:rsidR="009F2E32" w:rsidRPr="009F2E32">
        <w:t xml:space="preserve">: </w:t>
      </w:r>
    </w:p>
    <w:bookmarkEnd w:id="36"/>
    <w:p w:rsidR="009F2E32" w:rsidRPr="006E39B7" w:rsidRDefault="006A2C9F" w:rsidP="009F2E32">
      <w:pPr>
        <w:pStyle w:val="ListParagraph"/>
        <w:numPr>
          <w:ilvl w:val="1"/>
          <w:numId w:val="17"/>
        </w:numPr>
        <w:spacing w:line="360" w:lineRule="auto"/>
        <w:ind w:left="1276"/>
        <w:jc w:val="both"/>
      </w:pPr>
      <w:r>
        <w:t xml:space="preserve">GrSMI - </w:t>
      </w:r>
      <w:r w:rsidR="009F2E32" w:rsidRPr="006E39B7">
        <w:t>Grad</w:t>
      </w:r>
      <w:r w:rsidR="009F2E32">
        <w:t>ul</w:t>
      </w:r>
      <w:r w:rsidR="009F2E32" w:rsidRPr="006E39B7">
        <w:t xml:space="preserve"> de implementare a SMI în zona de concesiune</w:t>
      </w:r>
      <w:r w:rsidR="0096397F">
        <w:t xml:space="preserve"> [%]</w:t>
      </w:r>
      <w:r w:rsidR="009F2E32" w:rsidRPr="006E39B7">
        <w:t>;</w:t>
      </w:r>
    </w:p>
    <w:p w:rsidR="009F2E32" w:rsidRPr="006E39B7" w:rsidRDefault="006A2C9F" w:rsidP="009F2E32">
      <w:pPr>
        <w:pStyle w:val="ListParagraph"/>
        <w:numPr>
          <w:ilvl w:val="1"/>
          <w:numId w:val="17"/>
        </w:numPr>
        <w:spacing w:line="360" w:lineRule="auto"/>
        <w:ind w:left="1276"/>
        <w:jc w:val="both"/>
      </w:pPr>
      <w:r>
        <w:t xml:space="preserve">ST - </w:t>
      </w:r>
      <w:r w:rsidR="009F2E32">
        <w:t>P</w:t>
      </w:r>
      <w:r w:rsidR="00C21F90">
        <w:t xml:space="preserve">onderea </w:t>
      </w:r>
      <w:r w:rsidR="009F2E32">
        <w:t>numărului de s</w:t>
      </w:r>
      <w:r w:rsidR="009F2E32" w:rsidRPr="006E39B7">
        <w:t>tații de transformare sau de conexiune automatizate</w:t>
      </w:r>
      <w:bookmarkStart w:id="37" w:name="_Hlk178157782"/>
      <w:r w:rsidR="009F2E32" w:rsidRPr="006E39B7">
        <w:t xml:space="preserve">, aflate în gestiunea </w:t>
      </w:r>
      <w:r w:rsidR="00506D89">
        <w:t>OD</w:t>
      </w:r>
      <w:r w:rsidR="009F2E32" w:rsidRPr="006E39B7">
        <w:t>,</w:t>
      </w:r>
      <w:bookmarkEnd w:id="37"/>
      <w:r w:rsidR="009F2E32" w:rsidRPr="006E39B7">
        <w:t xml:space="preserve"> care sunt </w:t>
      </w:r>
      <w:r w:rsidR="00581246">
        <w:t>monitorizate de la distanță</w:t>
      </w:r>
      <w:r w:rsidR="009F2E32" w:rsidRPr="006E39B7">
        <w:t xml:space="preserve"> și/sau care permit </w:t>
      </w:r>
      <w:r w:rsidR="006C7DC9">
        <w:t>acționarea</w:t>
      </w:r>
      <w:r w:rsidR="009F2E32" w:rsidRPr="006E39B7">
        <w:t xml:space="preserve"> de la distanță a unor echipamente</w:t>
      </w:r>
      <w:r w:rsidR="00506D89">
        <w:t>, raportat la numărul total al staţiilor de transformare sau de conexiune</w:t>
      </w:r>
      <w:r w:rsidR="00E85026">
        <w:t xml:space="preserve"> </w:t>
      </w:r>
      <w:bookmarkStart w:id="38" w:name="_Hlk179885187"/>
      <w:r w:rsidR="00E85026">
        <w:t>din zona de concesiune a OD</w:t>
      </w:r>
      <w:bookmarkEnd w:id="38"/>
      <w:r w:rsidR="009F2E32">
        <w:t xml:space="preserve"> </w:t>
      </w:r>
      <w:r>
        <w:t>[%]</w:t>
      </w:r>
      <w:r w:rsidR="009F2E32" w:rsidRPr="006E39B7">
        <w:t>;</w:t>
      </w:r>
    </w:p>
    <w:p w:rsidR="009F2E32" w:rsidRPr="006E39B7" w:rsidRDefault="00FE144A" w:rsidP="009F2E32">
      <w:pPr>
        <w:pStyle w:val="ListParagraph"/>
        <w:numPr>
          <w:ilvl w:val="1"/>
          <w:numId w:val="17"/>
        </w:numPr>
        <w:spacing w:line="360" w:lineRule="auto"/>
        <w:ind w:left="1276"/>
        <w:jc w:val="both"/>
      </w:pPr>
      <w:r>
        <w:t>P</w:t>
      </w:r>
      <w:r w:rsidR="00E512DE">
        <w:t>A</w:t>
      </w:r>
      <w:r>
        <w:t xml:space="preserve"> - </w:t>
      </w:r>
      <w:r w:rsidR="00EC312C">
        <w:t>P</w:t>
      </w:r>
      <w:r w:rsidR="00581246">
        <w:t xml:space="preserve">onderea </w:t>
      </w:r>
      <w:r w:rsidR="00EC312C">
        <w:t>n</w:t>
      </w:r>
      <w:r w:rsidR="009F2E32">
        <w:t>umăr</w:t>
      </w:r>
      <w:r w:rsidR="00EC312C">
        <w:t>ului de</w:t>
      </w:r>
      <w:r w:rsidR="009F2E32">
        <w:t xml:space="preserve"> p</w:t>
      </w:r>
      <w:r w:rsidR="009F2E32" w:rsidRPr="006E39B7">
        <w:t xml:space="preserve">uncte de alimentare automatizate, aflate în gestiunea </w:t>
      </w:r>
      <w:r w:rsidR="00506D89">
        <w:t>OD</w:t>
      </w:r>
      <w:r w:rsidR="009F2E32" w:rsidRPr="006E39B7">
        <w:t xml:space="preserve">, care sunt </w:t>
      </w:r>
      <w:r w:rsidR="00EC312C">
        <w:t>monitorizate</w:t>
      </w:r>
      <w:r w:rsidR="009F2E32" w:rsidRPr="006E39B7">
        <w:t xml:space="preserve"> </w:t>
      </w:r>
      <w:r w:rsidR="00EC312C">
        <w:t xml:space="preserve">de la distanță </w:t>
      </w:r>
      <w:r w:rsidR="009F2E32" w:rsidRPr="006E39B7">
        <w:t xml:space="preserve">și/sau care permit </w:t>
      </w:r>
      <w:r w:rsidR="006C7DC9">
        <w:t>acționarea</w:t>
      </w:r>
      <w:r w:rsidR="009F2E32" w:rsidRPr="006E39B7">
        <w:t xml:space="preserve"> de la distanță a unor echipamente, </w:t>
      </w:r>
      <w:r w:rsidR="00506D89">
        <w:t>raportat la numărul total al p</w:t>
      </w:r>
      <w:r w:rsidR="00506D89" w:rsidRPr="006E39B7">
        <w:t>uncte</w:t>
      </w:r>
      <w:r w:rsidR="00506D89">
        <w:t>lor</w:t>
      </w:r>
      <w:r w:rsidR="00506D89" w:rsidRPr="006E39B7">
        <w:t xml:space="preserve"> de alimentare</w:t>
      </w:r>
      <w:r w:rsidR="00E85026" w:rsidRPr="00E85026">
        <w:t xml:space="preserve"> din zona de concesiune a OD</w:t>
      </w:r>
      <w:r w:rsidR="009F2E32">
        <w:t xml:space="preserve"> </w:t>
      </w:r>
      <w:r>
        <w:t>[%]</w:t>
      </w:r>
      <w:r w:rsidR="009F2E32" w:rsidRPr="006E39B7">
        <w:t>;</w:t>
      </w:r>
    </w:p>
    <w:p w:rsidR="009F2E32" w:rsidRPr="006E39B7" w:rsidRDefault="00FE144A" w:rsidP="009F2E32">
      <w:pPr>
        <w:pStyle w:val="ListParagraph"/>
        <w:numPr>
          <w:ilvl w:val="1"/>
          <w:numId w:val="17"/>
        </w:numPr>
        <w:spacing w:line="360" w:lineRule="auto"/>
        <w:ind w:left="1276"/>
        <w:jc w:val="both"/>
      </w:pPr>
      <w:r>
        <w:t xml:space="preserve">PT - </w:t>
      </w:r>
      <w:r w:rsidR="00EC312C">
        <w:t>P</w:t>
      </w:r>
      <w:r w:rsidR="00581246">
        <w:t xml:space="preserve">onderea </w:t>
      </w:r>
      <w:r w:rsidR="00EC312C">
        <w:t>n</w:t>
      </w:r>
      <w:r w:rsidR="009F2E32">
        <w:t>umăr</w:t>
      </w:r>
      <w:r w:rsidR="00EC312C">
        <w:t>ului de</w:t>
      </w:r>
      <w:r w:rsidR="009F2E32">
        <w:t xml:space="preserve"> p</w:t>
      </w:r>
      <w:r w:rsidR="009F2E32" w:rsidRPr="006E39B7">
        <w:t xml:space="preserve">osturi de transformare, aflate în gestiunea </w:t>
      </w:r>
      <w:r w:rsidR="00506D89">
        <w:t>OD</w:t>
      </w:r>
      <w:r w:rsidR="009F2E32" w:rsidRPr="006E39B7">
        <w:t xml:space="preserve">, care sunt </w:t>
      </w:r>
      <w:r w:rsidR="00EC312C">
        <w:t>monitorizate de la distanță</w:t>
      </w:r>
      <w:r w:rsidR="009F2E32" w:rsidRPr="006E39B7">
        <w:t xml:space="preserve"> și/sau care permit </w:t>
      </w:r>
      <w:r w:rsidR="006C7DC9">
        <w:t>acționarea</w:t>
      </w:r>
      <w:r w:rsidR="009F2E32" w:rsidRPr="006E39B7">
        <w:t xml:space="preserve"> de la distanță</w:t>
      </w:r>
      <w:r w:rsidR="006C7DC9" w:rsidRPr="006C7DC9">
        <w:t xml:space="preserve"> a unor echipamente</w:t>
      </w:r>
      <w:r w:rsidR="009F2E32" w:rsidRPr="006E39B7">
        <w:t xml:space="preserve">, </w:t>
      </w:r>
      <w:r w:rsidR="00506D89">
        <w:t>raportat la numărul total al posturilor de transformare</w:t>
      </w:r>
      <w:r w:rsidR="00E85026" w:rsidRPr="00E85026">
        <w:t xml:space="preserve"> din zona de concesiune a OD</w:t>
      </w:r>
      <w:r w:rsidR="009F2E32">
        <w:t xml:space="preserve"> </w:t>
      </w:r>
      <w:r>
        <w:t>[%]</w:t>
      </w:r>
      <w:r w:rsidR="009F2E32" w:rsidRPr="006E39B7">
        <w:t>;</w:t>
      </w:r>
    </w:p>
    <w:p w:rsidR="009F2E32" w:rsidRPr="00D220FB" w:rsidRDefault="00FE144A" w:rsidP="009F2E32">
      <w:pPr>
        <w:pStyle w:val="ListParagraph"/>
        <w:numPr>
          <w:ilvl w:val="1"/>
          <w:numId w:val="17"/>
        </w:numPr>
        <w:spacing w:line="360" w:lineRule="auto"/>
        <w:ind w:left="1276"/>
        <w:jc w:val="both"/>
      </w:pPr>
      <w:r>
        <w:lastRenderedPageBreak/>
        <w:t xml:space="preserve">TrafoIT/MT - </w:t>
      </w:r>
      <w:r w:rsidR="00581246" w:rsidRPr="00581246">
        <w:t xml:space="preserve">Ponderea </w:t>
      </w:r>
      <w:r w:rsidR="00581246">
        <w:t>n</w:t>
      </w:r>
      <w:r w:rsidR="009F2E32">
        <w:t>umăr</w:t>
      </w:r>
      <w:r w:rsidR="00581246">
        <w:t>ului de</w:t>
      </w:r>
      <w:r w:rsidR="009F2E32">
        <w:t xml:space="preserve"> </w:t>
      </w:r>
      <w:r w:rsidR="009F2E32" w:rsidRPr="00D220FB">
        <w:t xml:space="preserve">transformatoare </w:t>
      </w:r>
      <w:r w:rsidR="003773B6" w:rsidRPr="00D220FB">
        <w:t xml:space="preserve">IT/MT </w:t>
      </w:r>
      <w:r w:rsidR="00283441" w:rsidRPr="00D220FB">
        <w:t>automatizate</w:t>
      </w:r>
      <w:r w:rsidR="009F2E32" w:rsidRPr="00D220FB">
        <w:t xml:space="preserve"> și/sau care permit </w:t>
      </w:r>
      <w:r w:rsidR="006C7DC9" w:rsidRPr="00D220FB">
        <w:t>acționarea</w:t>
      </w:r>
      <w:r w:rsidR="009F2E32" w:rsidRPr="00D220FB">
        <w:t xml:space="preserve"> de la distanță, </w:t>
      </w:r>
      <w:r w:rsidR="00506D89" w:rsidRPr="00D220FB">
        <w:t>raportat la numărul total al transformatoarelor IT/MT</w:t>
      </w:r>
      <w:r w:rsidR="00E85026" w:rsidRPr="00E85026">
        <w:t xml:space="preserve"> din zona de concesiune a OD</w:t>
      </w:r>
      <w:r w:rsidR="00506D89" w:rsidRPr="00D220FB">
        <w:t xml:space="preserve"> </w:t>
      </w:r>
      <w:r w:rsidRPr="00D220FB">
        <w:t>[%];</w:t>
      </w:r>
    </w:p>
    <w:p w:rsidR="00FE144A" w:rsidRPr="006E39B7" w:rsidRDefault="00FE144A" w:rsidP="009F2E32">
      <w:pPr>
        <w:pStyle w:val="ListParagraph"/>
        <w:numPr>
          <w:ilvl w:val="1"/>
          <w:numId w:val="17"/>
        </w:numPr>
        <w:spacing w:line="360" w:lineRule="auto"/>
        <w:ind w:left="1276"/>
        <w:jc w:val="both"/>
      </w:pPr>
      <w:r w:rsidRPr="00D220FB">
        <w:t xml:space="preserve">TrafoMT/JT - Ponderea numărului de transformatoare </w:t>
      </w:r>
      <w:r w:rsidR="003773B6" w:rsidRPr="00D220FB">
        <w:t xml:space="preserve">MT/JT </w:t>
      </w:r>
      <w:r w:rsidR="00F871BF" w:rsidRPr="00D220FB">
        <w:t>automatizate</w:t>
      </w:r>
      <w:r w:rsidRPr="00D220FB">
        <w:t xml:space="preserve"> și/sau care permit </w:t>
      </w:r>
      <w:r w:rsidR="006C7DC9" w:rsidRPr="00D220FB">
        <w:t>acționarea</w:t>
      </w:r>
      <w:r w:rsidRPr="00D220FB">
        <w:t xml:space="preserve"> de la distanță, </w:t>
      </w:r>
      <w:r w:rsidR="00506D89" w:rsidRPr="00D220FB">
        <w:t>raportat</w:t>
      </w:r>
      <w:r w:rsidR="00506D89">
        <w:t xml:space="preserve"> la numărul total al t</w:t>
      </w:r>
      <w:r w:rsidR="00506D89" w:rsidRPr="006E39B7">
        <w:t>ransformatoare</w:t>
      </w:r>
      <w:r w:rsidR="00506D89">
        <w:t>lor</w:t>
      </w:r>
      <w:r w:rsidR="00506D89" w:rsidRPr="006E39B7">
        <w:t xml:space="preserve"> </w:t>
      </w:r>
      <w:r w:rsidR="00506D89">
        <w:t>MT/JT</w:t>
      </w:r>
      <w:r w:rsidR="00E85026" w:rsidRPr="00E85026">
        <w:t xml:space="preserve"> din zona de concesiune a OD</w:t>
      </w:r>
      <w:r w:rsidR="00506D89">
        <w:t xml:space="preserve"> </w:t>
      </w:r>
      <w:r>
        <w:t>[%].</w:t>
      </w:r>
    </w:p>
    <w:p w:rsidR="003A07DD" w:rsidRDefault="00991F3F" w:rsidP="00DF04B2">
      <w:pPr>
        <w:pStyle w:val="ListParagraph"/>
        <w:numPr>
          <w:ilvl w:val="0"/>
          <w:numId w:val="18"/>
        </w:numPr>
        <w:spacing w:line="360" w:lineRule="auto"/>
        <w:jc w:val="both"/>
      </w:pPr>
      <w:r>
        <w:t xml:space="preserve">Valoarea indicatorilor de monitorizare prevăzuţi la alin. (1) se determină anual de OD pe baza </w:t>
      </w:r>
      <w:r w:rsidR="00DF43A2">
        <w:t xml:space="preserve">numărului de echipamente existente în funcţiune la 31 decembrie, conform </w:t>
      </w:r>
      <w:r>
        <w:t xml:space="preserve">datelor </w:t>
      </w:r>
      <w:r w:rsidR="00DF43A2">
        <w:t>înregistrate în contabilitate privind</w:t>
      </w:r>
      <w:r>
        <w:t xml:space="preserve"> punere</w:t>
      </w:r>
      <w:r w:rsidR="00DF43A2">
        <w:t>a</w:t>
      </w:r>
      <w:r>
        <w:t xml:space="preserve"> în funcţiune </w:t>
      </w:r>
      <w:r w:rsidR="00DF43A2">
        <w:t>a echipamentelor</w:t>
      </w:r>
      <w:r>
        <w:t>.</w:t>
      </w:r>
    </w:p>
    <w:p w:rsidR="00702339" w:rsidRDefault="00EC7798" w:rsidP="00EC7798">
      <w:pPr>
        <w:pStyle w:val="ListParagraph"/>
        <w:numPr>
          <w:ilvl w:val="0"/>
          <w:numId w:val="18"/>
        </w:numPr>
        <w:spacing w:line="360" w:lineRule="auto"/>
        <w:jc w:val="both"/>
      </w:pPr>
      <w:r>
        <w:t>Indicatorii de performanță din categoria C, aferenți anului t, I</w:t>
      </w:r>
      <w:r w:rsidRPr="00EC7798">
        <w:rPr>
          <w:vertAlign w:val="subscript"/>
        </w:rPr>
        <w:t>Cd,</w:t>
      </w:r>
      <w:r>
        <w:t xml:space="preserve"> </w:t>
      </w:r>
      <w:r w:rsidR="00C065CD">
        <w:t>se calculează pe baza indicatorilor de monitorizare prevăzuţi la alin. (1), punctele 2-6 cu următoarea formulă</w:t>
      </w:r>
      <w:r>
        <w:t>:</w:t>
      </w:r>
    </w:p>
    <w:p w:rsidR="00EC7798" w:rsidRDefault="00F57362" w:rsidP="0095552B">
      <w:pPr>
        <w:pStyle w:val="ListParagraph"/>
        <w:spacing w:line="360" w:lineRule="auto"/>
        <w:jc w:val="both"/>
      </w:pPr>
      <m:oMathPara>
        <m:oMath>
          <m:sSub>
            <m:sSubPr>
              <m:ctrlPr>
                <w:rPr>
                  <w:rFonts w:ascii="Cambria Math" w:hAnsi="Cambria Math"/>
                  <w:i/>
                </w:rPr>
              </m:ctrlPr>
            </m:sSubPr>
            <m:e>
              <m:r>
                <w:rPr>
                  <w:rFonts w:ascii="Cambria Math" w:hAnsi="Cambria Math"/>
                </w:rPr>
                <m:t>I</m:t>
              </m:r>
            </m:e>
            <m:sub>
              <m:r>
                <w:rPr>
                  <w:rFonts w:ascii="Cambria Math" w:hAnsi="Cambria Math"/>
                </w:rPr>
                <m:t>Cdk</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V</m:t>
                  </m:r>
                </m:e>
                <m:sub>
                  <m:sSub>
                    <m:sSubPr>
                      <m:ctrlPr>
                        <w:rPr>
                          <w:rFonts w:ascii="Cambria Math" w:hAnsi="Cambria Math"/>
                          <w:i/>
                        </w:rPr>
                      </m:ctrlPr>
                    </m:sSubPr>
                    <m:e>
                      <m:r>
                        <w:rPr>
                          <w:rFonts w:ascii="Cambria Math" w:hAnsi="Cambria Math"/>
                        </w:rPr>
                        <m:t>Cdk</m:t>
                      </m:r>
                    </m:e>
                    <m:sub>
                      <m:r>
                        <w:rPr>
                          <w:rFonts w:ascii="Cambria Math" w:hAnsi="Cambria Math"/>
                        </w:rPr>
                        <m:t>ant</m:t>
                      </m:r>
                    </m:sub>
                  </m:sSub>
                </m:sub>
              </m:sSub>
            </m:num>
            <m:den>
              <m:sSub>
                <m:sSubPr>
                  <m:ctrlPr>
                    <w:rPr>
                      <w:rFonts w:ascii="Cambria Math" w:hAnsi="Cambria Math"/>
                      <w:i/>
                    </w:rPr>
                  </m:ctrlPr>
                </m:sSubPr>
                <m:e>
                  <m:r>
                    <w:rPr>
                      <w:rFonts w:ascii="Cambria Math" w:hAnsi="Cambria Math"/>
                    </w:rPr>
                    <m:t>V</m:t>
                  </m:r>
                </m:e>
                <m:sub>
                  <m:sSub>
                    <m:sSubPr>
                      <m:ctrlPr>
                        <w:rPr>
                          <w:rFonts w:ascii="Cambria Math" w:hAnsi="Cambria Math"/>
                          <w:i/>
                        </w:rPr>
                      </m:ctrlPr>
                    </m:sSubPr>
                    <m:e>
                      <m:r>
                        <w:rPr>
                          <w:rFonts w:ascii="Cambria Math" w:hAnsi="Cambria Math"/>
                        </w:rPr>
                        <m:t>ținta</m:t>
                      </m:r>
                    </m:e>
                    <m:sub/>
                  </m:sSub>
                </m:sub>
              </m:sSub>
            </m:den>
          </m:f>
          <m:r>
            <w:rPr>
              <w:rFonts w:ascii="Cambria Math" w:hAnsi="Cambria Math"/>
            </w:rPr>
            <m:t>×100% [%]</m:t>
          </m:r>
        </m:oMath>
      </m:oMathPara>
    </w:p>
    <w:p w:rsidR="00EC7798" w:rsidRDefault="00EC7798" w:rsidP="009A2635">
      <w:pPr>
        <w:pStyle w:val="ListParagraph"/>
        <w:spacing w:line="360" w:lineRule="auto"/>
        <w:ind w:left="720" w:hanging="436"/>
        <w:jc w:val="both"/>
      </w:pPr>
      <w:r>
        <w:t>Unde:</w:t>
      </w:r>
    </w:p>
    <w:p w:rsidR="00EC7798" w:rsidRDefault="00EC7798" w:rsidP="009A2635">
      <w:pPr>
        <w:pStyle w:val="ListParagraph"/>
        <w:numPr>
          <w:ilvl w:val="0"/>
          <w:numId w:val="37"/>
        </w:numPr>
        <w:spacing w:line="360" w:lineRule="auto"/>
        <w:ind w:left="709"/>
        <w:jc w:val="both"/>
      </w:pPr>
      <w:r>
        <w:t>I</w:t>
      </w:r>
      <w:r w:rsidRPr="00EC7798">
        <w:rPr>
          <w:vertAlign w:val="subscript"/>
        </w:rPr>
        <w:t>Cdk</w:t>
      </w:r>
      <w:r>
        <w:t xml:space="preserve"> – indicator </w:t>
      </w:r>
      <w:r w:rsidRPr="00EC7798">
        <w:t xml:space="preserve">care reflectă performanța </w:t>
      </w:r>
      <w:r w:rsidR="00C065CD">
        <w:t>realizată</w:t>
      </w:r>
      <w:r w:rsidR="00C065CD" w:rsidRPr="00EC7798">
        <w:t xml:space="preserve"> </w:t>
      </w:r>
      <w:r w:rsidRPr="00EC7798">
        <w:t>de OD cu privire la</w:t>
      </w:r>
      <w:r>
        <w:t xml:space="preserve"> digitalizarea rețelelor electrice de distribuție</w:t>
      </w:r>
      <w:r w:rsidR="009A2635">
        <w:t>, în anul t, pentru indicatorul k, conform nominalizări</w:t>
      </w:r>
      <w:r w:rsidR="00C065CD">
        <w:t>lor</w:t>
      </w:r>
      <w:r w:rsidR="009A2635">
        <w:t xml:space="preserve"> de la alin. (1);</w:t>
      </w:r>
    </w:p>
    <w:p w:rsidR="009A2635" w:rsidRDefault="009A2635" w:rsidP="009A2635">
      <w:pPr>
        <w:pStyle w:val="ListParagraph"/>
        <w:numPr>
          <w:ilvl w:val="0"/>
          <w:numId w:val="37"/>
        </w:numPr>
        <w:spacing w:line="360" w:lineRule="auto"/>
        <w:ind w:left="709"/>
        <w:jc w:val="both"/>
      </w:pPr>
      <w:r w:rsidRPr="006E39B7">
        <w:t>V</w:t>
      </w:r>
      <w:r w:rsidRPr="003A7018">
        <w:rPr>
          <w:vertAlign w:val="subscript"/>
        </w:rPr>
        <w:t>Cdk</w:t>
      </w:r>
      <w:r w:rsidRPr="006E39B7">
        <w:t xml:space="preserve"> - valoarea anuală a indicator</w:t>
      </w:r>
      <w:r w:rsidR="003A7018">
        <w:t>ului</w:t>
      </w:r>
      <w:r w:rsidRPr="006E39B7">
        <w:t xml:space="preserve"> </w:t>
      </w:r>
      <w:r w:rsidR="00C065CD" w:rsidRPr="006E39B7">
        <w:t xml:space="preserve">de </w:t>
      </w:r>
      <w:r w:rsidR="00C065CD">
        <w:t xml:space="preserve">monitorizare </w:t>
      </w:r>
      <w:r w:rsidR="003A7018">
        <w:t>k, conform nominalizărilor de</w:t>
      </w:r>
      <w:r w:rsidR="00C065CD" w:rsidRPr="006E39B7">
        <w:t xml:space="preserve"> la </w:t>
      </w:r>
      <w:r w:rsidR="00C065CD">
        <w:t>alin. (1), calcula</w:t>
      </w:r>
      <w:r w:rsidR="003A7018">
        <w:t>tă</w:t>
      </w:r>
      <w:r w:rsidR="00C065CD">
        <w:t xml:space="preserve"> pentru anul t;</w:t>
      </w:r>
    </w:p>
    <w:p w:rsidR="003A7018" w:rsidRPr="006E39B7" w:rsidRDefault="003A7018" w:rsidP="009A2635">
      <w:pPr>
        <w:pStyle w:val="ListParagraph"/>
        <w:numPr>
          <w:ilvl w:val="0"/>
          <w:numId w:val="37"/>
        </w:numPr>
        <w:spacing w:line="360" w:lineRule="auto"/>
        <w:ind w:left="709"/>
        <w:jc w:val="both"/>
      </w:pPr>
      <w:r>
        <w:t>Vţintă – valoarea ţintă a indicatorului de monitorizare k, conform nominalizărilor de</w:t>
      </w:r>
      <w:r w:rsidRPr="006E39B7">
        <w:t xml:space="preserve"> la </w:t>
      </w:r>
      <w:r>
        <w:t>alin. (1), stabilită conform prevederilor art. 8;</w:t>
      </w:r>
    </w:p>
    <w:p w:rsidR="009A2635" w:rsidRDefault="009A2635" w:rsidP="00F56C77">
      <w:pPr>
        <w:pStyle w:val="ListParagraph"/>
        <w:numPr>
          <w:ilvl w:val="0"/>
          <w:numId w:val="37"/>
        </w:numPr>
        <w:spacing w:line="360" w:lineRule="auto"/>
        <w:ind w:left="709"/>
        <w:jc w:val="both"/>
      </w:pPr>
      <w:r>
        <w:t xml:space="preserve">k - </w:t>
      </w:r>
      <w:r w:rsidRPr="009A2635">
        <w:t xml:space="preserve">numărul de ordine al indicatorului de </w:t>
      </w:r>
      <w:r w:rsidR="003A7018">
        <w:t>monitorizare/</w:t>
      </w:r>
      <w:r w:rsidRPr="009A2635">
        <w:t>performanță, conform nominalizări</w:t>
      </w:r>
      <w:r w:rsidR="00886B31">
        <w:t>lor</w:t>
      </w:r>
      <w:r w:rsidRPr="009A2635">
        <w:t xml:space="preserve"> de la alin. (1)</w:t>
      </w:r>
      <w:r w:rsidR="00F56C77">
        <w:t>; k=2</w:t>
      </w:r>
      <w:r w:rsidR="003B67B6">
        <w:t xml:space="preserve"> -</w:t>
      </w:r>
      <w:r w:rsidR="00F56C77">
        <w:t xml:space="preserve"> 6</w:t>
      </w:r>
      <w:r w:rsidRPr="009A2635">
        <w:t>.</w:t>
      </w:r>
    </w:p>
    <w:p w:rsidR="00AE7647" w:rsidRDefault="00AE7647" w:rsidP="00AE7647">
      <w:pPr>
        <w:pStyle w:val="ListParagraph"/>
        <w:numPr>
          <w:ilvl w:val="0"/>
          <w:numId w:val="18"/>
        </w:numPr>
        <w:spacing w:line="360" w:lineRule="auto"/>
        <w:jc w:val="both"/>
      </w:pPr>
      <w:r>
        <w:t>Indicatorul de performanță din categoria C, de la punctul 1, aferent anului t, se calculează cu următoarea formulă:</w:t>
      </w:r>
    </w:p>
    <w:bookmarkStart w:id="39" w:name="_Hlk177650563"/>
    <w:p w:rsidR="00AE7647" w:rsidRPr="00AE7647" w:rsidRDefault="00F57362" w:rsidP="00AE7647">
      <w:pPr>
        <w:pStyle w:val="ListParagraph"/>
        <w:spacing w:line="360" w:lineRule="auto"/>
        <w:ind w:left="720"/>
        <w:jc w:val="both"/>
      </w:pPr>
      <m:oMathPara>
        <m:oMathParaPr>
          <m:jc m:val="center"/>
        </m:oMathParaPr>
        <m:oMath>
          <m:sSub>
            <m:sSubPr>
              <m:ctrlPr>
                <w:rPr>
                  <w:rFonts w:ascii="Cambria Math" w:hAnsi="Cambria Math"/>
                  <w:i/>
                </w:rPr>
              </m:ctrlPr>
            </m:sSubPr>
            <m:e>
              <m:r>
                <w:rPr>
                  <w:rFonts w:ascii="Cambria Math" w:hAnsi="Cambria Math"/>
                </w:rPr>
                <m:t>Gr</m:t>
              </m:r>
            </m:e>
            <m:sub>
              <m:r>
                <w:rPr>
                  <w:rFonts w:ascii="Cambria Math" w:hAnsi="Cambria Math"/>
                </w:rPr>
                <m:t>SMI</m:t>
              </m:r>
            </m:sub>
          </m:sSub>
          <w:bookmarkEnd w:id="39"/>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Nr</m:t>
                  </m:r>
                </m:e>
                <m:sub>
                  <m:sSub>
                    <m:sSubPr>
                      <m:ctrlPr>
                        <w:rPr>
                          <w:rFonts w:ascii="Cambria Math" w:hAnsi="Cambria Math"/>
                          <w:i/>
                        </w:rPr>
                      </m:ctrlPr>
                    </m:sSubPr>
                    <m:e>
                      <m:r>
                        <w:rPr>
                          <w:rFonts w:ascii="Cambria Math" w:hAnsi="Cambria Math"/>
                        </w:rPr>
                        <m:t>LC/LPCSMIan</m:t>
                      </m:r>
                    </m:e>
                    <m:sub>
                      <m:r>
                        <w:rPr>
                          <w:rFonts w:ascii="Cambria Math" w:hAnsi="Cambria Math"/>
                        </w:rPr>
                        <m:t>t</m:t>
                      </m:r>
                    </m:sub>
                  </m:sSub>
                </m:sub>
              </m:sSub>
            </m:num>
            <m:den>
              <m:sSub>
                <m:sSubPr>
                  <m:ctrlPr>
                    <w:rPr>
                      <w:rFonts w:ascii="Cambria Math" w:hAnsi="Cambria Math"/>
                      <w:i/>
                    </w:rPr>
                  </m:ctrlPr>
                </m:sSubPr>
                <m:e>
                  <m:r>
                    <w:rPr>
                      <w:rFonts w:ascii="Cambria Math" w:hAnsi="Cambria Math"/>
                    </w:rPr>
                    <m:t>Nrt</m:t>
                  </m:r>
                </m:e>
                <m:sub>
                  <m:sSub>
                    <m:sSubPr>
                      <m:ctrlPr>
                        <w:rPr>
                          <w:rFonts w:ascii="Cambria Math" w:hAnsi="Cambria Math"/>
                          <w:i/>
                        </w:rPr>
                      </m:ctrlPr>
                    </m:sSubPr>
                    <m:e>
                      <m:r>
                        <w:rPr>
                          <w:rFonts w:ascii="Cambria Math" w:hAnsi="Cambria Math"/>
                        </w:rPr>
                        <m:t>LC/LPCan</m:t>
                      </m:r>
                    </m:e>
                    <m:sub>
                      <m:r>
                        <w:rPr>
                          <w:rFonts w:ascii="Cambria Math" w:hAnsi="Cambria Math"/>
                        </w:rPr>
                        <m:t>t</m:t>
                      </m:r>
                    </m:sub>
                  </m:sSub>
                </m:sub>
              </m:sSub>
            </m:den>
          </m:f>
          <m:r>
            <w:rPr>
              <w:rFonts w:ascii="Cambria Math" w:hAnsi="Cambria Math"/>
            </w:rPr>
            <m:t>×100 [%]</m:t>
          </m:r>
        </m:oMath>
      </m:oMathPara>
    </w:p>
    <w:p w:rsidR="00AE7647" w:rsidRDefault="00AE7647" w:rsidP="00AE7647">
      <w:pPr>
        <w:pStyle w:val="ListParagraph"/>
        <w:spacing w:line="360" w:lineRule="auto"/>
        <w:ind w:left="720"/>
        <w:jc w:val="both"/>
      </w:pPr>
      <w:r>
        <w:t xml:space="preserve">Unde: </w:t>
      </w:r>
    </w:p>
    <w:p w:rsidR="00AE7647" w:rsidRDefault="00AE7647" w:rsidP="00AE7647">
      <w:pPr>
        <w:pStyle w:val="ListParagraph"/>
        <w:numPr>
          <w:ilvl w:val="0"/>
          <w:numId w:val="43"/>
        </w:numPr>
        <w:spacing w:line="360" w:lineRule="auto"/>
        <w:jc w:val="both"/>
      </w:pPr>
      <w:r>
        <w:t>Gr</w:t>
      </w:r>
      <w:r w:rsidRPr="0090437D">
        <w:t>SMI</w:t>
      </w:r>
      <w:r>
        <w:t xml:space="preserve"> –gradul de integrare în sistemele de măsurare inteligentă a energiei electrice (SMI) a locurilor de consum/locurilor de producere și de consum racordate în rețelele electrice de distribuție din zona de concesiune, în anul t;</w:t>
      </w:r>
    </w:p>
    <w:p w:rsidR="00AE7647" w:rsidRDefault="00AE7647" w:rsidP="00AE7647">
      <w:pPr>
        <w:pStyle w:val="ListParagraph"/>
        <w:numPr>
          <w:ilvl w:val="0"/>
          <w:numId w:val="43"/>
        </w:numPr>
        <w:spacing w:line="360" w:lineRule="auto"/>
        <w:jc w:val="both"/>
      </w:pPr>
      <w:r>
        <w:lastRenderedPageBreak/>
        <w:t>Nr</w:t>
      </w:r>
      <w:r>
        <w:rPr>
          <w:vertAlign w:val="subscript"/>
        </w:rPr>
        <w:t xml:space="preserve">LC/LPCSMI </w:t>
      </w:r>
      <w:r>
        <w:t>– Numărul de locuri de consum/de producere și de consum din zona de concesiune care au fost integrate în SMI până la 31 decembrie în anul t;</w:t>
      </w:r>
    </w:p>
    <w:p w:rsidR="00AE7647" w:rsidRDefault="00AE7647" w:rsidP="00AE7647">
      <w:pPr>
        <w:pStyle w:val="ListParagraph"/>
        <w:numPr>
          <w:ilvl w:val="0"/>
          <w:numId w:val="43"/>
        </w:numPr>
        <w:spacing w:line="360" w:lineRule="auto"/>
        <w:jc w:val="both"/>
      </w:pPr>
      <w:r>
        <w:t>Nrt</w:t>
      </w:r>
      <w:r w:rsidRPr="00AE7647">
        <w:t xml:space="preserve">LC/LPC </w:t>
      </w:r>
      <w:r>
        <w:t>– Numărul total de locuri de consum/de producere și consum din zona de concesiune, de pe nivelele de tensiune pe care sunt locuri de consum/de producere și consum integrate în SMI, înregistrat în anul t;</w:t>
      </w:r>
    </w:p>
    <w:p w:rsidR="00060808" w:rsidRPr="006E39B7" w:rsidRDefault="00060808" w:rsidP="00060808">
      <w:pPr>
        <w:pStyle w:val="ListParagraph"/>
        <w:numPr>
          <w:ilvl w:val="0"/>
          <w:numId w:val="2"/>
        </w:numPr>
        <w:spacing w:line="360" w:lineRule="auto"/>
        <w:ind w:left="709"/>
        <w:jc w:val="both"/>
        <w:rPr>
          <w:rFonts w:eastAsia="Times New Roman"/>
          <w:color w:val="000000"/>
          <w:shd w:val="clear" w:color="auto" w:fill="FFFFFF"/>
        </w:rPr>
      </w:pPr>
    </w:p>
    <w:p w:rsidR="00060808" w:rsidRPr="006E39B7" w:rsidRDefault="00060808" w:rsidP="00060808">
      <w:pPr>
        <w:pStyle w:val="ListParagraph"/>
        <w:numPr>
          <w:ilvl w:val="0"/>
          <w:numId w:val="40"/>
        </w:numPr>
        <w:spacing w:line="360" w:lineRule="auto"/>
        <w:jc w:val="both"/>
      </w:pPr>
      <w:r>
        <w:t>V</w:t>
      </w:r>
      <w:r w:rsidRPr="006E39B7">
        <w:t>alo</w:t>
      </w:r>
      <w:r>
        <w:t>area</w:t>
      </w:r>
      <w:r w:rsidRPr="006E39B7">
        <w:t xml:space="preserve"> indicatorului de performanță compus care reflectă performanța globală a </w:t>
      </w:r>
      <w:r>
        <w:t>unui OD</w:t>
      </w:r>
      <w:r w:rsidR="00E85026">
        <w:t xml:space="preserve">, </w:t>
      </w:r>
      <w:r w:rsidR="00E85026" w:rsidRPr="00E85026">
        <w:t>în legătură cu dezvoltarea unei reţele electrice care să promoveze eficienţa energetică şi integrarea energiei electrice produse din surse regenerabile</w:t>
      </w:r>
      <w:r w:rsidR="00E85026">
        <w:t>,</w:t>
      </w:r>
      <w:r>
        <w:t xml:space="preserve"> se calculează cu următoarea formulă</w:t>
      </w:r>
      <w:r w:rsidRPr="006E39B7">
        <w:t>:</w:t>
      </w:r>
    </w:p>
    <w:p w:rsidR="00060808" w:rsidRPr="006E39B7" w:rsidRDefault="00F57362" w:rsidP="00060808">
      <w:pPr>
        <w:pStyle w:val="ListParagraph"/>
        <w:spacing w:line="360" w:lineRule="auto"/>
        <w:jc w:val="center"/>
        <w:rPr>
          <w:rFonts w:ascii="Cambria Math" w:hAnsi="Cambria Math"/>
        </w:rPr>
      </w:pPr>
      <m:oMath>
        <m:sSub>
          <m:sSubPr>
            <m:ctrlPr>
              <w:rPr>
                <w:rFonts w:ascii="Cambria Math" w:hAnsi="Cambria Math"/>
                <w:b/>
                <w:i/>
              </w:rPr>
            </m:ctrlPr>
          </m:sSubPr>
          <m:e>
            <m:r>
              <m:rPr>
                <m:sty m:val="bi"/>
              </m:rPr>
              <w:rPr>
                <w:rFonts w:ascii="Cambria Math" w:hAnsi="Cambria Math"/>
              </w:rPr>
              <m:t>Kpi</m:t>
            </m:r>
          </m:e>
          <m:sub>
            <m:r>
              <m:rPr>
                <m:sty m:val="bi"/>
              </m:rPr>
              <w:rPr>
                <w:rFonts w:ascii="Cambria Math" w:hAnsi="Cambria Math"/>
              </w:rPr>
              <m:t>dg</m:t>
            </m:r>
          </m:sub>
        </m:sSub>
        <m:r>
          <m:rPr>
            <m:sty m:val="bi"/>
          </m:rPr>
          <w:rPr>
            <w:rFonts w:ascii="Cambria Math" w:hAnsi="Cambria Math"/>
          </w:rPr>
          <m:t>=</m:t>
        </m:r>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b>
              <m:sSubPr>
                <m:ctrlPr>
                  <w:rPr>
                    <w:rFonts w:ascii="Cambria Math" w:hAnsi="Cambria Math"/>
                    <w:i/>
                  </w:rPr>
                </m:ctrlPr>
              </m:sSubPr>
              <m:e>
                <m:r>
                  <w:rPr>
                    <w:rFonts w:ascii="Cambria Math" w:hAnsi="Cambria Math"/>
                  </w:rPr>
                  <m:t>(I</m:t>
                </m:r>
              </m:e>
              <m:sub>
                <m:r>
                  <w:rPr>
                    <w:rFonts w:ascii="Cambria Math" w:hAnsi="Cambria Math"/>
                  </w:rPr>
                  <m:t>Adi</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CSdi</m:t>
                </m:r>
              </m:sub>
            </m:sSub>
            <m:r>
              <w:rPr>
                <w:rFonts w:ascii="Cambria Math" w:hAnsi="Cambria Math"/>
              </w:rPr>
              <m:t>)</m:t>
            </m:r>
          </m:e>
        </m:nary>
        <m:r>
          <w:rPr>
            <w:rFonts w:ascii="Cambria Math" w:hAnsi="Cambria Math"/>
          </w:rPr>
          <m:t>×coefpAd+</m:t>
        </m:r>
        <m:nary>
          <m:naryPr>
            <m:chr m:val="∑"/>
            <m:limLoc m:val="undOvr"/>
            <m:ctrlPr>
              <w:rPr>
                <w:rFonts w:ascii="Cambria Math" w:hAnsi="Cambria Math"/>
                <w:i/>
              </w:rPr>
            </m:ctrlPr>
          </m:naryPr>
          <m:sub>
            <m:r>
              <w:rPr>
                <w:rFonts w:ascii="Cambria Math" w:hAnsi="Cambria Math"/>
              </w:rPr>
              <m:t>j=1</m:t>
            </m:r>
          </m:sub>
          <m:sup>
            <m:r>
              <w:rPr>
                <w:rFonts w:ascii="Cambria Math" w:hAnsi="Cambria Math"/>
              </w:rPr>
              <m:t>m</m:t>
            </m:r>
          </m:sup>
          <m:e>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Bdj</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Pdj</m:t>
                </m:r>
              </m:sub>
            </m:sSub>
            <m:r>
              <w:rPr>
                <w:rFonts w:ascii="Cambria Math" w:hAnsi="Cambria Math"/>
              </w:rPr>
              <m:t>)</m:t>
            </m:r>
          </m:e>
        </m:nary>
        <m:r>
          <w:rPr>
            <w:rFonts w:ascii="Cambria Math" w:hAnsi="Cambria Math"/>
          </w:rPr>
          <m:t>×coefpBd</m:t>
        </m:r>
        <m:r>
          <m:rPr>
            <m:sty m:val="bi"/>
          </m:rP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Gr</m:t>
                </m:r>
              </m:e>
              <m:sub>
                <m:r>
                  <w:rPr>
                    <w:rFonts w:ascii="Cambria Math" w:hAnsi="Cambria Math"/>
                  </w:rPr>
                  <m:t>SMI</m:t>
                </m:r>
              </m:sub>
            </m:sSub>
            <m:r>
              <w:rPr>
                <w:rFonts w:ascii="Cambria Math" w:hAnsi="Cambria Math"/>
              </w:rPr>
              <m:t>+</m:t>
            </m:r>
            <m:nary>
              <m:naryPr>
                <m:chr m:val="∑"/>
                <m:limLoc m:val="undOvr"/>
                <m:ctrlPr>
                  <w:rPr>
                    <w:rFonts w:ascii="Cambria Math" w:hAnsi="Cambria Math"/>
                    <w:i/>
                  </w:rPr>
                </m:ctrlPr>
              </m:naryPr>
              <m:sub>
                <m:r>
                  <w:rPr>
                    <w:rFonts w:ascii="Cambria Math" w:hAnsi="Cambria Math"/>
                  </w:rPr>
                  <m:t>k=1</m:t>
                </m:r>
              </m:sub>
              <m:sup>
                <m:r>
                  <w:rPr>
                    <w:rFonts w:ascii="Cambria Math" w:hAnsi="Cambria Math"/>
                  </w:rPr>
                  <m:t>p</m:t>
                </m:r>
              </m:sup>
              <m:e>
                <m:sSub>
                  <m:sSubPr>
                    <m:ctrlPr>
                      <w:rPr>
                        <w:rFonts w:ascii="Cambria Math" w:hAnsi="Cambria Math"/>
                        <w:i/>
                      </w:rPr>
                    </m:ctrlPr>
                  </m:sSubPr>
                  <m:e>
                    <m:r>
                      <w:rPr>
                        <w:rFonts w:ascii="Cambria Math" w:hAnsi="Cambria Math"/>
                      </w:rPr>
                      <m:t>I</m:t>
                    </m:r>
                  </m:e>
                  <m:sub>
                    <m:r>
                      <w:rPr>
                        <w:rFonts w:ascii="Cambria Math" w:hAnsi="Cambria Math"/>
                      </w:rPr>
                      <m:t>Cdk</m:t>
                    </m:r>
                  </m:sub>
                </m:sSub>
              </m:e>
            </m:nary>
          </m:num>
          <m:den>
            <m:r>
              <w:rPr>
                <w:rFonts w:ascii="Cambria Math" w:hAnsi="Cambria Math"/>
              </w:rPr>
              <m:t>p</m:t>
            </m:r>
          </m:den>
        </m:f>
        <m:r>
          <m:rPr>
            <m:sty m:val="bi"/>
          </m:rPr>
          <w:rPr>
            <w:rFonts w:ascii="Cambria Math" w:hAnsi="Cambria Math"/>
          </w:rPr>
          <m:t>×</m:t>
        </m:r>
        <m:r>
          <w:rPr>
            <w:rFonts w:ascii="Cambria Math" w:hAnsi="Cambria Math"/>
          </w:rPr>
          <m:t>coefpCd</m:t>
        </m:r>
      </m:oMath>
      <w:r w:rsidR="00060808" w:rsidRPr="006E39B7">
        <w:rPr>
          <w:rFonts w:ascii="Cambria Math" w:eastAsiaTheme="minorEastAsia" w:hAnsi="Cambria Math"/>
          <w:b/>
          <w:i/>
        </w:rPr>
        <w:t xml:space="preserve"> </w:t>
      </w:r>
      <w:r w:rsidR="00060808" w:rsidRPr="006E39B7">
        <w:rPr>
          <w:rFonts w:ascii="Cambria Math" w:eastAsiaTheme="minorEastAsia" w:hAnsi="Cambria Math"/>
        </w:rPr>
        <w:t>[%]</w:t>
      </w:r>
    </w:p>
    <w:p w:rsidR="00060808" w:rsidRPr="006E39B7" w:rsidRDefault="00060808" w:rsidP="00060808">
      <w:pPr>
        <w:pStyle w:val="ListParagraph"/>
        <w:spacing w:line="360" w:lineRule="auto"/>
        <w:ind w:firstLine="284"/>
        <w:jc w:val="both"/>
      </w:pPr>
      <w:r w:rsidRPr="006E39B7">
        <w:t>Unde:</w:t>
      </w:r>
    </w:p>
    <w:p w:rsidR="00060808" w:rsidRPr="006E39B7" w:rsidRDefault="00060808" w:rsidP="00060808">
      <w:pPr>
        <w:pStyle w:val="ListParagraph"/>
        <w:numPr>
          <w:ilvl w:val="0"/>
          <w:numId w:val="12"/>
        </w:numPr>
        <w:spacing w:line="360" w:lineRule="auto"/>
        <w:jc w:val="both"/>
      </w:pPr>
      <w:r w:rsidRPr="006E39B7">
        <w:t>I</w:t>
      </w:r>
      <w:r>
        <w:rPr>
          <w:vertAlign w:val="subscript"/>
        </w:rPr>
        <w:t>Ad</w:t>
      </w:r>
      <w:r w:rsidRPr="006E39B7">
        <w:rPr>
          <w:vertAlign w:val="subscript"/>
        </w:rPr>
        <w:t>i</w:t>
      </w:r>
      <w:r w:rsidRPr="006E39B7">
        <w:t xml:space="preserve"> – </w:t>
      </w:r>
      <w:r w:rsidRPr="00193BC3">
        <w:t>Indicator de performanță din categoria A, determina</w:t>
      </w:r>
      <w:r>
        <w:t>t</w:t>
      </w:r>
      <w:r w:rsidRPr="00193BC3">
        <w:t xml:space="preserve"> conform </w:t>
      </w:r>
      <w:r>
        <w:t xml:space="preserve">prevederilor </w:t>
      </w:r>
      <w:r w:rsidRPr="00193BC3">
        <w:t>art. 1</w:t>
      </w:r>
      <w:r w:rsidR="00F67A40">
        <w:t>0</w:t>
      </w:r>
      <w:r w:rsidRPr="00193BC3">
        <w:t xml:space="preserve"> alin. (3)</w:t>
      </w:r>
      <w:r w:rsidRPr="006E39B7">
        <w:t>;</w:t>
      </w:r>
    </w:p>
    <w:p w:rsidR="00060808" w:rsidRPr="006E39B7" w:rsidRDefault="00060808" w:rsidP="00060808">
      <w:pPr>
        <w:pStyle w:val="ListParagraph"/>
        <w:numPr>
          <w:ilvl w:val="0"/>
          <w:numId w:val="12"/>
        </w:numPr>
        <w:spacing w:line="360" w:lineRule="auto"/>
        <w:jc w:val="both"/>
      </w:pPr>
      <w:r w:rsidRPr="006E39B7">
        <w:t>I</w:t>
      </w:r>
      <w:r>
        <w:rPr>
          <w:vertAlign w:val="subscript"/>
        </w:rPr>
        <w:t>Bdj</w:t>
      </w:r>
      <w:r w:rsidRPr="006E39B7">
        <w:rPr>
          <w:vertAlign w:val="subscript"/>
        </w:rPr>
        <w:t xml:space="preserve"> </w:t>
      </w:r>
      <w:r w:rsidRPr="006E39B7">
        <w:t xml:space="preserve">- </w:t>
      </w:r>
      <w:r w:rsidRPr="00193BC3">
        <w:t>Indicator de performanță din categoria B, determina</w:t>
      </w:r>
      <w:r>
        <w:t>t</w:t>
      </w:r>
      <w:r w:rsidRPr="00193BC3">
        <w:t xml:space="preserve"> conform </w:t>
      </w:r>
      <w:r>
        <w:t xml:space="preserve">prevederilor </w:t>
      </w:r>
      <w:r w:rsidRPr="00193BC3">
        <w:t>art. 1</w:t>
      </w:r>
      <w:r w:rsidR="00F67A40">
        <w:t>1</w:t>
      </w:r>
      <w:r w:rsidRPr="00193BC3">
        <w:t xml:space="preserve"> alin. (3)</w:t>
      </w:r>
      <w:r>
        <w:t>;</w:t>
      </w:r>
    </w:p>
    <w:p w:rsidR="00060808" w:rsidRPr="006E39B7" w:rsidRDefault="00060808" w:rsidP="00060808">
      <w:pPr>
        <w:pStyle w:val="ListParagraph"/>
        <w:numPr>
          <w:ilvl w:val="0"/>
          <w:numId w:val="12"/>
        </w:numPr>
        <w:spacing w:line="360" w:lineRule="auto"/>
        <w:jc w:val="both"/>
      </w:pPr>
      <w:r w:rsidRPr="006E39B7">
        <w:t>I</w:t>
      </w:r>
      <w:r>
        <w:rPr>
          <w:vertAlign w:val="subscript"/>
        </w:rPr>
        <w:t>Cd</w:t>
      </w:r>
      <w:r w:rsidRPr="006E39B7">
        <w:rPr>
          <w:vertAlign w:val="subscript"/>
        </w:rPr>
        <w:t>k</w:t>
      </w:r>
      <w:r w:rsidRPr="006E39B7">
        <w:t xml:space="preserve"> - Indicator de performanță din categoria C</w:t>
      </w:r>
      <w:r>
        <w:t>, determinat conform prevederilor art. 1</w:t>
      </w:r>
      <w:r w:rsidR="00AE7647">
        <w:t>2</w:t>
      </w:r>
      <w:r>
        <w:t xml:space="preserve"> alin. (3)</w:t>
      </w:r>
      <w:r w:rsidRPr="006E39B7">
        <w:t>;</w:t>
      </w:r>
    </w:p>
    <w:p w:rsidR="00060808" w:rsidRPr="006E39B7" w:rsidRDefault="00060808" w:rsidP="00060808">
      <w:pPr>
        <w:pStyle w:val="ListParagraph"/>
        <w:numPr>
          <w:ilvl w:val="0"/>
          <w:numId w:val="12"/>
        </w:numPr>
        <w:spacing w:line="360" w:lineRule="auto"/>
        <w:jc w:val="both"/>
      </w:pPr>
      <w:r w:rsidRPr="006E39B7">
        <w:t>Gr</w:t>
      </w:r>
      <w:r w:rsidRPr="006E39B7">
        <w:rPr>
          <w:vertAlign w:val="subscript"/>
        </w:rPr>
        <w:t>SMI</w:t>
      </w:r>
      <w:r w:rsidRPr="006E39B7">
        <w:t xml:space="preserve"> – indicatorul grad de implementare a SMI</w:t>
      </w:r>
      <w:r>
        <w:t>, determinat conform prevederilor art. 1</w:t>
      </w:r>
      <w:r w:rsidR="00AE7647">
        <w:t>2</w:t>
      </w:r>
      <w:r>
        <w:t xml:space="preserve"> alin. (</w:t>
      </w:r>
      <w:r w:rsidR="00986A0B">
        <w:t>4</w:t>
      </w:r>
      <w:r>
        <w:t>)</w:t>
      </w:r>
      <w:r w:rsidRPr="006E39B7">
        <w:t>;</w:t>
      </w:r>
    </w:p>
    <w:p w:rsidR="00060808" w:rsidRPr="006E39B7" w:rsidRDefault="00060808" w:rsidP="00060808">
      <w:pPr>
        <w:pStyle w:val="ListParagraph"/>
        <w:numPr>
          <w:ilvl w:val="0"/>
          <w:numId w:val="12"/>
        </w:numPr>
        <w:spacing w:line="360" w:lineRule="auto"/>
        <w:jc w:val="both"/>
      </w:pPr>
      <w:r w:rsidRPr="006E39B7">
        <w:t>K</w:t>
      </w:r>
      <w:r w:rsidRPr="006E39B7">
        <w:rPr>
          <w:vertAlign w:val="subscript"/>
        </w:rPr>
        <w:t>CS</w:t>
      </w:r>
      <w:r w:rsidR="0067409F">
        <w:rPr>
          <w:vertAlign w:val="subscript"/>
        </w:rPr>
        <w:t>d</w:t>
      </w:r>
      <w:r w:rsidRPr="006E39B7">
        <w:rPr>
          <w:vertAlign w:val="subscript"/>
        </w:rPr>
        <w:t>i</w:t>
      </w:r>
      <w:r w:rsidRPr="006E39B7">
        <w:t xml:space="preserve"> – coeficient de ponderare a </w:t>
      </w:r>
      <w:r>
        <w:t xml:space="preserve">fiecărui </w:t>
      </w:r>
      <w:r w:rsidRPr="006E39B7">
        <w:t xml:space="preserve">indicator </w:t>
      </w:r>
      <w:r w:rsidRPr="00193BC3">
        <w:t xml:space="preserve">de performanță </w:t>
      </w:r>
      <w:r>
        <w:t xml:space="preserve">i </w:t>
      </w:r>
      <w:r w:rsidRPr="00193BC3">
        <w:t>din categoria A</w:t>
      </w:r>
      <w:r w:rsidR="0067409F">
        <w:t xml:space="preserve">, aferent </w:t>
      </w:r>
      <w:r w:rsidR="00F67A40">
        <w:t>serviciului de distribuție a energiei electrice</w:t>
      </w:r>
      <w:r w:rsidRPr="006E39B7">
        <w:t>;</w:t>
      </w:r>
    </w:p>
    <w:p w:rsidR="00060808" w:rsidRPr="006E39B7" w:rsidRDefault="00060808" w:rsidP="00060808">
      <w:pPr>
        <w:pStyle w:val="ListParagraph"/>
        <w:numPr>
          <w:ilvl w:val="0"/>
          <w:numId w:val="12"/>
        </w:numPr>
        <w:spacing w:line="360" w:lineRule="auto"/>
        <w:jc w:val="both"/>
      </w:pPr>
      <w:r w:rsidRPr="006E39B7">
        <w:t>K</w:t>
      </w:r>
      <w:r w:rsidRPr="006E39B7">
        <w:rPr>
          <w:vertAlign w:val="subscript"/>
        </w:rPr>
        <w:t>P</w:t>
      </w:r>
      <w:r w:rsidR="0067409F">
        <w:rPr>
          <w:vertAlign w:val="subscript"/>
        </w:rPr>
        <w:t>d</w:t>
      </w:r>
      <w:r>
        <w:rPr>
          <w:vertAlign w:val="subscript"/>
        </w:rPr>
        <w:t>j</w:t>
      </w:r>
      <w:r w:rsidRPr="006E39B7">
        <w:rPr>
          <w:vertAlign w:val="subscript"/>
        </w:rPr>
        <w:t xml:space="preserve"> </w:t>
      </w:r>
      <w:r w:rsidRPr="006E39B7">
        <w:t xml:space="preserve">- coeficient de ponderare a </w:t>
      </w:r>
      <w:r>
        <w:t xml:space="preserve">fiecărui </w:t>
      </w:r>
      <w:r w:rsidRPr="006E39B7">
        <w:t xml:space="preserve">indicator </w:t>
      </w:r>
      <w:r w:rsidRPr="00193BC3">
        <w:t xml:space="preserve">de performanță </w:t>
      </w:r>
      <w:r>
        <w:t xml:space="preserve">j </w:t>
      </w:r>
      <w:r w:rsidRPr="00193BC3">
        <w:t xml:space="preserve">din categoria </w:t>
      </w:r>
      <w:r>
        <w:t>B</w:t>
      </w:r>
      <w:r w:rsidR="0067409F">
        <w:t xml:space="preserve">, aferent </w:t>
      </w:r>
      <w:r w:rsidR="00F67A40">
        <w:t>serviciului de distribuție a energiei electrice</w:t>
      </w:r>
      <w:r w:rsidRPr="006E39B7">
        <w:t>;</w:t>
      </w:r>
    </w:p>
    <w:p w:rsidR="00060808" w:rsidRPr="006E39B7" w:rsidRDefault="00060808" w:rsidP="00060808">
      <w:pPr>
        <w:pStyle w:val="ListParagraph"/>
        <w:numPr>
          <w:ilvl w:val="0"/>
          <w:numId w:val="12"/>
        </w:numPr>
        <w:spacing w:line="360" w:lineRule="auto"/>
        <w:jc w:val="both"/>
      </w:pPr>
      <w:r w:rsidRPr="006E39B7">
        <w:t>coefpA</w:t>
      </w:r>
      <w:r w:rsidR="0067409F">
        <w:t>d</w:t>
      </w:r>
      <w:r w:rsidRPr="006E39B7">
        <w:t xml:space="preserve"> – coeficientul de ponderare aferent categoriei A de indicatori de performanță</w:t>
      </w:r>
      <w:r w:rsidR="0067409F" w:rsidRPr="0067409F">
        <w:t>, aferen</w:t>
      </w:r>
      <w:r w:rsidR="0067409F">
        <w:t>ți</w:t>
      </w:r>
      <w:r w:rsidR="0067409F" w:rsidRPr="0067409F">
        <w:t xml:space="preserve"> </w:t>
      </w:r>
      <w:r w:rsidR="00F67A40">
        <w:t>serviciului de distribuție a energiei electrice</w:t>
      </w:r>
      <w:r w:rsidRPr="006E39B7">
        <w:t>;</w:t>
      </w:r>
    </w:p>
    <w:p w:rsidR="00060808" w:rsidRPr="006E39B7" w:rsidRDefault="00060808" w:rsidP="00060808">
      <w:pPr>
        <w:pStyle w:val="ListParagraph"/>
        <w:numPr>
          <w:ilvl w:val="0"/>
          <w:numId w:val="12"/>
        </w:numPr>
        <w:spacing w:line="360" w:lineRule="auto"/>
        <w:jc w:val="both"/>
      </w:pPr>
      <w:r w:rsidRPr="006E39B7">
        <w:t>coefpB</w:t>
      </w:r>
      <w:r w:rsidR="0067409F">
        <w:t>d</w:t>
      </w:r>
      <w:r w:rsidRPr="006E39B7">
        <w:t xml:space="preserve"> – coeficientul de ponderare aferent categoriei B de indicatori de performanță</w:t>
      </w:r>
      <w:r w:rsidR="0067409F" w:rsidRPr="0067409F">
        <w:t>, aferen</w:t>
      </w:r>
      <w:r w:rsidR="0067409F">
        <w:t>ți</w:t>
      </w:r>
      <w:r w:rsidR="0067409F" w:rsidRPr="0067409F">
        <w:t xml:space="preserve"> </w:t>
      </w:r>
      <w:r w:rsidR="00F67A40">
        <w:t>serviciului de distribuție a energiei electrice</w:t>
      </w:r>
      <w:r w:rsidRPr="006E39B7">
        <w:t>;</w:t>
      </w:r>
    </w:p>
    <w:p w:rsidR="00060808" w:rsidRPr="006E39B7" w:rsidRDefault="00060808" w:rsidP="00060808">
      <w:pPr>
        <w:pStyle w:val="ListParagraph"/>
        <w:numPr>
          <w:ilvl w:val="0"/>
          <w:numId w:val="12"/>
        </w:numPr>
        <w:spacing w:line="360" w:lineRule="auto"/>
        <w:jc w:val="both"/>
      </w:pPr>
      <w:r w:rsidRPr="006E39B7">
        <w:t>coefpC</w:t>
      </w:r>
      <w:r w:rsidR="0067409F">
        <w:t>d</w:t>
      </w:r>
      <w:r w:rsidRPr="006E39B7">
        <w:t xml:space="preserve"> - coeficientul de ponderare aferent categoriei C de indicatori de performanță</w:t>
      </w:r>
      <w:r w:rsidR="0067409F" w:rsidRPr="0067409F">
        <w:t>, aferen</w:t>
      </w:r>
      <w:r w:rsidR="0067409F">
        <w:t>ți</w:t>
      </w:r>
      <w:r w:rsidR="0067409F" w:rsidRPr="0067409F">
        <w:t xml:space="preserve"> </w:t>
      </w:r>
      <w:r w:rsidR="00F67A40">
        <w:t>serviciului de distribuție a energiei electrice</w:t>
      </w:r>
      <w:r w:rsidRPr="006E39B7">
        <w:t>;</w:t>
      </w:r>
    </w:p>
    <w:p w:rsidR="00060808" w:rsidRPr="006E39B7" w:rsidRDefault="00060808" w:rsidP="00060808">
      <w:pPr>
        <w:pStyle w:val="ListParagraph"/>
        <w:numPr>
          <w:ilvl w:val="0"/>
          <w:numId w:val="12"/>
        </w:numPr>
        <w:spacing w:line="360" w:lineRule="auto"/>
        <w:jc w:val="both"/>
      </w:pPr>
      <w:r w:rsidRPr="006E39B7">
        <w:lastRenderedPageBreak/>
        <w:t>n, m – numărul de indicatori de performanță monitorizați din categoriile A, respectiv B, aferenți operatorilor de distribuție a energiei electrice concesionari</w:t>
      </w:r>
      <w:r>
        <w:t>;</w:t>
      </w:r>
    </w:p>
    <w:p w:rsidR="00060808" w:rsidRDefault="00060808" w:rsidP="00060808">
      <w:pPr>
        <w:pStyle w:val="ListParagraph"/>
        <w:numPr>
          <w:ilvl w:val="0"/>
          <w:numId w:val="12"/>
        </w:numPr>
        <w:spacing w:line="360" w:lineRule="auto"/>
        <w:jc w:val="both"/>
      </w:pPr>
      <w:r w:rsidRPr="006E39B7">
        <w:t>p - numărul de indicatori de performanță monitorizați din categoria C, aferent operatorilor  de distribuție a energiei electrice concesionari.</w:t>
      </w:r>
    </w:p>
    <w:p w:rsidR="00060808" w:rsidRDefault="00060808" w:rsidP="00060808">
      <w:pPr>
        <w:pStyle w:val="ListParagraph"/>
        <w:numPr>
          <w:ilvl w:val="0"/>
          <w:numId w:val="40"/>
        </w:numPr>
        <w:spacing w:line="360" w:lineRule="auto"/>
        <w:jc w:val="both"/>
      </w:pPr>
      <w:r>
        <w:t xml:space="preserve">Valoarea coeficienţilor de ponderare </w:t>
      </w:r>
      <w:r w:rsidRPr="006E39B7">
        <w:t>coefpA</w:t>
      </w:r>
      <w:r w:rsidR="0067409F">
        <w:t>d</w:t>
      </w:r>
      <w:r>
        <w:t xml:space="preserve">, </w:t>
      </w:r>
      <w:r w:rsidRPr="006E39B7">
        <w:t>coefpB</w:t>
      </w:r>
      <w:r w:rsidR="0067409F">
        <w:t>d</w:t>
      </w:r>
      <w:r>
        <w:t xml:space="preserve"> şi </w:t>
      </w:r>
      <w:r w:rsidRPr="006E39B7">
        <w:t>coefpC</w:t>
      </w:r>
      <w:r w:rsidR="0067409F">
        <w:t>d</w:t>
      </w:r>
      <w:r>
        <w:t xml:space="preserve"> prevăzuţi la alin. (1) au următoarele valori: </w:t>
      </w:r>
      <w:r w:rsidRPr="006E39B7">
        <w:t>coefpA</w:t>
      </w:r>
      <w:r w:rsidR="0067409F">
        <w:t>d</w:t>
      </w:r>
      <w:r>
        <w:t xml:space="preserve"> = 50%, </w:t>
      </w:r>
      <w:r w:rsidRPr="006E39B7">
        <w:t>coefpB</w:t>
      </w:r>
      <w:r w:rsidR="0067409F">
        <w:t>d</w:t>
      </w:r>
      <w:r>
        <w:t xml:space="preserve"> = 50%; </w:t>
      </w:r>
      <w:r w:rsidRPr="006E39B7">
        <w:t>coefpC</w:t>
      </w:r>
      <w:r w:rsidR="0067409F">
        <w:t>d</w:t>
      </w:r>
      <w:r>
        <w:t xml:space="preserve"> = 0.</w:t>
      </w:r>
    </w:p>
    <w:p w:rsidR="00060808" w:rsidRDefault="00060808" w:rsidP="00060808">
      <w:pPr>
        <w:pStyle w:val="ListParagraph"/>
        <w:numPr>
          <w:ilvl w:val="0"/>
          <w:numId w:val="40"/>
        </w:numPr>
        <w:spacing w:line="360" w:lineRule="auto"/>
        <w:jc w:val="both"/>
      </w:pPr>
      <w:r>
        <w:t>Valorile c</w:t>
      </w:r>
      <w:r w:rsidRPr="006E39B7">
        <w:t>oeficienți</w:t>
      </w:r>
      <w:r>
        <w:t>lor</w:t>
      </w:r>
      <w:r w:rsidRPr="006E39B7">
        <w:t xml:space="preserve"> de ponderare K</w:t>
      </w:r>
      <w:r w:rsidRPr="00DF19D2">
        <w:t>Cs</w:t>
      </w:r>
      <w:r w:rsidR="0067409F">
        <w:t>d</w:t>
      </w:r>
      <w:r w:rsidRPr="00DF19D2">
        <w:t xml:space="preserve">i </w:t>
      </w:r>
      <w:r w:rsidRPr="006E39B7">
        <w:t>și K</w:t>
      </w:r>
      <w:r w:rsidRPr="00DF19D2">
        <w:t>P</w:t>
      </w:r>
      <w:r w:rsidR="0067409F">
        <w:t>d</w:t>
      </w:r>
      <w:r w:rsidRPr="00DF19D2">
        <w:t>j</w:t>
      </w:r>
      <w:r w:rsidRPr="006E39B7">
        <w:t xml:space="preserve"> </w:t>
      </w:r>
      <w:r>
        <w:t xml:space="preserve">prevăzuţi la alin. (1) </w:t>
      </w:r>
      <w:r w:rsidRPr="006E39B7">
        <w:t>s</w:t>
      </w:r>
      <w:r>
        <w:t>e regăsesc</w:t>
      </w:r>
      <w:r w:rsidRPr="006E39B7">
        <w:t xml:space="preserve"> în tabel</w:t>
      </w:r>
      <w:r w:rsidR="0067409F">
        <w:t>ul</w:t>
      </w:r>
      <w:r w:rsidRPr="006E39B7">
        <w:t xml:space="preserve"> din anex</w:t>
      </w:r>
      <w:r w:rsidR="0067409F">
        <w:t>a</w:t>
      </w:r>
      <w:r w:rsidRPr="006E39B7">
        <w:t xml:space="preserve"> nr. </w:t>
      </w:r>
      <w:r>
        <w:t>1.</w:t>
      </w:r>
      <w:r w:rsidR="0067409F">
        <w:t xml:space="preserve">1 </w:t>
      </w:r>
      <w:r w:rsidRPr="006E39B7">
        <w:t>la prezenta metodologie.</w:t>
      </w:r>
    </w:p>
    <w:p w:rsidR="00060808" w:rsidRDefault="00060808" w:rsidP="00060808">
      <w:pPr>
        <w:pStyle w:val="ListParagraph"/>
        <w:numPr>
          <w:ilvl w:val="0"/>
          <w:numId w:val="40"/>
        </w:numPr>
        <w:spacing w:line="360" w:lineRule="auto"/>
        <w:jc w:val="both"/>
      </w:pPr>
      <w:r>
        <w:t xml:space="preserve">Valorile coeficienţilor de ponderare prevăzute la alin. (2) şi (3) pot fi modificate de ANRE începând cu al </w:t>
      </w:r>
      <w:r w:rsidR="005B2BB7">
        <w:t>treilea</w:t>
      </w:r>
      <w:r>
        <w:t xml:space="preserve"> an al perioadei a V-a de reglementare. </w:t>
      </w:r>
    </w:p>
    <w:p w:rsidR="000A4A63" w:rsidRPr="006E39B7" w:rsidRDefault="000A4A63" w:rsidP="000A4A63">
      <w:pPr>
        <w:spacing w:line="360" w:lineRule="auto"/>
        <w:ind w:left="360"/>
        <w:jc w:val="both"/>
      </w:pPr>
    </w:p>
    <w:p w:rsidR="00581246" w:rsidRPr="006E39B7" w:rsidRDefault="00581246" w:rsidP="006C7DC9">
      <w:pPr>
        <w:pStyle w:val="HeadingNumber01"/>
        <w:jc w:val="both"/>
      </w:pPr>
      <w:r w:rsidRPr="006E39B7">
        <w:t>6. Indicatori de performanță pentru serviciul de transport al energiei electrice</w:t>
      </w:r>
    </w:p>
    <w:p w:rsidR="00581246" w:rsidRPr="006E39B7" w:rsidRDefault="00581246" w:rsidP="00EF2206">
      <w:pPr>
        <w:pStyle w:val="ListParagraph"/>
        <w:numPr>
          <w:ilvl w:val="0"/>
          <w:numId w:val="2"/>
        </w:numPr>
        <w:spacing w:line="360" w:lineRule="auto"/>
        <w:ind w:left="709"/>
        <w:jc w:val="both"/>
        <w:rPr>
          <w:rFonts w:eastAsia="Times New Roman"/>
          <w:color w:val="000000"/>
          <w:shd w:val="clear" w:color="auto" w:fill="FFFFFF"/>
        </w:rPr>
      </w:pPr>
      <w:bookmarkStart w:id="40" w:name="_Hlk178666469"/>
    </w:p>
    <w:bookmarkEnd w:id="40"/>
    <w:p w:rsidR="0030183A" w:rsidRDefault="00491C3D" w:rsidP="00491C3D">
      <w:pPr>
        <w:pStyle w:val="ListParagraph"/>
        <w:numPr>
          <w:ilvl w:val="0"/>
          <w:numId w:val="19"/>
        </w:numPr>
        <w:spacing w:line="360" w:lineRule="auto"/>
        <w:jc w:val="both"/>
      </w:pPr>
      <w:r w:rsidRPr="006E39B7">
        <w:t xml:space="preserve">Indicatorii </w:t>
      </w:r>
      <w:r w:rsidR="002F676D">
        <w:t>de monitorizare</w:t>
      </w:r>
      <w:r w:rsidRPr="00F26633">
        <w:t xml:space="preserve"> </w:t>
      </w:r>
      <w:r w:rsidRPr="006E22A5">
        <w:t xml:space="preserve">din categoria </w:t>
      </w:r>
      <w:r>
        <w:t>A</w:t>
      </w:r>
      <w:r w:rsidRPr="006E22A5">
        <w:t xml:space="preserve"> sunt</w:t>
      </w:r>
      <w:r w:rsidR="00CC4468" w:rsidRPr="00CC4468">
        <w:t xml:space="preserve"> </w:t>
      </w:r>
      <w:r w:rsidR="00CC4468">
        <w:t>următorii indicatori care reflectă calitatea serviciului de transport al energiei electrice</w:t>
      </w:r>
      <w:r w:rsidRPr="006E22A5">
        <w:t>:</w:t>
      </w:r>
    </w:p>
    <w:p w:rsidR="00B7062D" w:rsidRDefault="00491C3D" w:rsidP="00491C3D">
      <w:pPr>
        <w:pStyle w:val="ListParagraph"/>
        <w:numPr>
          <w:ilvl w:val="0"/>
          <w:numId w:val="20"/>
        </w:numPr>
        <w:spacing w:line="360" w:lineRule="auto"/>
        <w:ind w:left="1276"/>
        <w:jc w:val="both"/>
      </w:pPr>
      <w:r w:rsidRPr="006E39B7">
        <w:t>INDLIN</w:t>
      </w:r>
      <w:r w:rsidR="00B7062D">
        <w:t xml:space="preserve"> - I</w:t>
      </w:r>
      <w:r w:rsidR="00B7062D" w:rsidRPr="006E39B7">
        <w:rPr>
          <w:rFonts w:eastAsia="Times New Roman"/>
          <w:color w:val="000000"/>
          <w:shd w:val="clear" w:color="auto" w:fill="FFFFFF"/>
        </w:rPr>
        <w:t xml:space="preserve">ndisponibilitatea medie a LEA, </w:t>
      </w:r>
      <w:r w:rsidR="00B7062D" w:rsidRPr="00C63CD4">
        <w:rPr>
          <w:rStyle w:val="slitbdy"/>
          <w:rFonts w:ascii="Times New Roman" w:eastAsia="Times New Roman" w:hAnsi="Times New Roman"/>
          <w:sz w:val="24"/>
          <w:szCs w:val="24"/>
        </w:rPr>
        <w:t>determinat</w:t>
      </w:r>
      <w:r w:rsidR="00B7062D">
        <w:rPr>
          <w:rStyle w:val="slitbdy"/>
          <w:rFonts w:ascii="Times New Roman" w:eastAsia="Times New Roman" w:hAnsi="Times New Roman"/>
          <w:sz w:val="24"/>
          <w:szCs w:val="24"/>
        </w:rPr>
        <w:t>ă</w:t>
      </w:r>
      <w:r w:rsidR="00B7062D" w:rsidRPr="00C63CD4">
        <w:rPr>
          <w:rStyle w:val="slitbdy"/>
          <w:rFonts w:ascii="Times New Roman" w:eastAsia="Times New Roman" w:hAnsi="Times New Roman"/>
          <w:sz w:val="24"/>
          <w:szCs w:val="24"/>
        </w:rPr>
        <w:t xml:space="preserve"> de evenimentele neplanificate</w:t>
      </w:r>
      <w:r w:rsidR="00B7062D">
        <w:rPr>
          <w:rStyle w:val="slitbdy"/>
          <w:rFonts w:ascii="Times New Roman" w:eastAsia="Times New Roman" w:hAnsi="Times New Roman"/>
          <w:sz w:val="24"/>
          <w:szCs w:val="24"/>
        </w:rPr>
        <w:t xml:space="preserve"> </w:t>
      </w:r>
      <w:r w:rsidR="00B7062D" w:rsidRPr="006E39B7">
        <w:t>[ore/an];</w:t>
      </w:r>
    </w:p>
    <w:p w:rsidR="00491C3D" w:rsidRPr="006E39B7" w:rsidRDefault="00491C3D" w:rsidP="00491C3D">
      <w:pPr>
        <w:pStyle w:val="ListParagraph"/>
        <w:numPr>
          <w:ilvl w:val="0"/>
          <w:numId w:val="20"/>
        </w:numPr>
        <w:spacing w:line="360" w:lineRule="auto"/>
        <w:ind w:left="1276"/>
        <w:jc w:val="both"/>
      </w:pPr>
      <w:r w:rsidRPr="006E39B7">
        <w:t xml:space="preserve">INDTRA - </w:t>
      </w:r>
      <w:r w:rsidR="00B7062D" w:rsidRPr="006E39B7">
        <w:rPr>
          <w:rFonts w:eastAsia="Times New Roman"/>
          <w:color w:val="000000"/>
          <w:shd w:val="clear" w:color="auto" w:fill="FFFFFF"/>
        </w:rPr>
        <w:t xml:space="preserve">indisponibilitatea medie a transformatoarelor şi autotransformatoarelor, </w:t>
      </w:r>
      <w:r w:rsidR="00B7062D" w:rsidRPr="00C63CD4">
        <w:rPr>
          <w:rStyle w:val="slitbdy"/>
          <w:rFonts w:ascii="Times New Roman" w:eastAsia="Times New Roman" w:hAnsi="Times New Roman"/>
          <w:sz w:val="24"/>
          <w:szCs w:val="24"/>
        </w:rPr>
        <w:t>determinată de evenimentele neplanificate</w:t>
      </w:r>
      <w:r w:rsidRPr="006E39B7">
        <w:t xml:space="preserve"> [ore/an];</w:t>
      </w:r>
    </w:p>
    <w:p w:rsidR="00491C3D" w:rsidRPr="006E39B7" w:rsidRDefault="00491C3D" w:rsidP="00491C3D">
      <w:pPr>
        <w:pStyle w:val="ListParagraph"/>
        <w:numPr>
          <w:ilvl w:val="0"/>
          <w:numId w:val="20"/>
        </w:numPr>
        <w:spacing w:line="360" w:lineRule="auto"/>
        <w:ind w:left="1276"/>
        <w:jc w:val="both"/>
      </w:pPr>
      <w:r w:rsidRPr="006E39B7">
        <w:t>ENS - Energia nelivrată utilizatorilor</w:t>
      </w:r>
      <w:r w:rsidR="00DD058B">
        <w:t xml:space="preserve"> sau </w:t>
      </w:r>
      <w:r w:rsidRPr="006E39B7">
        <w:t>neprodusă în centrale din cauza întreruperilor de lungă durată</w:t>
      </w:r>
      <w:r w:rsidR="006265E9">
        <w:t xml:space="preserve"> neplanificate</w:t>
      </w:r>
      <w:r w:rsidR="00235487">
        <w:t xml:space="preserve">, </w:t>
      </w:r>
      <w:r w:rsidR="00D84AA2">
        <w:t xml:space="preserve">apărute </w:t>
      </w:r>
      <w:r w:rsidR="00DD058B">
        <w:t xml:space="preserve">din </w:t>
      </w:r>
      <w:r w:rsidR="00235487">
        <w:t xml:space="preserve">cauze </w:t>
      </w:r>
      <w:r w:rsidR="00DD058B">
        <w:t>interne</w:t>
      </w:r>
      <w:r w:rsidR="00D84AA2">
        <w:t xml:space="preserve"> ale</w:t>
      </w:r>
      <w:r w:rsidR="00235487">
        <w:t xml:space="preserve"> OTS</w:t>
      </w:r>
      <w:r w:rsidRPr="006E39B7">
        <w:t xml:space="preserve"> [MWh];</w:t>
      </w:r>
    </w:p>
    <w:p w:rsidR="00491C3D" w:rsidRPr="006E39B7" w:rsidRDefault="00FC43F1" w:rsidP="00491C3D">
      <w:pPr>
        <w:pStyle w:val="ListParagraph"/>
        <w:numPr>
          <w:ilvl w:val="0"/>
          <w:numId w:val="20"/>
        </w:numPr>
        <w:spacing w:line="360" w:lineRule="auto"/>
        <w:ind w:left="1276"/>
        <w:jc w:val="both"/>
      </w:pPr>
      <w:r>
        <w:t>N</w:t>
      </w:r>
      <w:r>
        <w:rPr>
          <w:vertAlign w:val="subscript"/>
        </w:rPr>
        <w:t>U</w:t>
      </w:r>
      <w:r w:rsidR="00F523D6">
        <w:t xml:space="preserve"> </w:t>
      </w:r>
      <w:r>
        <w:t>–</w:t>
      </w:r>
      <w:r w:rsidR="00F523D6">
        <w:t xml:space="preserve"> </w:t>
      </w:r>
      <w:r>
        <w:t>Numărul staţiilor electrice în care tensiunea</w:t>
      </w:r>
      <w:r w:rsidR="00491C3D" w:rsidRPr="006E39B7">
        <w:t xml:space="preserve"> </w:t>
      </w:r>
      <w:r w:rsidR="00EE6B98">
        <w:t xml:space="preserve">de linie </w:t>
      </w:r>
      <w:r>
        <w:t xml:space="preserve">nu s-a încadrat </w:t>
      </w:r>
      <w:r w:rsidR="00EE6B98" w:rsidRPr="006E39B7">
        <w:t xml:space="preserve">în limitele normate </w:t>
      </w:r>
      <w:r w:rsidR="00EE6B98">
        <w:t>de variaţie</w:t>
      </w:r>
      <w:r w:rsidR="00E619C2">
        <w:t>, raportat la numărul total al staţiilor electrice monitorizate</w:t>
      </w:r>
      <w:r w:rsidR="00491C3D" w:rsidRPr="006E39B7">
        <w:t xml:space="preserve"> [%];</w:t>
      </w:r>
    </w:p>
    <w:p w:rsidR="00491C3D" w:rsidRDefault="00FC43F1" w:rsidP="00491C3D">
      <w:pPr>
        <w:pStyle w:val="ListParagraph"/>
        <w:numPr>
          <w:ilvl w:val="0"/>
          <w:numId w:val="20"/>
        </w:numPr>
        <w:spacing w:line="360" w:lineRule="auto"/>
        <w:ind w:left="1276"/>
        <w:jc w:val="both"/>
      </w:pPr>
      <w:r>
        <w:t>N</w:t>
      </w:r>
      <w:r>
        <w:rPr>
          <w:vertAlign w:val="subscript"/>
        </w:rPr>
        <w:t>Q</w:t>
      </w:r>
      <w:r w:rsidR="00F523D6">
        <w:t xml:space="preserve"> - </w:t>
      </w:r>
      <w:r>
        <w:t xml:space="preserve">Numărul staţiilor electrice în care </w:t>
      </w:r>
      <w:r w:rsidR="005534B6">
        <w:t xml:space="preserve">cel puţin unul din </w:t>
      </w:r>
      <w:r w:rsidR="00D84AA2">
        <w:t>parametrii normaţi de calitate</w:t>
      </w:r>
      <w:r w:rsidR="00491C3D" w:rsidRPr="00491C3D">
        <w:t xml:space="preserve"> a curbe</w:t>
      </w:r>
      <w:r w:rsidR="005534B6">
        <w:t>i</w:t>
      </w:r>
      <w:r w:rsidR="00491C3D" w:rsidRPr="00491C3D">
        <w:t xml:space="preserve"> de tensiune</w:t>
      </w:r>
      <w:r>
        <w:t xml:space="preserve"> a fost depăşi</w:t>
      </w:r>
      <w:r w:rsidR="005534B6">
        <w:t>t</w:t>
      </w:r>
      <w:r>
        <w:t xml:space="preserve"> pentru cel puţin o săptămână</w:t>
      </w:r>
      <w:r w:rsidR="00E619C2">
        <w:t>,</w:t>
      </w:r>
      <w:r w:rsidR="00491C3D" w:rsidRPr="00491C3D">
        <w:t xml:space="preserve"> </w:t>
      </w:r>
      <w:r w:rsidR="00E619C2">
        <w:t>raportat la numărul total al staţiilor electrice monitorizate</w:t>
      </w:r>
      <w:r w:rsidR="00491C3D" w:rsidRPr="00491C3D">
        <w:t xml:space="preserve"> [%]</w:t>
      </w:r>
      <w:r w:rsidR="00B5423B">
        <w:t>.</w:t>
      </w:r>
    </w:p>
    <w:p w:rsidR="005B5A3F" w:rsidRDefault="00B94C43" w:rsidP="00491C3D">
      <w:pPr>
        <w:pStyle w:val="ListParagraph"/>
        <w:numPr>
          <w:ilvl w:val="0"/>
          <w:numId w:val="19"/>
        </w:numPr>
        <w:spacing w:line="360" w:lineRule="auto"/>
        <w:jc w:val="both"/>
      </w:pPr>
      <w:r>
        <w:t xml:space="preserve">Valoarea indicatorilor de monitorizare </w:t>
      </w:r>
      <w:r w:rsidR="005B5A3F">
        <w:t xml:space="preserve">prevăzuţi la alin. (1) se determină anual de </w:t>
      </w:r>
      <w:r w:rsidR="003B773D">
        <w:t xml:space="preserve">OTS </w:t>
      </w:r>
      <w:r w:rsidR="005B5A3F">
        <w:t xml:space="preserve">conform prevederilor </w:t>
      </w:r>
      <w:r w:rsidR="005B5A3F" w:rsidRPr="006E39B7">
        <w:t>Standardul</w:t>
      </w:r>
      <w:r w:rsidR="005B5A3F">
        <w:t>ui</w:t>
      </w:r>
      <w:r w:rsidR="005B5A3F" w:rsidRPr="006E39B7">
        <w:t xml:space="preserve"> de performanță pentru serviciul de </w:t>
      </w:r>
      <w:r w:rsidR="005B5A3F" w:rsidRPr="005B5A3F">
        <w:t xml:space="preserve">transport al energiei </w:t>
      </w:r>
      <w:r w:rsidR="005B5A3F" w:rsidRPr="005B5A3F">
        <w:lastRenderedPageBreak/>
        <w:t>electrice şi pentru serviciul de sistem</w:t>
      </w:r>
      <w:r w:rsidR="005B5A3F" w:rsidRPr="006E39B7">
        <w:t xml:space="preserve"> aprobat prin ordin al președintelui ANRE, ediția în vigoare</w:t>
      </w:r>
      <w:r w:rsidR="005B5A3F">
        <w:t xml:space="preserve">. </w:t>
      </w:r>
    </w:p>
    <w:p w:rsidR="00491C3D" w:rsidRDefault="00491C3D" w:rsidP="00491C3D">
      <w:pPr>
        <w:pStyle w:val="ListParagraph"/>
        <w:numPr>
          <w:ilvl w:val="0"/>
          <w:numId w:val="19"/>
        </w:numPr>
        <w:spacing w:line="360" w:lineRule="auto"/>
        <w:jc w:val="both"/>
      </w:pPr>
      <w:r>
        <w:t xml:space="preserve">Indicatorii </w:t>
      </w:r>
      <w:r w:rsidR="00F523D6">
        <w:t xml:space="preserve">de performanță </w:t>
      </w:r>
      <w:r w:rsidR="00CC4468">
        <w:t>din categoria A, aferenţi anului t,</w:t>
      </w:r>
      <w:r w:rsidR="005B5A3F">
        <w:t xml:space="preserve"> I</w:t>
      </w:r>
      <w:r w:rsidR="005B5A3F" w:rsidRPr="005B5A3F">
        <w:rPr>
          <w:vertAlign w:val="subscript"/>
        </w:rPr>
        <w:t>At</w:t>
      </w:r>
      <w:r>
        <w:t xml:space="preserve"> </w:t>
      </w:r>
      <w:r w:rsidR="00CC4468">
        <w:t>se calculează pe baza indicatorilor de monitorizare prevăzuţi la alin. (1), cu următoarea formulă</w:t>
      </w:r>
      <w:r>
        <w:t>:</w:t>
      </w:r>
    </w:p>
    <w:p w:rsidR="00491C3D" w:rsidRPr="006E39B7" w:rsidRDefault="00F57362" w:rsidP="00491C3D">
      <w:pPr>
        <w:spacing w:line="360" w:lineRule="auto"/>
        <w:jc w:val="both"/>
      </w:pPr>
      <m:oMathPara>
        <m:oMathParaPr>
          <m:jc m:val="center"/>
        </m:oMathParaPr>
        <m:oMath>
          <m:sSub>
            <m:sSubPr>
              <m:ctrlPr>
                <w:rPr>
                  <w:rFonts w:ascii="Cambria Math" w:hAnsi="Cambria Math"/>
                  <w:i/>
                </w:rPr>
              </m:ctrlPr>
            </m:sSubPr>
            <m:e>
              <m:r>
                <w:rPr>
                  <w:rFonts w:ascii="Cambria Math" w:hAnsi="Cambria Math"/>
                </w:rPr>
                <m:t>I</m:t>
              </m:r>
            </m:e>
            <m:sub>
              <m:r>
                <w:rPr>
                  <w:rFonts w:ascii="Cambria Math" w:hAnsi="Cambria Math"/>
                </w:rPr>
                <m:t>Ati</m:t>
              </m:r>
            </m:sub>
          </m:sSub>
          <m:r>
            <w:rPr>
              <w:rFonts w:ascii="Cambria Math" w:hAnsi="Cambria Math"/>
            </w:rPr>
            <m:t>=</m:t>
          </m:r>
          <m:f>
            <m:fPr>
              <m:ctrlPr>
                <w:rPr>
                  <w:rFonts w:ascii="Cambria Math" w:hAnsi="Cambria Math"/>
                  <w:i/>
                </w:rPr>
              </m:ctrlPr>
            </m:fPr>
            <m:num>
              <m:r>
                <w:rPr>
                  <w:rFonts w:ascii="Cambria Math" w:hAnsi="Cambria Math"/>
                </w:rPr>
                <m:t>MIN(</m:t>
              </m:r>
              <m:sSub>
                <m:sSubPr>
                  <m:ctrlPr>
                    <w:rPr>
                      <w:rFonts w:ascii="Cambria Math" w:hAnsi="Cambria Math"/>
                      <w:i/>
                    </w:rPr>
                  </m:ctrlPr>
                </m:sSubPr>
                <m:e>
                  <m:sSub>
                    <m:sSubPr>
                      <m:ctrlPr>
                        <w:rPr>
                          <w:rFonts w:ascii="Cambria Math" w:hAnsi="Cambria Math"/>
                          <w:i/>
                        </w:rPr>
                      </m:ctrlPr>
                    </m:sSubPr>
                    <m:e>
                      <m:r>
                        <w:rPr>
                          <w:rFonts w:ascii="Cambria Math" w:hAnsi="Cambria Math"/>
                        </w:rPr>
                        <m:t>V</m:t>
                      </m:r>
                    </m:e>
                    <m:sub>
                      <m:r>
                        <w:rPr>
                          <w:rFonts w:ascii="Cambria Math" w:hAnsi="Cambria Math"/>
                        </w:rPr>
                        <m:t>Ati</m:t>
                      </m:r>
                    </m:sub>
                  </m:sSub>
                </m:e>
                <m:sub>
                  <m:r>
                    <w:rPr>
                      <w:rFonts w:ascii="Cambria Math" w:hAnsi="Cambria Math"/>
                    </w:rPr>
                    <m:t>a</m:t>
                  </m:r>
                  <m:sSub>
                    <m:sSubPr>
                      <m:ctrlPr>
                        <w:rPr>
                          <w:rFonts w:ascii="Cambria Math" w:hAnsi="Cambria Math"/>
                          <w:i/>
                        </w:rPr>
                      </m:ctrlPr>
                    </m:sSubPr>
                    <m:e>
                      <m:r>
                        <w:rPr>
                          <w:rFonts w:ascii="Cambria Math" w:hAnsi="Cambria Math"/>
                        </w:rPr>
                        <m:t>n</m:t>
                      </m:r>
                    </m:e>
                    <m:sub>
                      <m:r>
                        <w:rPr>
                          <w:rFonts w:ascii="Cambria Math" w:hAnsi="Cambria Math"/>
                        </w:rPr>
                        <m:t>t-4</m:t>
                      </m:r>
                    </m:sub>
                  </m:sSub>
                </m:sub>
              </m:sSub>
              <m:r>
                <w:rPr>
                  <w:rFonts w:ascii="Cambria Math" w:hAnsi="Cambria Math"/>
                </w:rPr>
                <m:t>,…,</m:t>
              </m:r>
              <m:sSub>
                <m:sSubPr>
                  <m:ctrlPr>
                    <w:rPr>
                      <w:rFonts w:ascii="Cambria Math" w:hAnsi="Cambria Math"/>
                      <w:i/>
                    </w:rPr>
                  </m:ctrlPr>
                </m:sSubPr>
                <m:e>
                  <m:sSub>
                    <m:sSubPr>
                      <m:ctrlPr>
                        <w:rPr>
                          <w:rFonts w:ascii="Cambria Math" w:hAnsi="Cambria Math"/>
                          <w:i/>
                        </w:rPr>
                      </m:ctrlPr>
                    </m:sSubPr>
                    <m:e>
                      <m:r>
                        <w:rPr>
                          <w:rFonts w:ascii="Cambria Math" w:hAnsi="Cambria Math"/>
                        </w:rPr>
                        <m:t>V</m:t>
                      </m:r>
                    </m:e>
                    <m:sub>
                      <m:r>
                        <w:rPr>
                          <w:rFonts w:ascii="Cambria Math" w:hAnsi="Cambria Math"/>
                        </w:rPr>
                        <m:t>Ati</m:t>
                      </m:r>
                    </m:sub>
                  </m:sSub>
                </m:e>
                <m:sub>
                  <m:r>
                    <w:rPr>
                      <w:rFonts w:ascii="Cambria Math" w:hAnsi="Cambria Math"/>
                    </w:rPr>
                    <m:t>a</m:t>
                  </m:r>
                  <m:sSub>
                    <m:sSubPr>
                      <m:ctrlPr>
                        <w:rPr>
                          <w:rFonts w:ascii="Cambria Math" w:hAnsi="Cambria Math"/>
                          <w:i/>
                        </w:rPr>
                      </m:ctrlPr>
                    </m:sSubPr>
                    <m:e>
                      <m:r>
                        <w:rPr>
                          <w:rFonts w:ascii="Cambria Math" w:hAnsi="Cambria Math"/>
                        </w:rPr>
                        <m:t>n</m:t>
                      </m:r>
                    </m:e>
                    <m:sub>
                      <m:r>
                        <w:rPr>
                          <w:rFonts w:ascii="Cambria Math" w:hAnsi="Cambria Math"/>
                        </w:rPr>
                        <m:t>t</m:t>
                      </m:r>
                    </m:sub>
                  </m:sSub>
                </m:sub>
              </m:sSub>
              <m:r>
                <w:rPr>
                  <w:rFonts w:ascii="Cambria Math" w:hAnsi="Cambria Math"/>
                </w:rPr>
                <m:t>)</m:t>
              </m:r>
            </m:num>
            <m:den>
              <m:sSub>
                <m:sSubPr>
                  <m:ctrlPr>
                    <w:rPr>
                      <w:rFonts w:ascii="Cambria Math" w:hAnsi="Cambria Math"/>
                      <w:i/>
                    </w:rPr>
                  </m:ctrlPr>
                </m:sSubPr>
                <m:e>
                  <m:sSub>
                    <m:sSubPr>
                      <m:ctrlPr>
                        <w:rPr>
                          <w:rFonts w:ascii="Cambria Math" w:hAnsi="Cambria Math"/>
                          <w:i/>
                        </w:rPr>
                      </m:ctrlPr>
                    </m:sSubPr>
                    <m:e>
                      <m:r>
                        <w:rPr>
                          <w:rFonts w:ascii="Cambria Math" w:hAnsi="Cambria Math"/>
                        </w:rPr>
                        <m:t>V</m:t>
                      </m:r>
                    </m:e>
                    <m:sub>
                      <m:r>
                        <w:rPr>
                          <w:rFonts w:ascii="Cambria Math" w:hAnsi="Cambria Math"/>
                        </w:rPr>
                        <m:t>Ati</m:t>
                      </m:r>
                    </m:sub>
                  </m:sSub>
                </m:e>
                <m:sub>
                  <m:sSub>
                    <m:sSubPr>
                      <m:ctrlPr>
                        <w:rPr>
                          <w:rFonts w:ascii="Cambria Math" w:hAnsi="Cambria Math"/>
                          <w:i/>
                        </w:rPr>
                      </m:ctrlPr>
                    </m:sSubPr>
                    <m:e>
                      <m:r>
                        <w:rPr>
                          <w:rFonts w:ascii="Cambria Math" w:hAnsi="Cambria Math"/>
                        </w:rPr>
                        <m:t>an</m:t>
                      </m:r>
                    </m:e>
                    <m:sub>
                      <m:r>
                        <w:rPr>
                          <w:rFonts w:ascii="Cambria Math" w:hAnsi="Cambria Math"/>
                        </w:rPr>
                        <m:t>t</m:t>
                      </m:r>
                    </m:sub>
                  </m:sSub>
                </m:sub>
              </m:sSub>
            </m:den>
          </m:f>
          <m:r>
            <w:rPr>
              <w:rFonts w:ascii="Cambria Math" w:hAnsi="Cambria Math"/>
            </w:rPr>
            <m:t>×100 [%]</m:t>
          </m:r>
        </m:oMath>
      </m:oMathPara>
    </w:p>
    <w:p w:rsidR="0051524B" w:rsidRPr="006E39B7" w:rsidRDefault="0051524B" w:rsidP="00674029">
      <w:pPr>
        <w:tabs>
          <w:tab w:val="left" w:pos="1134"/>
        </w:tabs>
        <w:spacing w:line="360" w:lineRule="auto"/>
        <w:jc w:val="both"/>
      </w:pPr>
      <w:r w:rsidRPr="006E39B7">
        <w:t>Unde:</w:t>
      </w:r>
    </w:p>
    <w:p w:rsidR="0051524B" w:rsidRPr="006E39B7" w:rsidRDefault="0051524B" w:rsidP="0051524B">
      <w:pPr>
        <w:pStyle w:val="ListParagraph"/>
        <w:numPr>
          <w:ilvl w:val="0"/>
          <w:numId w:val="12"/>
        </w:numPr>
        <w:spacing w:line="360" w:lineRule="auto"/>
        <w:jc w:val="both"/>
      </w:pPr>
      <w:r w:rsidRPr="006E39B7">
        <w:t>I</w:t>
      </w:r>
      <w:r>
        <w:rPr>
          <w:vertAlign w:val="subscript"/>
        </w:rPr>
        <w:t>At</w:t>
      </w:r>
      <w:r w:rsidRPr="006E39B7">
        <w:rPr>
          <w:vertAlign w:val="subscript"/>
        </w:rPr>
        <w:t>i</w:t>
      </w:r>
      <w:r w:rsidRPr="006E39B7">
        <w:t xml:space="preserve"> – indicator care reflectă performanța realizată de </w:t>
      </w:r>
      <w:r w:rsidR="006C7DC9">
        <w:t>OTS</w:t>
      </w:r>
      <w:r w:rsidRPr="006E39B7">
        <w:t xml:space="preserve"> referito</w:t>
      </w:r>
      <w:r w:rsidR="00F83FA1">
        <w:t>are</w:t>
      </w:r>
      <w:r w:rsidRPr="006E39B7">
        <w:t xml:space="preserve"> la calitatea serviciului în anul t de raportare</w:t>
      </w:r>
      <w:r w:rsidR="006C7DC9">
        <w:t>, pentru indicatorul i, conform nominalizări</w:t>
      </w:r>
      <w:r w:rsidR="00886B31">
        <w:t>lor</w:t>
      </w:r>
      <w:r w:rsidR="006C7DC9">
        <w:t xml:space="preserve"> de la alin. (1)</w:t>
      </w:r>
      <w:r w:rsidRPr="006E39B7">
        <w:t>;</w:t>
      </w:r>
    </w:p>
    <w:p w:rsidR="0051524B" w:rsidRPr="006E39B7" w:rsidRDefault="0051524B" w:rsidP="0051524B">
      <w:pPr>
        <w:pStyle w:val="ListParagraph"/>
        <w:numPr>
          <w:ilvl w:val="0"/>
          <w:numId w:val="12"/>
        </w:numPr>
        <w:spacing w:line="360" w:lineRule="auto"/>
        <w:jc w:val="both"/>
      </w:pPr>
      <w:r w:rsidRPr="006E39B7">
        <w:t>MIN() – funcție matematică prin care se determină valoarea minimă dintr-un șir de valori;</w:t>
      </w:r>
    </w:p>
    <w:p w:rsidR="0051524B" w:rsidRPr="006E39B7" w:rsidRDefault="0051524B" w:rsidP="009945F1">
      <w:pPr>
        <w:pStyle w:val="ListParagraph"/>
        <w:numPr>
          <w:ilvl w:val="0"/>
          <w:numId w:val="12"/>
        </w:numPr>
        <w:spacing w:line="360" w:lineRule="auto"/>
        <w:jc w:val="both"/>
      </w:pPr>
      <w:r w:rsidRPr="006E39B7">
        <w:t>V</w:t>
      </w:r>
      <w:r w:rsidRPr="009945F1">
        <w:rPr>
          <w:vertAlign w:val="subscript"/>
        </w:rPr>
        <w:t>Ati</w:t>
      </w:r>
      <w:r w:rsidRPr="006E39B7">
        <w:t xml:space="preserve"> – valoarea anuală a  indicator</w:t>
      </w:r>
      <w:r w:rsidR="00F83FA1">
        <w:t>ului</w:t>
      </w:r>
      <w:r w:rsidRPr="006E39B7">
        <w:t xml:space="preserve"> </w:t>
      </w:r>
      <w:r w:rsidR="00EA024E" w:rsidRPr="006E39B7">
        <w:t xml:space="preserve">de </w:t>
      </w:r>
      <w:r w:rsidR="00EA024E">
        <w:t xml:space="preserve">monitorizare </w:t>
      </w:r>
      <w:r w:rsidR="00754CE0">
        <w:t>i, , conform nominalizărilor de</w:t>
      </w:r>
      <w:r w:rsidR="00754CE0" w:rsidRPr="006E39B7">
        <w:t xml:space="preserve"> </w:t>
      </w:r>
      <w:r w:rsidR="00EA024E" w:rsidRPr="006E39B7">
        <w:t xml:space="preserve"> la </w:t>
      </w:r>
      <w:r w:rsidR="00EA024E">
        <w:t>alin. (1);</w:t>
      </w:r>
    </w:p>
    <w:p w:rsidR="0051524B" w:rsidRPr="006E39B7" w:rsidRDefault="0051524B" w:rsidP="0051524B">
      <w:pPr>
        <w:pStyle w:val="ListParagraph"/>
        <w:numPr>
          <w:ilvl w:val="0"/>
          <w:numId w:val="12"/>
        </w:numPr>
        <w:spacing w:line="360" w:lineRule="auto"/>
        <w:jc w:val="both"/>
      </w:pPr>
      <w:r w:rsidRPr="006E39B7">
        <w:t>an</w:t>
      </w:r>
      <w:r w:rsidRPr="006E39B7">
        <w:rPr>
          <w:vertAlign w:val="subscript"/>
        </w:rPr>
        <w:t>t</w:t>
      </w:r>
      <w:r w:rsidRPr="006E39B7">
        <w:t xml:space="preserve"> – anul de raportare;</w:t>
      </w:r>
    </w:p>
    <w:p w:rsidR="0051524B" w:rsidRPr="006E39B7" w:rsidRDefault="0051524B" w:rsidP="0051524B">
      <w:pPr>
        <w:pStyle w:val="ListParagraph"/>
        <w:numPr>
          <w:ilvl w:val="0"/>
          <w:numId w:val="12"/>
        </w:numPr>
        <w:spacing w:line="360" w:lineRule="auto"/>
        <w:jc w:val="both"/>
      </w:pPr>
      <w:r w:rsidRPr="006E39B7">
        <w:t>an</w:t>
      </w:r>
      <w:r w:rsidRPr="006E39B7">
        <w:rPr>
          <w:vertAlign w:val="subscript"/>
        </w:rPr>
        <w:t>t-4</w:t>
      </w:r>
      <w:r w:rsidRPr="006E39B7">
        <w:t>,...., an</w:t>
      </w:r>
      <w:r w:rsidRPr="006E39B7">
        <w:rPr>
          <w:vertAlign w:val="subscript"/>
        </w:rPr>
        <w:t>t</w:t>
      </w:r>
      <w:r w:rsidRPr="006E39B7">
        <w:t xml:space="preserve"> – perioadă de cinci ani consecutivi, inclusiv anul t de raportare, pentru care se iau în calcul valorile indicatorilor monitorizați, pentru determinarea indicatorului de performanță aferent anului t de raportare;</w:t>
      </w:r>
    </w:p>
    <w:p w:rsidR="0051524B" w:rsidRDefault="0051524B" w:rsidP="0051524B">
      <w:pPr>
        <w:pStyle w:val="ListParagraph"/>
        <w:numPr>
          <w:ilvl w:val="0"/>
          <w:numId w:val="12"/>
        </w:numPr>
        <w:spacing w:line="360" w:lineRule="auto"/>
        <w:jc w:val="both"/>
      </w:pPr>
      <w:r w:rsidRPr="006E39B7">
        <w:t>i – numărul de ordine al indicatorului de performanță</w:t>
      </w:r>
      <w:r w:rsidR="00211D61">
        <w:t>, conform nominalizări</w:t>
      </w:r>
      <w:r w:rsidR="00886B31">
        <w:t>lor</w:t>
      </w:r>
      <w:r w:rsidR="00211D61">
        <w:t xml:space="preserve"> de la alin. (1)</w:t>
      </w:r>
      <w:r w:rsidRPr="006E39B7">
        <w:t>.</w:t>
      </w:r>
    </w:p>
    <w:p w:rsidR="00FC3513" w:rsidRPr="006E39B7" w:rsidRDefault="00FC3513" w:rsidP="00EF2206">
      <w:pPr>
        <w:pStyle w:val="ListParagraph"/>
        <w:numPr>
          <w:ilvl w:val="0"/>
          <w:numId w:val="2"/>
        </w:numPr>
        <w:spacing w:line="360" w:lineRule="auto"/>
        <w:ind w:left="709"/>
        <w:jc w:val="both"/>
        <w:rPr>
          <w:rFonts w:eastAsia="Times New Roman"/>
          <w:color w:val="000000"/>
          <w:shd w:val="clear" w:color="auto" w:fill="FFFFFF"/>
        </w:rPr>
      </w:pPr>
    </w:p>
    <w:p w:rsidR="0051524B" w:rsidRDefault="002E6722" w:rsidP="00FC3513">
      <w:pPr>
        <w:pStyle w:val="ListParagraph"/>
        <w:numPr>
          <w:ilvl w:val="0"/>
          <w:numId w:val="21"/>
        </w:numPr>
        <w:spacing w:line="360" w:lineRule="auto"/>
        <w:jc w:val="both"/>
      </w:pPr>
      <w:r w:rsidRPr="002E6722">
        <w:t xml:space="preserve">Indicatorii </w:t>
      </w:r>
      <w:r w:rsidR="00025288">
        <w:t>de monitorizare</w:t>
      </w:r>
      <w:r w:rsidR="00025288" w:rsidRPr="002E6722">
        <w:t xml:space="preserve"> din categoria </w:t>
      </w:r>
      <w:r w:rsidR="00025288">
        <w:t>B</w:t>
      </w:r>
      <w:r w:rsidR="00025288" w:rsidRPr="002E6722">
        <w:t xml:space="preserve"> sunt</w:t>
      </w:r>
      <w:r w:rsidR="00025288" w:rsidRPr="00073E54">
        <w:t xml:space="preserve"> </w:t>
      </w:r>
      <w:r w:rsidR="00025288">
        <w:t xml:space="preserve">următorii indicatori </w:t>
      </w:r>
      <w:r w:rsidR="00025288" w:rsidRPr="006E39B7">
        <w:t>care reflectă integrarea producției de energie electrică din surse regenerabile și a serviciilor de flexibilitate</w:t>
      </w:r>
      <w:r w:rsidR="00FC3513" w:rsidRPr="00C27594">
        <w:t>:</w:t>
      </w:r>
    </w:p>
    <w:p w:rsidR="006E659F" w:rsidRDefault="00193702" w:rsidP="006E659F">
      <w:pPr>
        <w:pStyle w:val="ListParagraph"/>
        <w:numPr>
          <w:ilvl w:val="6"/>
          <w:numId w:val="10"/>
        </w:numPr>
        <w:spacing w:line="360" w:lineRule="auto"/>
        <w:ind w:left="1276"/>
        <w:jc w:val="both"/>
      </w:pPr>
      <w:r>
        <w:t xml:space="preserve">NPd  - Ponderea numărului de </w:t>
      </w:r>
      <w:r w:rsidR="003D6D53">
        <w:t xml:space="preserve">ATR emise de OTS pentru racordarea de </w:t>
      </w:r>
      <w:r w:rsidR="000D52A2">
        <w:t xml:space="preserve">noi </w:t>
      </w:r>
      <w:r w:rsidRPr="006E39B7">
        <w:t xml:space="preserve">locuri de producere </w:t>
      </w:r>
      <w:r>
        <w:t xml:space="preserve">cu unități de producere energie electrică </w:t>
      </w:r>
      <w:r w:rsidRPr="006E39B7">
        <w:t>din surse regenerabile</w:t>
      </w:r>
      <w:r w:rsidR="003D6D53">
        <w:t>, raportat la numărul cererilor de racordare de acest tip</w:t>
      </w:r>
      <w:r w:rsidR="00986A0B">
        <w:t xml:space="preserve"> înregistrate de OTS</w:t>
      </w:r>
      <w:r w:rsidRPr="006E39B7">
        <w:t xml:space="preserve"> </w:t>
      </w:r>
      <w:r w:rsidR="006E659F">
        <w:t>[%];</w:t>
      </w:r>
      <w:r w:rsidR="006E659F" w:rsidRPr="006E39B7">
        <w:t xml:space="preserve"> </w:t>
      </w:r>
    </w:p>
    <w:p w:rsidR="00FC3513" w:rsidRPr="00FC3513" w:rsidRDefault="00193702" w:rsidP="006E659F">
      <w:pPr>
        <w:pStyle w:val="ListParagraph"/>
        <w:numPr>
          <w:ilvl w:val="6"/>
          <w:numId w:val="10"/>
        </w:numPr>
        <w:spacing w:line="360" w:lineRule="auto"/>
        <w:ind w:left="1276"/>
        <w:jc w:val="both"/>
      </w:pPr>
      <w:r>
        <w:t xml:space="preserve">PPd - </w:t>
      </w:r>
      <w:r w:rsidRPr="00685280">
        <w:t>P</w:t>
      </w:r>
      <w:r>
        <w:t>onderea p</w:t>
      </w:r>
      <w:r w:rsidRPr="00685280">
        <w:t>uter</w:t>
      </w:r>
      <w:r>
        <w:t>ii</w:t>
      </w:r>
      <w:r w:rsidRPr="00685280">
        <w:t xml:space="preserve"> total</w:t>
      </w:r>
      <w:r>
        <w:t>e</w:t>
      </w:r>
      <w:r w:rsidRPr="00685280">
        <w:t xml:space="preserve"> </w:t>
      </w:r>
      <w:r>
        <w:t>aprobate</w:t>
      </w:r>
      <w:r w:rsidR="003D6D53" w:rsidRPr="003D6D53">
        <w:t xml:space="preserve"> </w:t>
      </w:r>
      <w:r w:rsidR="003D6D53">
        <w:t>pentru evacuare prin ATR emise de OTS pentru racordarea</w:t>
      </w:r>
      <w:r w:rsidRPr="00685280">
        <w:t xml:space="preserve"> </w:t>
      </w:r>
      <w:r w:rsidR="003D6D53">
        <w:t>de</w:t>
      </w:r>
      <w:r w:rsidRPr="00685280">
        <w:t xml:space="preserve"> </w:t>
      </w:r>
      <w:r w:rsidR="000D52A2">
        <w:t xml:space="preserve">noi </w:t>
      </w:r>
      <w:r w:rsidRPr="00685280">
        <w:t>locuri de producere cu unități de producere</w:t>
      </w:r>
      <w:r>
        <w:t xml:space="preserve"> energie electrică</w:t>
      </w:r>
      <w:r w:rsidRPr="00685280">
        <w:t xml:space="preserve"> din surse regenerabile</w:t>
      </w:r>
      <w:r w:rsidR="003D6D53">
        <w:t>,</w:t>
      </w:r>
      <w:r w:rsidR="003D6D53" w:rsidRPr="003D6D53">
        <w:t xml:space="preserve"> </w:t>
      </w:r>
      <w:r w:rsidR="003D6D53">
        <w:t>raportată la puterea totală solicitată prin cererile de racordare</w:t>
      </w:r>
      <w:r w:rsidR="003D6D53" w:rsidRPr="00B6250A">
        <w:t xml:space="preserve"> </w:t>
      </w:r>
      <w:r w:rsidR="003D6D53">
        <w:t>de acest tip</w:t>
      </w:r>
      <w:r w:rsidR="00986A0B" w:rsidRPr="00986A0B">
        <w:t xml:space="preserve"> înregistrate de OTS</w:t>
      </w:r>
      <w:r w:rsidRPr="00685280">
        <w:t xml:space="preserve"> </w:t>
      </w:r>
      <w:r w:rsidR="006E659F">
        <w:t>[%]</w:t>
      </w:r>
      <w:r w:rsidR="006E659F" w:rsidRPr="006E39B7">
        <w:t>;</w:t>
      </w:r>
    </w:p>
    <w:p w:rsidR="00D638EF" w:rsidRDefault="00193702" w:rsidP="00D638EF">
      <w:pPr>
        <w:pStyle w:val="ListParagraph"/>
        <w:numPr>
          <w:ilvl w:val="6"/>
          <w:numId w:val="10"/>
        </w:numPr>
        <w:spacing w:line="360" w:lineRule="auto"/>
        <w:ind w:left="1276"/>
        <w:jc w:val="both"/>
      </w:pPr>
      <w:r>
        <w:t xml:space="preserve">NStoc - Ponderea </w:t>
      </w:r>
      <w:r w:rsidR="003D6D53">
        <w:t>numărului de ATR emise de OTS pentru racordarea de noi unități de stocare energie, raportat la numărul cererilor de racordare</w:t>
      </w:r>
      <w:r w:rsidR="003D6D53" w:rsidRPr="00B6250A">
        <w:t xml:space="preserve"> </w:t>
      </w:r>
      <w:r w:rsidR="003D6D53">
        <w:t>de acest tip</w:t>
      </w:r>
      <w:r w:rsidR="00986A0B" w:rsidRPr="00986A0B">
        <w:t xml:space="preserve"> înregistrate de OTS</w:t>
      </w:r>
      <w:r w:rsidR="00D638EF">
        <w:t xml:space="preserve"> [%];</w:t>
      </w:r>
    </w:p>
    <w:p w:rsidR="00D638EF" w:rsidRDefault="004F5ED5" w:rsidP="00CA40B0">
      <w:pPr>
        <w:pStyle w:val="ListParagraph"/>
        <w:numPr>
          <w:ilvl w:val="6"/>
          <w:numId w:val="10"/>
        </w:numPr>
        <w:spacing w:line="360" w:lineRule="auto"/>
        <w:ind w:left="1276"/>
        <w:jc w:val="both"/>
      </w:pPr>
      <w:r>
        <w:lastRenderedPageBreak/>
        <w:t xml:space="preserve">PStoc - Ponderea </w:t>
      </w:r>
      <w:r w:rsidR="003D6D53">
        <w:t>puterii totale aprobate pentru evacuare prin ATR emise de OTS pentru racordarea de noi unități de stocare energie, raportată la puterea totală solicitată prin cererile de racordare</w:t>
      </w:r>
      <w:r w:rsidR="003D6D53" w:rsidRPr="00B6250A">
        <w:t xml:space="preserve"> </w:t>
      </w:r>
      <w:r w:rsidR="003D6D53">
        <w:t>de acest tip</w:t>
      </w:r>
      <w:r w:rsidR="00986A0B" w:rsidRPr="00986A0B">
        <w:t xml:space="preserve"> înregistrate de OTS</w:t>
      </w:r>
      <w:r w:rsidR="003D6D53">
        <w:t xml:space="preserve"> </w:t>
      </w:r>
      <w:r w:rsidR="00D638EF">
        <w:t>[%]</w:t>
      </w:r>
      <w:r w:rsidR="00B621AE">
        <w:t>.</w:t>
      </w:r>
    </w:p>
    <w:p w:rsidR="00133F67" w:rsidRDefault="00133F67" w:rsidP="00DF19D2">
      <w:pPr>
        <w:pStyle w:val="ListParagraph"/>
        <w:numPr>
          <w:ilvl w:val="0"/>
          <w:numId w:val="21"/>
        </w:numPr>
        <w:spacing w:line="360" w:lineRule="auto"/>
        <w:jc w:val="both"/>
      </w:pPr>
      <w:r w:rsidRPr="00760E61">
        <w:t xml:space="preserve">Indicatorii </w:t>
      </w:r>
      <w:r>
        <w:t>de monitorizare</w:t>
      </w:r>
      <w:r w:rsidRPr="00760E61">
        <w:t xml:space="preserve"> prevăzuţi la alin. (1)</w:t>
      </w:r>
      <w:r>
        <w:t>, punctele 1</w:t>
      </w:r>
      <w:r w:rsidR="00877336">
        <w:t>-4</w:t>
      </w:r>
      <w:r w:rsidRPr="00760E61">
        <w:t xml:space="preserve"> se determină anual de </w:t>
      </w:r>
      <w:r>
        <w:t>O</w:t>
      </w:r>
      <w:r w:rsidR="00877336">
        <w:t>TS</w:t>
      </w:r>
      <w:r w:rsidRPr="00760E61">
        <w:t xml:space="preserve"> </w:t>
      </w:r>
      <w:r>
        <w:t>utilizând următoarele formule:</w:t>
      </w:r>
    </w:p>
    <w:p w:rsidR="00133F67" w:rsidRDefault="00133F67" w:rsidP="00877336">
      <w:pPr>
        <w:pStyle w:val="ListParagraph"/>
        <w:numPr>
          <w:ilvl w:val="1"/>
          <w:numId w:val="39"/>
        </w:numPr>
        <w:spacing w:line="360" w:lineRule="auto"/>
        <w:jc w:val="both"/>
      </w:pPr>
      <w:r>
        <w:t>Pentru indicatorii de monitorizare prevăzuţi la punctele 1</w:t>
      </w:r>
      <w:r w:rsidR="00877336">
        <w:t xml:space="preserve"> şi</w:t>
      </w:r>
      <w:r>
        <w:t xml:space="preserve"> 3:</w:t>
      </w:r>
    </w:p>
    <w:p w:rsidR="00133F67" w:rsidRDefault="00F57362" w:rsidP="00133F67">
      <w:pPr>
        <w:pStyle w:val="ListParagraph"/>
        <w:spacing w:line="360" w:lineRule="auto"/>
        <w:jc w:val="both"/>
      </w:pPr>
      <m:oMathPara>
        <m:oMath>
          <m:sSub>
            <m:sSubPr>
              <m:ctrlPr>
                <w:rPr>
                  <w:rFonts w:ascii="Cambria Math" w:hAnsi="Cambria Math"/>
                  <w:i/>
                </w:rPr>
              </m:ctrlPr>
            </m:sSubPr>
            <m:e>
              <m:r>
                <w:rPr>
                  <w:rFonts w:ascii="Cambria Math" w:hAnsi="Cambria Math"/>
                </w:rPr>
                <m:t>N</m:t>
              </m:r>
            </m:e>
            <m:sub>
              <m:r>
                <w:rPr>
                  <w:rFonts w:ascii="Cambria Math" w:hAnsi="Cambria Math"/>
                </w:rPr>
                <m:t>i</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NATR</m:t>
                  </m:r>
                </m:e>
                <m:sub>
                  <m:r>
                    <w:rPr>
                      <w:rFonts w:ascii="Cambria Math" w:hAnsi="Cambria Math"/>
                    </w:rPr>
                    <m:t>i</m:t>
                  </m:r>
                </m:sub>
              </m:sSub>
            </m:num>
            <m:den>
              <m:sSub>
                <m:sSubPr>
                  <m:ctrlPr>
                    <w:rPr>
                      <w:rFonts w:ascii="Cambria Math" w:hAnsi="Cambria Math"/>
                      <w:i/>
                    </w:rPr>
                  </m:ctrlPr>
                </m:sSubPr>
                <m:e>
                  <m:r>
                    <w:rPr>
                      <w:rFonts w:ascii="Cambria Math" w:hAnsi="Cambria Math"/>
                    </w:rPr>
                    <m:t>NSol</m:t>
                  </m:r>
                </m:e>
                <m:sub>
                  <m:r>
                    <w:rPr>
                      <w:rFonts w:ascii="Cambria Math" w:hAnsi="Cambria Math"/>
                    </w:rPr>
                    <m:t>i</m:t>
                  </m:r>
                </m:sub>
              </m:sSub>
            </m:den>
          </m:f>
          <m:r>
            <w:rPr>
              <w:rFonts w:ascii="Cambria Math" w:hAnsi="Cambria Math"/>
            </w:rPr>
            <m:t>×100 [%]</m:t>
          </m:r>
        </m:oMath>
      </m:oMathPara>
    </w:p>
    <w:p w:rsidR="00133F67" w:rsidRDefault="00133F67" w:rsidP="00133F67">
      <w:pPr>
        <w:spacing w:line="360" w:lineRule="auto"/>
        <w:ind w:firstLine="284"/>
        <w:jc w:val="both"/>
      </w:pPr>
      <w:r>
        <w:t>Unde:</w:t>
      </w:r>
    </w:p>
    <w:p w:rsidR="00133F67" w:rsidRDefault="00133F67" w:rsidP="00133F67">
      <w:pPr>
        <w:pStyle w:val="ListParagraph"/>
        <w:numPr>
          <w:ilvl w:val="0"/>
          <w:numId w:val="12"/>
        </w:numPr>
        <w:spacing w:line="360" w:lineRule="auto"/>
        <w:jc w:val="both"/>
      </w:pPr>
      <w:r>
        <w:t xml:space="preserve">Ni – indicator de monitorizare referitor la ponderea numărului de </w:t>
      </w:r>
      <w:r w:rsidR="003D6D53">
        <w:t xml:space="preserve">ATR emise pentru noi </w:t>
      </w:r>
      <w:r>
        <w:t>locuri de producere sau unităţi de stocare după caz, calculat pentru un an t;</w:t>
      </w:r>
    </w:p>
    <w:p w:rsidR="00133F67" w:rsidRDefault="00133F67" w:rsidP="00133F67">
      <w:pPr>
        <w:pStyle w:val="ListParagraph"/>
        <w:numPr>
          <w:ilvl w:val="0"/>
          <w:numId w:val="12"/>
        </w:numPr>
        <w:spacing w:line="360" w:lineRule="auto"/>
        <w:jc w:val="both"/>
      </w:pPr>
      <w:r>
        <w:t>N</w:t>
      </w:r>
      <w:r w:rsidR="000E537E">
        <w:t>ATR</w:t>
      </w:r>
      <w:r>
        <w:t xml:space="preserve"> – numărul de </w:t>
      </w:r>
      <w:r w:rsidR="00674029">
        <w:t>ATR</w:t>
      </w:r>
      <w:r>
        <w:t xml:space="preserve"> emise de O</w:t>
      </w:r>
      <w:r w:rsidR="000E537E">
        <w:t>TS</w:t>
      </w:r>
      <w:r w:rsidR="00AE12A6">
        <w:t xml:space="preserve"> în termenul reglementat</w:t>
      </w:r>
      <w:r w:rsidR="00AE12A6" w:rsidRPr="00AE12A6">
        <w:t xml:space="preserve"> </w:t>
      </w:r>
      <w:r w:rsidR="00AE12A6">
        <w:t>ca urmare a cererilor de racordare înregistrate în anul t</w:t>
      </w:r>
      <w:r>
        <w:t xml:space="preserve"> pentru racordarea </w:t>
      </w:r>
      <w:r w:rsidR="008B0C15">
        <w:t xml:space="preserve">de noi </w:t>
      </w:r>
      <w:r>
        <w:t>locuri de producere</w:t>
      </w:r>
      <w:r w:rsidR="00AE12A6">
        <w:t xml:space="preserve"> </w:t>
      </w:r>
      <w:r>
        <w:t>sau unităţi de stocare după caz</w:t>
      </w:r>
      <w:r w:rsidR="003D6D53">
        <w:t>, care îndeplinesc condiţia ca termenul pentru racordare din ATR să coincidă cu termenul de PIF solicitat de utilizator prin cererea de racordare</w:t>
      </w:r>
      <w:r>
        <w:t>;</w:t>
      </w:r>
    </w:p>
    <w:p w:rsidR="00133F67" w:rsidRDefault="00133F67" w:rsidP="00133F67">
      <w:pPr>
        <w:pStyle w:val="ListParagraph"/>
        <w:numPr>
          <w:ilvl w:val="0"/>
          <w:numId w:val="12"/>
        </w:numPr>
        <w:spacing w:line="360" w:lineRule="auto"/>
        <w:jc w:val="both"/>
      </w:pPr>
      <w:r>
        <w:t xml:space="preserve">NSol – numărul de solicitări/cereri pentru racordarea </w:t>
      </w:r>
      <w:r w:rsidR="000D52A2">
        <w:t xml:space="preserve">noilor </w:t>
      </w:r>
      <w:r>
        <w:t>locuri de producere sau unităţi de stocare după caz, înregistrate</w:t>
      </w:r>
      <w:r w:rsidR="00674029">
        <w:t xml:space="preserve"> de OTS</w:t>
      </w:r>
      <w:r>
        <w:t xml:space="preserve"> în anul t</w:t>
      </w:r>
      <w:r w:rsidRPr="00D22202">
        <w:t>;</w:t>
      </w:r>
    </w:p>
    <w:p w:rsidR="00D638EF" w:rsidRDefault="00133F67" w:rsidP="00D638EF">
      <w:pPr>
        <w:pStyle w:val="ListParagraph"/>
        <w:numPr>
          <w:ilvl w:val="0"/>
          <w:numId w:val="12"/>
        </w:numPr>
        <w:spacing w:line="360" w:lineRule="auto"/>
        <w:jc w:val="both"/>
      </w:pPr>
      <w:r>
        <w:t xml:space="preserve">i - </w:t>
      </w:r>
      <w:r w:rsidRPr="007666AB">
        <w:t>numărul de ordine al indicatorului monitorizat</w:t>
      </w:r>
      <w:r>
        <w:t>; i = 1</w:t>
      </w:r>
      <w:r w:rsidR="00FD45FC">
        <w:t xml:space="preserve"> sau 3</w:t>
      </w:r>
      <w:r>
        <w:t xml:space="preserve"> </w:t>
      </w:r>
      <w:r w:rsidRPr="00D22202">
        <w:t xml:space="preserve">conform </w:t>
      </w:r>
      <w:r>
        <w:t xml:space="preserve">indicatorilor </w:t>
      </w:r>
      <w:r w:rsidRPr="00D22202">
        <w:t>nominaliz</w:t>
      </w:r>
      <w:r>
        <w:t>aţi</w:t>
      </w:r>
      <w:r w:rsidRPr="00D22202">
        <w:t xml:space="preserve"> la alin. (1)</w:t>
      </w:r>
      <w:r>
        <w:t>.</w:t>
      </w:r>
    </w:p>
    <w:p w:rsidR="002A5109" w:rsidRDefault="006B58C2" w:rsidP="00DF04B2">
      <w:pPr>
        <w:spacing w:line="360" w:lineRule="auto"/>
        <w:ind w:left="1080"/>
        <w:jc w:val="both"/>
      </w:pPr>
      <w:r>
        <w:t xml:space="preserve">b. </w:t>
      </w:r>
      <w:r w:rsidR="002A5109">
        <w:t>Pentru indicatorii de monitorizare prevăzuţi la punctele 2</w:t>
      </w:r>
      <w:r>
        <w:t xml:space="preserve"> şi</w:t>
      </w:r>
      <w:r w:rsidR="002A5109">
        <w:t xml:space="preserve"> 4:</w:t>
      </w:r>
    </w:p>
    <w:p w:rsidR="002A5109" w:rsidRDefault="00F57362" w:rsidP="002A5109">
      <w:pPr>
        <w:pStyle w:val="ListParagraph"/>
        <w:spacing w:line="360" w:lineRule="auto"/>
        <w:jc w:val="both"/>
      </w:pPr>
      <m:oMathPara>
        <m:oMath>
          <m:sSub>
            <m:sSubPr>
              <m:ctrlPr>
                <w:rPr>
                  <w:rFonts w:ascii="Cambria Math" w:hAnsi="Cambria Math"/>
                  <w:i/>
                </w:rPr>
              </m:ctrlPr>
            </m:sSubPr>
            <m:e>
              <m:r>
                <w:rPr>
                  <w:rFonts w:ascii="Cambria Math" w:hAnsi="Cambria Math"/>
                </w:rPr>
                <m:t>P</m:t>
              </m:r>
            </m:e>
            <m:sub>
              <m:r>
                <w:rPr>
                  <w:rFonts w:ascii="Cambria Math" w:hAnsi="Cambria Math"/>
                </w:rPr>
                <m:t>i</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PATR</m:t>
                  </m:r>
                </m:e>
                <m:sub>
                  <m:r>
                    <w:rPr>
                      <w:rFonts w:ascii="Cambria Math" w:hAnsi="Cambria Math"/>
                    </w:rPr>
                    <m:t>i</m:t>
                  </m:r>
                </m:sub>
              </m:sSub>
            </m:num>
            <m:den>
              <m:sSub>
                <m:sSubPr>
                  <m:ctrlPr>
                    <w:rPr>
                      <w:rFonts w:ascii="Cambria Math" w:hAnsi="Cambria Math"/>
                      <w:i/>
                    </w:rPr>
                  </m:ctrlPr>
                </m:sSubPr>
                <m:e>
                  <m:r>
                    <w:rPr>
                      <w:rFonts w:ascii="Cambria Math" w:hAnsi="Cambria Math"/>
                    </w:rPr>
                    <m:t>PSol</m:t>
                  </m:r>
                </m:e>
                <m:sub>
                  <m:r>
                    <w:rPr>
                      <w:rFonts w:ascii="Cambria Math" w:hAnsi="Cambria Math"/>
                    </w:rPr>
                    <m:t>i</m:t>
                  </m:r>
                </m:sub>
              </m:sSub>
            </m:den>
          </m:f>
          <m:r>
            <w:rPr>
              <w:rFonts w:ascii="Cambria Math" w:hAnsi="Cambria Math"/>
            </w:rPr>
            <m:t>×100 [%]</m:t>
          </m:r>
        </m:oMath>
      </m:oMathPara>
    </w:p>
    <w:p w:rsidR="002A5109" w:rsidRDefault="002A5109" w:rsidP="002A5109">
      <w:pPr>
        <w:spacing w:line="360" w:lineRule="auto"/>
        <w:ind w:firstLine="284"/>
        <w:jc w:val="both"/>
      </w:pPr>
      <w:r>
        <w:t>Unde:</w:t>
      </w:r>
    </w:p>
    <w:p w:rsidR="002A5109" w:rsidRDefault="002A5109" w:rsidP="002A5109">
      <w:pPr>
        <w:pStyle w:val="ListParagraph"/>
        <w:numPr>
          <w:ilvl w:val="0"/>
          <w:numId w:val="12"/>
        </w:numPr>
        <w:spacing w:line="360" w:lineRule="auto"/>
        <w:jc w:val="both"/>
      </w:pPr>
      <w:r>
        <w:t>P</w:t>
      </w:r>
      <w:r w:rsidRPr="00F26B32">
        <w:rPr>
          <w:vertAlign w:val="subscript"/>
        </w:rPr>
        <w:t>i</w:t>
      </w:r>
      <w:r>
        <w:t xml:space="preserve"> – </w:t>
      </w:r>
      <w:r w:rsidRPr="00DE60DA">
        <w:t xml:space="preserve">indicator de monitorizare privind ponderea puterii totale </w:t>
      </w:r>
      <w:r w:rsidR="003D6D53" w:rsidRPr="00DE60DA">
        <w:t>aprobate prin ATR emise de OTS pentru noi locuri de producere sau unităţi de stocare după caz</w:t>
      </w:r>
      <w:r w:rsidR="00986A0B">
        <w:t xml:space="preserve"> în anul t</w:t>
      </w:r>
      <w:r w:rsidR="003D6D53" w:rsidRPr="00DE60DA">
        <w:t>, raportată la puterea totală solicitată prin cererile de racordare</w:t>
      </w:r>
      <w:r w:rsidR="003D6D53" w:rsidRPr="00B6250A">
        <w:t xml:space="preserve"> </w:t>
      </w:r>
      <w:r w:rsidR="003D6D53">
        <w:t>de acest tip</w:t>
      </w:r>
      <w:r w:rsidR="00986A0B" w:rsidRPr="00986A0B">
        <w:t xml:space="preserve"> înregistrate de OTS</w:t>
      </w:r>
      <w:r w:rsidR="00986A0B">
        <w:t xml:space="preserve"> în anul t</w:t>
      </w:r>
      <w:r w:rsidRPr="00450D5C">
        <w:t>;</w:t>
      </w:r>
    </w:p>
    <w:p w:rsidR="002A5109" w:rsidRDefault="002A5109" w:rsidP="002A5109">
      <w:pPr>
        <w:pStyle w:val="ListParagraph"/>
        <w:numPr>
          <w:ilvl w:val="0"/>
          <w:numId w:val="12"/>
        </w:numPr>
        <w:spacing w:line="360" w:lineRule="auto"/>
        <w:jc w:val="both"/>
      </w:pPr>
      <w:r>
        <w:t>P</w:t>
      </w:r>
      <w:r w:rsidR="0018358D">
        <w:t>ATR</w:t>
      </w:r>
      <w:r w:rsidRPr="00F26B32">
        <w:rPr>
          <w:vertAlign w:val="subscript"/>
        </w:rPr>
        <w:t>i</w:t>
      </w:r>
      <w:r>
        <w:t xml:space="preserve"> [MW] – puterea totală aprobată pentru evacuare prin </w:t>
      </w:r>
      <w:r w:rsidR="00674029">
        <w:t>ATR</w:t>
      </w:r>
      <w:r w:rsidR="00C5232E">
        <w:t xml:space="preserve"> emise de OTS în termenul reglementat</w:t>
      </w:r>
      <w:r w:rsidR="00C5232E" w:rsidRPr="00AE12A6">
        <w:t xml:space="preserve"> </w:t>
      </w:r>
      <w:r w:rsidR="00C5232E">
        <w:t>ca urmare a cererilor de racordare înregistrate în anul t pentru racordarea de noi locuri de producere sau unităţi de stocare după caz</w:t>
      </w:r>
      <w:r w:rsidR="00805FDC">
        <w:t>, care îndeplinesc condiţia ca termenul pentru racordare din ATR să coincidă cu termenul de PIF solicitat de utilizator prin cererea de racordare</w:t>
      </w:r>
      <w:r>
        <w:t>;</w:t>
      </w:r>
    </w:p>
    <w:p w:rsidR="002A5109" w:rsidRDefault="002A5109" w:rsidP="002A5109">
      <w:pPr>
        <w:pStyle w:val="ListParagraph"/>
        <w:numPr>
          <w:ilvl w:val="0"/>
          <w:numId w:val="12"/>
        </w:numPr>
        <w:spacing w:line="360" w:lineRule="auto"/>
        <w:jc w:val="both"/>
      </w:pPr>
      <w:r>
        <w:lastRenderedPageBreak/>
        <w:t>PSol</w:t>
      </w:r>
      <w:r w:rsidRPr="003751A2">
        <w:rPr>
          <w:vertAlign w:val="subscript"/>
        </w:rPr>
        <w:t>i</w:t>
      </w:r>
      <w:r>
        <w:t xml:space="preserve"> [MW] – puterea totală solicitată pentru evacuare prin cererile pentru racordarea  </w:t>
      </w:r>
      <w:r w:rsidR="000D52A2">
        <w:t xml:space="preserve">noilor </w:t>
      </w:r>
      <w:r>
        <w:t>locuri de producere sau unităţi de stocare după caz, înregistrate de O</w:t>
      </w:r>
      <w:r w:rsidR="0018358D">
        <w:t>TS</w:t>
      </w:r>
      <w:r>
        <w:t xml:space="preserve"> în anul t;</w:t>
      </w:r>
    </w:p>
    <w:p w:rsidR="00D638EF" w:rsidRDefault="002A5109" w:rsidP="00D638EF">
      <w:pPr>
        <w:pStyle w:val="ListParagraph"/>
        <w:numPr>
          <w:ilvl w:val="0"/>
          <w:numId w:val="12"/>
        </w:numPr>
        <w:spacing w:line="360" w:lineRule="auto"/>
        <w:jc w:val="both"/>
      </w:pPr>
      <w:r>
        <w:t xml:space="preserve">i - </w:t>
      </w:r>
      <w:r w:rsidRPr="007666AB">
        <w:t>numărul de ordine al indicatorului monitorizat</w:t>
      </w:r>
      <w:r>
        <w:t>, i = 2</w:t>
      </w:r>
      <w:r w:rsidR="0018358D">
        <w:t xml:space="preserve"> sau</w:t>
      </w:r>
      <w:r>
        <w:t xml:space="preserve"> 4 </w:t>
      </w:r>
      <w:r w:rsidRPr="00D22202">
        <w:t xml:space="preserve">conform </w:t>
      </w:r>
      <w:r>
        <w:t xml:space="preserve">indicatorilor </w:t>
      </w:r>
      <w:r w:rsidRPr="00D22202">
        <w:t>nominaliz</w:t>
      </w:r>
      <w:r>
        <w:t>aţi</w:t>
      </w:r>
      <w:r w:rsidRPr="00D22202">
        <w:t xml:space="preserve"> la alin. (1)</w:t>
      </w:r>
      <w:r>
        <w:t>.</w:t>
      </w:r>
    </w:p>
    <w:p w:rsidR="00FC3513" w:rsidRDefault="006D0102" w:rsidP="00DF19D2">
      <w:pPr>
        <w:pStyle w:val="ListParagraph"/>
        <w:numPr>
          <w:ilvl w:val="0"/>
          <w:numId w:val="21"/>
        </w:numPr>
        <w:spacing w:line="360" w:lineRule="auto"/>
        <w:jc w:val="both"/>
      </w:pPr>
      <w:r w:rsidRPr="00EC7798">
        <w:t xml:space="preserve">Indicatorii de performanță din categoria </w:t>
      </w:r>
      <w:r>
        <w:t>B</w:t>
      </w:r>
      <w:r w:rsidRPr="00EC7798">
        <w:t>, aferenți anului t, I</w:t>
      </w:r>
      <w:r w:rsidRPr="00C0274D">
        <w:rPr>
          <w:vertAlign w:val="subscript"/>
        </w:rPr>
        <w:t>Bt</w:t>
      </w:r>
      <w:r w:rsidRPr="00EC7798">
        <w:t xml:space="preserve">, </w:t>
      </w:r>
      <w:r>
        <w:t>se calculează pe baza indicatorilor de monitorizare prevăzuţi la alin. (1), cu următoarea formulă</w:t>
      </w:r>
      <w:r w:rsidR="00570E80">
        <w:t>:</w:t>
      </w:r>
    </w:p>
    <w:p w:rsidR="005F3B89" w:rsidRPr="0030183A" w:rsidRDefault="00F57362" w:rsidP="0095552B">
      <w:pPr>
        <w:pStyle w:val="ListParagraph"/>
        <w:spacing w:line="360" w:lineRule="auto"/>
        <w:jc w:val="both"/>
      </w:pPr>
      <m:oMathPara>
        <m:oMathParaPr>
          <m:jc m:val="center"/>
        </m:oMathParaPr>
        <m:oMath>
          <m:sSub>
            <m:sSubPr>
              <m:ctrlPr>
                <w:rPr>
                  <w:rFonts w:ascii="Cambria Math" w:hAnsi="Cambria Math"/>
                  <w:i/>
                </w:rPr>
              </m:ctrlPr>
            </m:sSubPr>
            <m:e>
              <m:r>
                <w:rPr>
                  <w:rFonts w:ascii="Cambria Math" w:hAnsi="Cambria Math"/>
                </w:rPr>
                <m:t>I</m:t>
              </m:r>
            </m:e>
            <m:sub>
              <m:r>
                <w:rPr>
                  <w:rFonts w:ascii="Cambria Math" w:hAnsi="Cambria Math"/>
                </w:rPr>
                <m:t>Btj</m:t>
              </m:r>
            </m:sub>
          </m:sSub>
          <m:r>
            <w:rPr>
              <w:rFonts w:ascii="Cambria Math" w:hAnsi="Cambria Math"/>
            </w:rPr>
            <m:t>=</m:t>
          </m:r>
          <m:f>
            <m:fPr>
              <m:ctrlPr>
                <w:rPr>
                  <w:rFonts w:ascii="Cambria Math" w:hAnsi="Cambria Math"/>
                  <w:i/>
                </w:rPr>
              </m:ctrlPr>
            </m:fPr>
            <m:num>
              <m:sSub>
                <m:sSubPr>
                  <m:ctrlPr>
                    <w:rPr>
                      <w:rFonts w:ascii="Cambria Math" w:hAnsi="Cambria Math"/>
                      <w:i/>
                    </w:rPr>
                  </m:ctrlPr>
                </m:sSubPr>
                <m:e>
                  <m:sSub>
                    <m:sSubPr>
                      <m:ctrlPr>
                        <w:rPr>
                          <w:rFonts w:ascii="Cambria Math" w:hAnsi="Cambria Math"/>
                          <w:i/>
                        </w:rPr>
                      </m:ctrlPr>
                    </m:sSubPr>
                    <m:e>
                      <m:r>
                        <w:rPr>
                          <w:rFonts w:ascii="Cambria Math" w:hAnsi="Cambria Math"/>
                        </w:rPr>
                        <m:t>V</m:t>
                      </m:r>
                    </m:e>
                    <m:sub>
                      <m:r>
                        <w:rPr>
                          <w:rFonts w:ascii="Cambria Math" w:hAnsi="Cambria Math"/>
                        </w:rPr>
                        <m:t>Btj</m:t>
                      </m:r>
                    </m:sub>
                  </m:sSub>
                </m:e>
                <m:sub>
                  <m:sSub>
                    <m:sSubPr>
                      <m:ctrlPr>
                        <w:rPr>
                          <w:rFonts w:ascii="Cambria Math" w:hAnsi="Cambria Math"/>
                          <w:i/>
                        </w:rPr>
                      </m:ctrlPr>
                    </m:sSubPr>
                    <m:e>
                      <m:r>
                        <w:rPr>
                          <w:rFonts w:ascii="Cambria Math" w:hAnsi="Cambria Math"/>
                        </w:rPr>
                        <m:t>an</m:t>
                      </m:r>
                    </m:e>
                    <m:sub>
                      <m:r>
                        <w:rPr>
                          <w:rFonts w:ascii="Cambria Math" w:hAnsi="Cambria Math"/>
                        </w:rPr>
                        <m:t>t</m:t>
                      </m:r>
                    </m:sub>
                  </m:sSub>
                </m:sub>
              </m:sSub>
            </m:num>
            <m:den>
              <m:r>
                <w:rPr>
                  <w:rFonts w:ascii="Cambria Math" w:hAnsi="Cambria Math"/>
                </w:rPr>
                <m:t>MAX(</m:t>
              </m:r>
              <m:sSub>
                <m:sSubPr>
                  <m:ctrlPr>
                    <w:rPr>
                      <w:rFonts w:ascii="Cambria Math" w:hAnsi="Cambria Math"/>
                      <w:i/>
                    </w:rPr>
                  </m:ctrlPr>
                </m:sSubPr>
                <m:e>
                  <m:sSub>
                    <m:sSubPr>
                      <m:ctrlPr>
                        <w:rPr>
                          <w:rFonts w:ascii="Cambria Math" w:hAnsi="Cambria Math"/>
                          <w:i/>
                        </w:rPr>
                      </m:ctrlPr>
                    </m:sSubPr>
                    <m:e>
                      <m:r>
                        <w:rPr>
                          <w:rFonts w:ascii="Cambria Math" w:hAnsi="Cambria Math"/>
                        </w:rPr>
                        <m:t>V</m:t>
                      </m:r>
                    </m:e>
                    <m:sub>
                      <m:r>
                        <w:rPr>
                          <w:rFonts w:ascii="Cambria Math" w:hAnsi="Cambria Math"/>
                        </w:rPr>
                        <m:t>Btj</m:t>
                      </m:r>
                    </m:sub>
                  </m:sSub>
                </m:e>
                <m:sub>
                  <m:r>
                    <w:rPr>
                      <w:rFonts w:ascii="Cambria Math" w:hAnsi="Cambria Math"/>
                    </w:rPr>
                    <m:t>a</m:t>
                  </m:r>
                  <m:sSub>
                    <m:sSubPr>
                      <m:ctrlPr>
                        <w:rPr>
                          <w:rFonts w:ascii="Cambria Math" w:hAnsi="Cambria Math"/>
                          <w:i/>
                        </w:rPr>
                      </m:ctrlPr>
                    </m:sSubPr>
                    <m:e>
                      <m:r>
                        <w:rPr>
                          <w:rFonts w:ascii="Cambria Math" w:hAnsi="Cambria Math"/>
                        </w:rPr>
                        <m:t>n</m:t>
                      </m:r>
                    </m:e>
                    <m:sub>
                      <m:r>
                        <w:rPr>
                          <w:rFonts w:ascii="Cambria Math" w:hAnsi="Cambria Math"/>
                        </w:rPr>
                        <m:t>t-4</m:t>
                      </m:r>
                    </m:sub>
                  </m:sSub>
                </m:sub>
              </m:sSub>
              <m:r>
                <w:rPr>
                  <w:rFonts w:ascii="Cambria Math" w:hAnsi="Cambria Math"/>
                </w:rPr>
                <m:t>,…,</m:t>
              </m:r>
              <m:sSub>
                <m:sSubPr>
                  <m:ctrlPr>
                    <w:rPr>
                      <w:rFonts w:ascii="Cambria Math" w:hAnsi="Cambria Math"/>
                      <w:i/>
                    </w:rPr>
                  </m:ctrlPr>
                </m:sSubPr>
                <m:e>
                  <m:sSub>
                    <m:sSubPr>
                      <m:ctrlPr>
                        <w:rPr>
                          <w:rFonts w:ascii="Cambria Math" w:hAnsi="Cambria Math"/>
                          <w:i/>
                        </w:rPr>
                      </m:ctrlPr>
                    </m:sSubPr>
                    <m:e>
                      <m:r>
                        <w:rPr>
                          <w:rFonts w:ascii="Cambria Math" w:hAnsi="Cambria Math"/>
                        </w:rPr>
                        <m:t>V</m:t>
                      </m:r>
                    </m:e>
                    <m:sub>
                      <m:r>
                        <w:rPr>
                          <w:rFonts w:ascii="Cambria Math" w:hAnsi="Cambria Math"/>
                        </w:rPr>
                        <m:t>Btj</m:t>
                      </m:r>
                    </m:sub>
                  </m:sSub>
                </m:e>
                <m:sub>
                  <m:r>
                    <w:rPr>
                      <w:rFonts w:ascii="Cambria Math" w:hAnsi="Cambria Math"/>
                    </w:rPr>
                    <m:t>a</m:t>
                  </m:r>
                  <m:sSub>
                    <m:sSubPr>
                      <m:ctrlPr>
                        <w:rPr>
                          <w:rFonts w:ascii="Cambria Math" w:hAnsi="Cambria Math"/>
                          <w:i/>
                        </w:rPr>
                      </m:ctrlPr>
                    </m:sSubPr>
                    <m:e>
                      <m:r>
                        <w:rPr>
                          <w:rFonts w:ascii="Cambria Math" w:hAnsi="Cambria Math"/>
                        </w:rPr>
                        <m:t>n</m:t>
                      </m:r>
                    </m:e>
                    <m:sub>
                      <m:r>
                        <w:rPr>
                          <w:rFonts w:ascii="Cambria Math" w:hAnsi="Cambria Math"/>
                        </w:rPr>
                        <m:t>t</m:t>
                      </m:r>
                    </m:sub>
                  </m:sSub>
                </m:sub>
              </m:sSub>
              <m:r>
                <w:rPr>
                  <w:rFonts w:ascii="Cambria Math" w:hAnsi="Cambria Math"/>
                </w:rPr>
                <m:t>)</m:t>
              </m:r>
            </m:den>
          </m:f>
          <m:r>
            <w:rPr>
              <w:rFonts w:ascii="Cambria Math" w:hAnsi="Cambria Math"/>
            </w:rPr>
            <m:t>×100 [%]</m:t>
          </m:r>
        </m:oMath>
      </m:oMathPara>
    </w:p>
    <w:p w:rsidR="005F3B89" w:rsidRPr="006E39B7" w:rsidRDefault="005F3B89" w:rsidP="009A2635">
      <w:pPr>
        <w:spacing w:line="360" w:lineRule="auto"/>
        <w:ind w:firstLine="284"/>
        <w:jc w:val="both"/>
      </w:pPr>
      <w:r w:rsidRPr="006E39B7">
        <w:t>Unde:</w:t>
      </w:r>
    </w:p>
    <w:p w:rsidR="005F3B89" w:rsidRPr="006E39B7" w:rsidRDefault="005F3B89" w:rsidP="005F3B89">
      <w:pPr>
        <w:pStyle w:val="ListParagraph"/>
        <w:numPr>
          <w:ilvl w:val="0"/>
          <w:numId w:val="12"/>
        </w:numPr>
        <w:spacing w:line="360" w:lineRule="auto"/>
        <w:jc w:val="both"/>
      </w:pPr>
      <w:r w:rsidRPr="006E39B7">
        <w:t>I</w:t>
      </w:r>
      <w:r>
        <w:rPr>
          <w:vertAlign w:val="subscript"/>
        </w:rPr>
        <w:t>Btj</w:t>
      </w:r>
      <w:r w:rsidRPr="006E39B7">
        <w:t xml:space="preserve"> – indicator </w:t>
      </w:r>
      <w:r w:rsidR="00E50C3E">
        <w:t xml:space="preserve">din categoria B, conform nominalizării de la alin. (1) </w:t>
      </w:r>
      <w:r w:rsidRPr="006E39B7">
        <w:t xml:space="preserve">care reflectă performanța înregistrată de </w:t>
      </w:r>
      <w:r w:rsidR="00A94B4D">
        <w:t>OTS</w:t>
      </w:r>
      <w:r w:rsidRPr="006E39B7">
        <w:t xml:space="preserve"> în anul t de raportare;</w:t>
      </w:r>
    </w:p>
    <w:p w:rsidR="005F3B89" w:rsidRPr="006E39B7" w:rsidRDefault="005F3B89" w:rsidP="005F3B89">
      <w:pPr>
        <w:pStyle w:val="ListParagraph"/>
        <w:numPr>
          <w:ilvl w:val="0"/>
          <w:numId w:val="12"/>
        </w:numPr>
        <w:spacing w:line="360" w:lineRule="auto"/>
        <w:jc w:val="both"/>
      </w:pPr>
      <w:r w:rsidRPr="006E39B7">
        <w:t>MAX() – funcție matematică prin care se determină valoarea maximă dintr-un șir de valori;</w:t>
      </w:r>
    </w:p>
    <w:p w:rsidR="005F3B89" w:rsidRPr="006E39B7" w:rsidRDefault="005F3B89" w:rsidP="005F3B89">
      <w:pPr>
        <w:pStyle w:val="ListParagraph"/>
        <w:numPr>
          <w:ilvl w:val="0"/>
          <w:numId w:val="12"/>
        </w:numPr>
        <w:spacing w:line="360" w:lineRule="auto"/>
        <w:jc w:val="both"/>
      </w:pPr>
      <w:r w:rsidRPr="006E39B7">
        <w:t>V</w:t>
      </w:r>
      <w:r w:rsidRPr="005F3B89">
        <w:rPr>
          <w:vertAlign w:val="subscript"/>
        </w:rPr>
        <w:t>B</w:t>
      </w:r>
      <w:r w:rsidR="003D5011">
        <w:rPr>
          <w:vertAlign w:val="subscript"/>
        </w:rPr>
        <w:t>t</w:t>
      </w:r>
      <w:r>
        <w:rPr>
          <w:vertAlign w:val="subscript"/>
        </w:rPr>
        <w:t>j</w:t>
      </w:r>
      <w:r w:rsidRPr="006E39B7">
        <w:t xml:space="preserve"> - valoarea anuală a  indicatorilor </w:t>
      </w:r>
      <w:r w:rsidR="006D0102">
        <w:t xml:space="preserve">de </w:t>
      </w:r>
      <w:r w:rsidR="00E50C3E" w:rsidRPr="006E39B7">
        <w:t>monitoriza</w:t>
      </w:r>
      <w:r w:rsidR="006D0102">
        <w:t>re</w:t>
      </w:r>
      <w:r w:rsidR="00E50C3E">
        <w:t xml:space="preserve"> din categoria B,</w:t>
      </w:r>
      <w:r w:rsidRPr="006E39B7">
        <w:t xml:space="preserve"> </w:t>
      </w:r>
      <w:r w:rsidR="00E50C3E">
        <w:t xml:space="preserve">conform nominalizării de </w:t>
      </w:r>
      <w:r w:rsidRPr="006E39B7">
        <w:t xml:space="preserve">la </w:t>
      </w:r>
      <w:r>
        <w:t>alin. (1)</w:t>
      </w:r>
      <w:r w:rsidR="00E50C3E">
        <w:t>;</w:t>
      </w:r>
    </w:p>
    <w:p w:rsidR="005F3B89" w:rsidRPr="006E39B7" w:rsidRDefault="005F3B89" w:rsidP="005F3B89">
      <w:pPr>
        <w:pStyle w:val="ListParagraph"/>
        <w:numPr>
          <w:ilvl w:val="0"/>
          <w:numId w:val="12"/>
        </w:numPr>
        <w:spacing w:line="360" w:lineRule="auto"/>
        <w:jc w:val="both"/>
      </w:pPr>
      <w:r w:rsidRPr="006E39B7">
        <w:t>an</w:t>
      </w:r>
      <w:r w:rsidRPr="006E39B7">
        <w:rPr>
          <w:vertAlign w:val="subscript"/>
        </w:rPr>
        <w:t>t</w:t>
      </w:r>
      <w:r w:rsidRPr="006E39B7">
        <w:t xml:space="preserve"> – anul de raportare;</w:t>
      </w:r>
    </w:p>
    <w:p w:rsidR="00570E80" w:rsidRDefault="005F3B89" w:rsidP="005F3B89">
      <w:pPr>
        <w:pStyle w:val="ListParagraph"/>
        <w:spacing w:line="360" w:lineRule="auto"/>
        <w:ind w:left="720"/>
        <w:jc w:val="both"/>
      </w:pPr>
      <w:r w:rsidRPr="006E39B7">
        <w:t>an</w:t>
      </w:r>
      <w:r w:rsidRPr="006E39B7">
        <w:rPr>
          <w:vertAlign w:val="subscript"/>
        </w:rPr>
        <w:t>t-4</w:t>
      </w:r>
      <w:r w:rsidRPr="006E39B7">
        <w:t>,...., an</w:t>
      </w:r>
      <w:r w:rsidRPr="006E39B7">
        <w:rPr>
          <w:vertAlign w:val="subscript"/>
        </w:rPr>
        <w:t xml:space="preserve">t </w:t>
      </w:r>
      <w:r w:rsidRPr="006E39B7">
        <w:t xml:space="preserve">– perioadă de cinci ani consecutivi, inclusiv anul t de raportare, pentru care se iau în calcul valorile indicatorilor </w:t>
      </w:r>
      <w:r w:rsidR="006D0102">
        <w:t xml:space="preserve">de </w:t>
      </w:r>
      <w:r w:rsidRPr="006E39B7">
        <w:t>monitoriza</w:t>
      </w:r>
      <w:r w:rsidR="006D0102">
        <w:t>re</w:t>
      </w:r>
      <w:r w:rsidRPr="006E39B7">
        <w:t>, pentru determinarea indicatorului de performanță aferent anului t de raportare;</w:t>
      </w:r>
    </w:p>
    <w:p w:rsidR="005F3B89" w:rsidRDefault="005F3B89" w:rsidP="005F3B89">
      <w:pPr>
        <w:pStyle w:val="ListParagraph"/>
        <w:numPr>
          <w:ilvl w:val="0"/>
          <w:numId w:val="12"/>
        </w:numPr>
        <w:spacing w:line="360" w:lineRule="auto"/>
        <w:jc w:val="both"/>
      </w:pPr>
      <w:r w:rsidRPr="006E39B7">
        <w:t>j – numărul de ordine al indicatorului de performanță monitorizat</w:t>
      </w:r>
      <w:r w:rsidR="006F4319">
        <w:t>, conform nominalizării de la alin. (1)</w:t>
      </w:r>
      <w:r w:rsidRPr="006E39B7">
        <w:t>.</w:t>
      </w:r>
    </w:p>
    <w:p w:rsidR="009C525F" w:rsidRPr="006E39B7" w:rsidRDefault="009C525F" w:rsidP="00EF2206">
      <w:pPr>
        <w:pStyle w:val="ListParagraph"/>
        <w:numPr>
          <w:ilvl w:val="0"/>
          <w:numId w:val="2"/>
        </w:numPr>
        <w:spacing w:line="360" w:lineRule="auto"/>
        <w:ind w:left="709"/>
        <w:jc w:val="both"/>
        <w:rPr>
          <w:rFonts w:eastAsia="Times New Roman"/>
          <w:color w:val="000000"/>
          <w:shd w:val="clear" w:color="auto" w:fill="FFFFFF"/>
        </w:rPr>
      </w:pPr>
    </w:p>
    <w:p w:rsidR="009C525F" w:rsidRPr="009F2E32" w:rsidRDefault="00E61D3D" w:rsidP="009C525F">
      <w:pPr>
        <w:pStyle w:val="ListParagraph"/>
        <w:numPr>
          <w:ilvl w:val="0"/>
          <w:numId w:val="23"/>
        </w:numPr>
        <w:spacing w:line="360" w:lineRule="auto"/>
        <w:jc w:val="both"/>
        <w:rPr>
          <w:b/>
        </w:rPr>
      </w:pPr>
      <w:r w:rsidRPr="002E6722">
        <w:t xml:space="preserve">Indicatorii </w:t>
      </w:r>
      <w:r>
        <w:t>de monitorizare</w:t>
      </w:r>
      <w:r w:rsidRPr="002E6722">
        <w:t xml:space="preserve"> din categoria </w:t>
      </w:r>
      <w:r>
        <w:t>C</w:t>
      </w:r>
      <w:r w:rsidRPr="002E6722">
        <w:t xml:space="preserve">, </w:t>
      </w:r>
      <w:r w:rsidRPr="006E39B7">
        <w:t>care reflectă nivelul de digitalizare a rețelelor electrice</w:t>
      </w:r>
      <w:r w:rsidRPr="002E6722">
        <w:t xml:space="preserve"> sunt</w:t>
      </w:r>
      <w:r w:rsidR="009C525F" w:rsidRPr="009F2E32">
        <w:t xml:space="preserve">: </w:t>
      </w:r>
    </w:p>
    <w:p w:rsidR="009C525F" w:rsidRPr="006E39B7" w:rsidRDefault="009C525F" w:rsidP="009C525F">
      <w:pPr>
        <w:pStyle w:val="ListParagraph"/>
        <w:numPr>
          <w:ilvl w:val="0"/>
          <w:numId w:val="24"/>
        </w:numPr>
        <w:spacing w:line="360" w:lineRule="auto"/>
        <w:ind w:left="1276"/>
        <w:jc w:val="both"/>
      </w:pPr>
      <w:r>
        <w:t xml:space="preserve">ST </w:t>
      </w:r>
      <w:r w:rsidR="00B06400">
        <w:t>–</w:t>
      </w:r>
      <w:r>
        <w:t xml:space="preserve"> </w:t>
      </w:r>
      <w:r w:rsidR="00B06400">
        <w:t xml:space="preserve">Ponderea </w:t>
      </w:r>
      <w:r w:rsidR="00E61D3D">
        <w:t xml:space="preserve">numărului de </w:t>
      </w:r>
      <w:r w:rsidR="00B06400">
        <w:t>s</w:t>
      </w:r>
      <w:r w:rsidR="00B06400" w:rsidRPr="00B06400">
        <w:t xml:space="preserve">tații de transformare sau de conexiune automatizate care permit </w:t>
      </w:r>
      <w:r w:rsidR="00E50C3E">
        <w:t>acționarea</w:t>
      </w:r>
      <w:r w:rsidR="00B06400" w:rsidRPr="00B06400">
        <w:t xml:space="preserve"> de la distanță, care funcționează fără personal de deservire în stație și sunt monitorizate prin intermediul CTSI</w:t>
      </w:r>
      <w:r w:rsidR="00AF59CA">
        <w:t>,</w:t>
      </w:r>
      <w:r w:rsidR="00AF59CA" w:rsidRPr="00AF59CA">
        <w:t xml:space="preserve"> </w:t>
      </w:r>
      <w:r w:rsidR="00AF59CA">
        <w:t>raportat la numărul total al staţiilor de transformare sau de conexiune din gestiunea OTS</w:t>
      </w:r>
      <w:r w:rsidRPr="006E39B7">
        <w:t xml:space="preserve"> </w:t>
      </w:r>
      <w:r>
        <w:t>[%]</w:t>
      </w:r>
      <w:r w:rsidRPr="006E39B7">
        <w:t>;</w:t>
      </w:r>
    </w:p>
    <w:p w:rsidR="009C525F" w:rsidRDefault="00B06400" w:rsidP="009C525F">
      <w:pPr>
        <w:pStyle w:val="ListParagraph"/>
        <w:numPr>
          <w:ilvl w:val="0"/>
          <w:numId w:val="24"/>
        </w:numPr>
        <w:spacing w:line="360" w:lineRule="auto"/>
        <w:ind w:left="1276"/>
        <w:jc w:val="both"/>
      </w:pPr>
      <w:r>
        <w:t>Lin</w:t>
      </w:r>
      <w:r w:rsidR="009C525F">
        <w:t xml:space="preserve"> </w:t>
      </w:r>
      <w:r>
        <w:t>–</w:t>
      </w:r>
      <w:r w:rsidR="009C525F">
        <w:t xml:space="preserve"> </w:t>
      </w:r>
      <w:r>
        <w:t xml:space="preserve">Ponderea </w:t>
      </w:r>
      <w:r w:rsidR="00E61D3D">
        <w:t xml:space="preserve">numărului de </w:t>
      </w:r>
      <w:r>
        <w:t>l</w:t>
      </w:r>
      <w:r w:rsidRPr="00B06400">
        <w:t xml:space="preserve">inii electrice de înaltă tensiune prevazute cu sisteme de monitorizare </w:t>
      </w:r>
      <w:r w:rsidR="00165BFE">
        <w:t>în timp real a parametrilor</w:t>
      </w:r>
      <w:r w:rsidR="00AF59CA">
        <w:t>, raportat la numărul total al liniilor electrice din gestiunea OTS</w:t>
      </w:r>
      <w:r w:rsidR="009C525F" w:rsidRPr="006E39B7">
        <w:t xml:space="preserve"> </w:t>
      </w:r>
      <w:r w:rsidR="009C525F">
        <w:t>[%];</w:t>
      </w:r>
    </w:p>
    <w:p w:rsidR="009C525F" w:rsidRPr="006E39B7" w:rsidRDefault="009C525F" w:rsidP="009C525F">
      <w:pPr>
        <w:pStyle w:val="ListParagraph"/>
        <w:numPr>
          <w:ilvl w:val="0"/>
          <w:numId w:val="24"/>
        </w:numPr>
        <w:spacing w:line="360" w:lineRule="auto"/>
        <w:ind w:left="1276"/>
        <w:jc w:val="both"/>
      </w:pPr>
      <w:r>
        <w:lastRenderedPageBreak/>
        <w:t xml:space="preserve">Trafo - </w:t>
      </w:r>
      <w:r w:rsidRPr="00581246">
        <w:t xml:space="preserve">Ponderea </w:t>
      </w:r>
      <w:r>
        <w:t>numărului de t</w:t>
      </w:r>
      <w:r w:rsidRPr="006E39B7">
        <w:t xml:space="preserve">ransformatoare </w:t>
      </w:r>
      <w:r w:rsidR="00B06400" w:rsidRPr="00B06400">
        <w:t xml:space="preserve">prevazute cu sisteme de monitorizare </w:t>
      </w:r>
      <w:r w:rsidR="00165BFE">
        <w:t>în timp real a parametrilor</w:t>
      </w:r>
      <w:r w:rsidRPr="006E39B7">
        <w:t xml:space="preserve">, </w:t>
      </w:r>
      <w:r w:rsidR="00AF59CA">
        <w:t>raportat la numărul total al transformatoarelor aflate în funcţiune din gestiunea OTS</w:t>
      </w:r>
      <w:r>
        <w:t xml:space="preserve"> [%].</w:t>
      </w:r>
    </w:p>
    <w:p w:rsidR="00570E80" w:rsidRDefault="00C206E1" w:rsidP="00EF2206">
      <w:pPr>
        <w:pStyle w:val="ListParagraph"/>
        <w:numPr>
          <w:ilvl w:val="0"/>
          <w:numId w:val="23"/>
        </w:numPr>
        <w:spacing w:line="360" w:lineRule="auto"/>
        <w:jc w:val="both"/>
      </w:pPr>
      <w:r>
        <w:t>Valoarea indicatorilor de monitorizare prevăzuţi la alin. (1) se determină anual de O</w:t>
      </w:r>
      <w:r w:rsidR="00EF1BB3">
        <w:t>TS</w:t>
      </w:r>
      <w:r>
        <w:t xml:space="preserve"> pe baza numărului de echipamente existente în funcţiune la 31 decembrie, conform datelor înregistrate în contabilitate privind punerea în funcţiune a echipamentelor.</w:t>
      </w:r>
    </w:p>
    <w:p w:rsidR="009A2635" w:rsidRDefault="009A2635" w:rsidP="009A2635">
      <w:pPr>
        <w:pStyle w:val="ListParagraph"/>
        <w:numPr>
          <w:ilvl w:val="0"/>
          <w:numId w:val="23"/>
        </w:numPr>
        <w:spacing w:line="360" w:lineRule="auto"/>
        <w:jc w:val="both"/>
      </w:pPr>
      <w:r>
        <w:t>Indicatorii de performanță din categoria C, aferenți anului t, I</w:t>
      </w:r>
      <w:r w:rsidRPr="00EF1BB3">
        <w:rPr>
          <w:vertAlign w:val="subscript"/>
        </w:rPr>
        <w:t>Ct</w:t>
      </w:r>
      <w:r w:rsidRPr="009A2635">
        <w:t>,</w:t>
      </w:r>
      <w:r>
        <w:t xml:space="preserve"> conform nominalizării de la alin. (1), se calculează cu următoarea formulă:</w:t>
      </w:r>
    </w:p>
    <w:p w:rsidR="009A2635" w:rsidRDefault="00F57362" w:rsidP="0095552B">
      <w:pPr>
        <w:pStyle w:val="ListParagraph"/>
        <w:spacing w:line="360" w:lineRule="auto"/>
        <w:jc w:val="both"/>
      </w:pPr>
      <m:oMathPara>
        <m:oMath>
          <m:sSub>
            <m:sSubPr>
              <m:ctrlPr>
                <w:rPr>
                  <w:rFonts w:ascii="Cambria Math" w:hAnsi="Cambria Math"/>
                  <w:i/>
                </w:rPr>
              </m:ctrlPr>
            </m:sSubPr>
            <m:e>
              <m:r>
                <w:rPr>
                  <w:rFonts w:ascii="Cambria Math" w:hAnsi="Cambria Math"/>
                </w:rPr>
                <m:t>I</m:t>
              </m:r>
            </m:e>
            <m:sub>
              <m:r>
                <w:rPr>
                  <w:rFonts w:ascii="Cambria Math" w:hAnsi="Cambria Math"/>
                </w:rPr>
                <m:t>Ctk</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V</m:t>
                  </m:r>
                </m:e>
                <m:sub>
                  <m:sSub>
                    <m:sSubPr>
                      <m:ctrlPr>
                        <w:rPr>
                          <w:rFonts w:ascii="Cambria Math" w:hAnsi="Cambria Math"/>
                          <w:i/>
                        </w:rPr>
                      </m:ctrlPr>
                    </m:sSubPr>
                    <m:e>
                      <m:r>
                        <w:rPr>
                          <w:rFonts w:ascii="Cambria Math" w:hAnsi="Cambria Math"/>
                        </w:rPr>
                        <m:t>Ctk</m:t>
                      </m:r>
                    </m:e>
                    <m:sub>
                      <m:r>
                        <w:rPr>
                          <w:rFonts w:ascii="Cambria Math" w:hAnsi="Cambria Math"/>
                        </w:rPr>
                        <m:t>ant</m:t>
                      </m:r>
                    </m:sub>
                  </m:sSub>
                </m:sub>
              </m:sSub>
            </m:num>
            <m:den>
              <m:sSub>
                <m:sSubPr>
                  <m:ctrlPr>
                    <w:rPr>
                      <w:rFonts w:ascii="Cambria Math" w:hAnsi="Cambria Math"/>
                      <w:i/>
                    </w:rPr>
                  </m:ctrlPr>
                </m:sSubPr>
                <m:e>
                  <m:r>
                    <w:rPr>
                      <w:rFonts w:ascii="Cambria Math" w:hAnsi="Cambria Math"/>
                    </w:rPr>
                    <m:t>V</m:t>
                  </m:r>
                </m:e>
                <m:sub>
                  <m:sSub>
                    <m:sSubPr>
                      <m:ctrlPr>
                        <w:rPr>
                          <w:rFonts w:ascii="Cambria Math" w:hAnsi="Cambria Math"/>
                          <w:i/>
                        </w:rPr>
                      </m:ctrlPr>
                    </m:sSubPr>
                    <m:e>
                      <m:r>
                        <w:rPr>
                          <w:rFonts w:ascii="Cambria Math" w:hAnsi="Cambria Math"/>
                        </w:rPr>
                        <m:t>ținta</m:t>
                      </m:r>
                    </m:e>
                    <m:sub>
                      <m:r>
                        <w:rPr>
                          <w:rFonts w:ascii="Cambria Math" w:hAnsi="Cambria Math"/>
                        </w:rPr>
                        <m:t>per</m:t>
                      </m:r>
                    </m:sub>
                  </m:sSub>
                </m:sub>
              </m:sSub>
            </m:den>
          </m:f>
          <m:r>
            <w:rPr>
              <w:rFonts w:ascii="Cambria Math" w:hAnsi="Cambria Math"/>
            </w:rPr>
            <m:t>×100% [%]</m:t>
          </m:r>
        </m:oMath>
      </m:oMathPara>
    </w:p>
    <w:p w:rsidR="009A2635" w:rsidRDefault="009A2635" w:rsidP="009A2635">
      <w:pPr>
        <w:pStyle w:val="ListParagraph"/>
        <w:spacing w:line="360" w:lineRule="auto"/>
        <w:ind w:left="720" w:hanging="436"/>
        <w:jc w:val="both"/>
      </w:pPr>
      <w:r>
        <w:t>Unde:</w:t>
      </w:r>
    </w:p>
    <w:p w:rsidR="009A2635" w:rsidRDefault="009A2635" w:rsidP="009A2635">
      <w:pPr>
        <w:pStyle w:val="ListParagraph"/>
        <w:numPr>
          <w:ilvl w:val="0"/>
          <w:numId w:val="37"/>
        </w:numPr>
        <w:spacing w:line="360" w:lineRule="auto"/>
        <w:ind w:left="709"/>
        <w:jc w:val="both"/>
      </w:pPr>
      <w:r>
        <w:t>I</w:t>
      </w:r>
      <w:r w:rsidRPr="00EC7798">
        <w:rPr>
          <w:vertAlign w:val="subscript"/>
        </w:rPr>
        <w:t>C</w:t>
      </w:r>
      <w:r>
        <w:rPr>
          <w:vertAlign w:val="subscript"/>
        </w:rPr>
        <w:t>t</w:t>
      </w:r>
      <w:r w:rsidRPr="00EC7798">
        <w:rPr>
          <w:vertAlign w:val="subscript"/>
        </w:rPr>
        <w:t>k</w:t>
      </w:r>
      <w:r>
        <w:t xml:space="preserve"> – indicator </w:t>
      </w:r>
      <w:r w:rsidRPr="00EC7798">
        <w:t>care reflectă performanța înregistrată de O</w:t>
      </w:r>
      <w:r>
        <w:t>TS</w:t>
      </w:r>
      <w:r w:rsidRPr="00EC7798">
        <w:t xml:space="preserve"> cu privire la</w:t>
      </w:r>
      <w:r>
        <w:t xml:space="preserve"> digitalizarea rețelei electrice de transport, în anul t, pentru indicatorul k, conform nominalizări</w:t>
      </w:r>
      <w:r w:rsidR="00A63509">
        <w:t>lor</w:t>
      </w:r>
      <w:r>
        <w:t xml:space="preserve"> de la alin. (1);</w:t>
      </w:r>
    </w:p>
    <w:p w:rsidR="009A2635" w:rsidRPr="006E39B7" w:rsidRDefault="009A2635" w:rsidP="009A2635">
      <w:pPr>
        <w:pStyle w:val="ListParagraph"/>
        <w:numPr>
          <w:ilvl w:val="0"/>
          <w:numId w:val="37"/>
        </w:numPr>
        <w:spacing w:line="360" w:lineRule="auto"/>
        <w:ind w:left="709"/>
        <w:jc w:val="both"/>
      </w:pPr>
      <w:r w:rsidRPr="006E39B7">
        <w:t>V</w:t>
      </w:r>
      <w:r w:rsidRPr="009A2635">
        <w:rPr>
          <w:vertAlign w:val="subscript"/>
        </w:rPr>
        <w:t>C</w:t>
      </w:r>
      <w:r>
        <w:rPr>
          <w:vertAlign w:val="subscript"/>
        </w:rPr>
        <w:t>t</w:t>
      </w:r>
      <w:r w:rsidRPr="009A2635">
        <w:rPr>
          <w:vertAlign w:val="subscript"/>
        </w:rPr>
        <w:t>k</w:t>
      </w:r>
      <w:r w:rsidRPr="006E39B7">
        <w:t xml:space="preserve"> - valoarea anuală a  indicatorilor monitorizați care reflectă </w:t>
      </w:r>
      <w:r>
        <w:t>digitalizarea rețelei electrice de transport</w:t>
      </w:r>
      <w:r w:rsidRPr="006E39B7">
        <w:t xml:space="preserve">, nominalizați la </w:t>
      </w:r>
      <w:r>
        <w:t>alin. (1)</w:t>
      </w:r>
      <w:r w:rsidR="00A63509">
        <w:t>;</w:t>
      </w:r>
    </w:p>
    <w:p w:rsidR="009A2635" w:rsidRDefault="009A2635" w:rsidP="009A2635">
      <w:pPr>
        <w:pStyle w:val="ListParagraph"/>
        <w:numPr>
          <w:ilvl w:val="0"/>
          <w:numId w:val="37"/>
        </w:numPr>
        <w:spacing w:line="360" w:lineRule="auto"/>
        <w:ind w:left="709"/>
        <w:jc w:val="both"/>
      </w:pPr>
      <w:r w:rsidRPr="006E39B7">
        <w:t>an</w:t>
      </w:r>
      <w:r w:rsidRPr="009A2635">
        <w:t>t</w:t>
      </w:r>
      <w:r w:rsidRPr="006E39B7">
        <w:t xml:space="preserve"> – anul de raportare;</w:t>
      </w:r>
    </w:p>
    <w:p w:rsidR="009A2635" w:rsidRDefault="009A2635" w:rsidP="009A2635">
      <w:pPr>
        <w:pStyle w:val="ListParagraph"/>
        <w:numPr>
          <w:ilvl w:val="0"/>
          <w:numId w:val="37"/>
        </w:numPr>
        <w:spacing w:line="360" w:lineRule="auto"/>
        <w:ind w:left="709"/>
        <w:jc w:val="both"/>
      </w:pPr>
      <w:r>
        <w:t xml:space="preserve">k - </w:t>
      </w:r>
      <w:r w:rsidRPr="009A2635">
        <w:t>numărul de ordine al indicatorului de performanță, conform nominalizări</w:t>
      </w:r>
      <w:r w:rsidR="00A63509">
        <w:t>lor</w:t>
      </w:r>
      <w:r w:rsidRPr="009A2635">
        <w:t xml:space="preserve"> de la alin. (1).</w:t>
      </w:r>
    </w:p>
    <w:p w:rsidR="00C9560C" w:rsidRPr="006E39B7" w:rsidRDefault="00C9560C" w:rsidP="00EF2206">
      <w:pPr>
        <w:pStyle w:val="ListParagraph"/>
        <w:numPr>
          <w:ilvl w:val="0"/>
          <w:numId w:val="2"/>
        </w:numPr>
        <w:spacing w:line="360" w:lineRule="auto"/>
        <w:ind w:left="709"/>
        <w:jc w:val="both"/>
        <w:rPr>
          <w:rFonts w:eastAsia="Times New Roman"/>
          <w:color w:val="000000"/>
          <w:shd w:val="clear" w:color="auto" w:fill="FFFFFF"/>
        </w:rPr>
      </w:pPr>
    </w:p>
    <w:p w:rsidR="00C9560C" w:rsidRPr="006E39B7" w:rsidRDefault="006F3EA7" w:rsidP="00986A0B">
      <w:pPr>
        <w:pStyle w:val="ListParagraph"/>
        <w:numPr>
          <w:ilvl w:val="0"/>
          <w:numId w:val="44"/>
        </w:numPr>
        <w:spacing w:line="360" w:lineRule="auto"/>
        <w:jc w:val="both"/>
      </w:pPr>
      <w:r>
        <w:t>V</w:t>
      </w:r>
      <w:r w:rsidR="00C9560C" w:rsidRPr="006E39B7">
        <w:t>alo</w:t>
      </w:r>
      <w:r>
        <w:t>area</w:t>
      </w:r>
      <w:r w:rsidR="00C9560C" w:rsidRPr="006E39B7">
        <w:t xml:space="preserve"> indicatorului de performanță compus care reflectă performanța globală a </w:t>
      </w:r>
      <w:r w:rsidR="0067409F">
        <w:t>OTS</w:t>
      </w:r>
      <w:r>
        <w:t xml:space="preserve"> se calculează cu următoarea formulă</w:t>
      </w:r>
      <w:r w:rsidR="00C9560C" w:rsidRPr="006E39B7">
        <w:t>:</w:t>
      </w:r>
    </w:p>
    <w:p w:rsidR="00C9560C" w:rsidRPr="006E39B7" w:rsidRDefault="00F57362" w:rsidP="00C9560C">
      <w:pPr>
        <w:pStyle w:val="ListParagraph"/>
        <w:spacing w:line="360" w:lineRule="auto"/>
        <w:jc w:val="center"/>
        <w:rPr>
          <w:rFonts w:ascii="Cambria Math" w:hAnsi="Cambria Math"/>
        </w:rPr>
      </w:pPr>
      <m:oMath>
        <m:sSub>
          <m:sSubPr>
            <m:ctrlPr>
              <w:rPr>
                <w:rFonts w:ascii="Cambria Math" w:hAnsi="Cambria Math"/>
                <w:b/>
                <w:i/>
              </w:rPr>
            </m:ctrlPr>
          </m:sSubPr>
          <m:e>
            <m:r>
              <m:rPr>
                <m:sty m:val="bi"/>
              </m:rPr>
              <w:rPr>
                <w:rFonts w:ascii="Cambria Math" w:hAnsi="Cambria Math"/>
              </w:rPr>
              <m:t>Kpi</m:t>
            </m:r>
          </m:e>
          <m:sub>
            <m:r>
              <m:rPr>
                <m:sty m:val="bi"/>
              </m:rPr>
              <w:rPr>
                <w:rFonts w:ascii="Cambria Math" w:hAnsi="Cambria Math"/>
              </w:rPr>
              <m:t>tg</m:t>
            </m:r>
          </m:sub>
        </m:sSub>
        <m:r>
          <m:rPr>
            <m:sty m:val="bi"/>
          </m:rPr>
          <w:rPr>
            <w:rFonts w:ascii="Cambria Math" w:hAnsi="Cambria Math"/>
          </w:rPr>
          <m:t>=</m:t>
        </m:r>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b>
              <m:sSubPr>
                <m:ctrlPr>
                  <w:rPr>
                    <w:rFonts w:ascii="Cambria Math" w:hAnsi="Cambria Math"/>
                    <w:i/>
                  </w:rPr>
                </m:ctrlPr>
              </m:sSubPr>
              <m:e>
                <m:r>
                  <w:rPr>
                    <w:rFonts w:ascii="Cambria Math" w:hAnsi="Cambria Math"/>
                  </w:rPr>
                  <m:t>(I</m:t>
                </m:r>
              </m:e>
              <m:sub>
                <m:r>
                  <w:rPr>
                    <w:rFonts w:ascii="Cambria Math" w:hAnsi="Cambria Math"/>
                  </w:rPr>
                  <m:t>Ati</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CSti</m:t>
                </m:r>
              </m:sub>
            </m:sSub>
            <m:r>
              <w:rPr>
                <w:rFonts w:ascii="Cambria Math" w:hAnsi="Cambria Math"/>
              </w:rPr>
              <m:t>)</m:t>
            </m:r>
          </m:e>
        </m:nary>
        <m:r>
          <w:rPr>
            <w:rFonts w:ascii="Cambria Math" w:hAnsi="Cambria Math"/>
          </w:rPr>
          <m:t>×coefpAt+</m:t>
        </m:r>
        <m:nary>
          <m:naryPr>
            <m:chr m:val="∑"/>
            <m:limLoc m:val="undOvr"/>
            <m:ctrlPr>
              <w:rPr>
                <w:rFonts w:ascii="Cambria Math" w:hAnsi="Cambria Math"/>
                <w:i/>
              </w:rPr>
            </m:ctrlPr>
          </m:naryPr>
          <m:sub>
            <m:r>
              <w:rPr>
                <w:rFonts w:ascii="Cambria Math" w:hAnsi="Cambria Math"/>
              </w:rPr>
              <m:t>j=1</m:t>
            </m:r>
          </m:sub>
          <m:sup>
            <m:r>
              <w:rPr>
                <w:rFonts w:ascii="Cambria Math" w:hAnsi="Cambria Math"/>
              </w:rPr>
              <m:t>m</m:t>
            </m:r>
          </m:sup>
          <m:e>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Btj</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Ptj</m:t>
                </m:r>
              </m:sub>
            </m:sSub>
            <m:r>
              <w:rPr>
                <w:rFonts w:ascii="Cambria Math" w:hAnsi="Cambria Math"/>
              </w:rPr>
              <m:t>)</m:t>
            </m:r>
          </m:e>
        </m:nary>
        <m:r>
          <w:rPr>
            <w:rFonts w:ascii="Cambria Math" w:hAnsi="Cambria Math"/>
          </w:rPr>
          <m:t>×coefpBt</m:t>
        </m:r>
        <m:r>
          <m:rPr>
            <m:sty m:val="bi"/>
          </m:rPr>
          <w:rPr>
            <w:rFonts w:ascii="Cambria Math" w:hAnsi="Cambria Math"/>
          </w:rPr>
          <m:t>+</m:t>
        </m:r>
        <m:f>
          <m:fPr>
            <m:ctrlPr>
              <w:rPr>
                <w:rFonts w:ascii="Cambria Math" w:hAnsi="Cambria Math"/>
                <w:i/>
              </w:rPr>
            </m:ctrlPr>
          </m:fPr>
          <m:num>
            <m:nary>
              <m:naryPr>
                <m:chr m:val="∑"/>
                <m:limLoc m:val="undOvr"/>
                <m:ctrlPr>
                  <w:rPr>
                    <w:rFonts w:ascii="Cambria Math" w:hAnsi="Cambria Math"/>
                    <w:i/>
                  </w:rPr>
                </m:ctrlPr>
              </m:naryPr>
              <m:sub>
                <m:r>
                  <w:rPr>
                    <w:rFonts w:ascii="Cambria Math" w:hAnsi="Cambria Math"/>
                  </w:rPr>
                  <m:t>k=1</m:t>
                </m:r>
              </m:sub>
              <m:sup>
                <m:r>
                  <w:rPr>
                    <w:rFonts w:ascii="Cambria Math" w:hAnsi="Cambria Math"/>
                  </w:rPr>
                  <m:t>p</m:t>
                </m:r>
              </m:sup>
              <m:e>
                <m:sSub>
                  <m:sSubPr>
                    <m:ctrlPr>
                      <w:rPr>
                        <w:rFonts w:ascii="Cambria Math" w:hAnsi="Cambria Math"/>
                        <w:i/>
                      </w:rPr>
                    </m:ctrlPr>
                  </m:sSubPr>
                  <m:e>
                    <m:r>
                      <w:rPr>
                        <w:rFonts w:ascii="Cambria Math" w:hAnsi="Cambria Math"/>
                      </w:rPr>
                      <m:t>I</m:t>
                    </m:r>
                  </m:e>
                  <m:sub>
                    <m:r>
                      <w:rPr>
                        <w:rFonts w:ascii="Cambria Math" w:hAnsi="Cambria Math"/>
                      </w:rPr>
                      <m:t>Ctk</m:t>
                    </m:r>
                  </m:sub>
                </m:sSub>
              </m:e>
            </m:nary>
          </m:num>
          <m:den>
            <m:r>
              <w:rPr>
                <w:rFonts w:ascii="Cambria Math" w:hAnsi="Cambria Math"/>
              </w:rPr>
              <m:t>p</m:t>
            </m:r>
          </m:den>
        </m:f>
        <m:r>
          <m:rPr>
            <m:sty m:val="bi"/>
          </m:rPr>
          <w:rPr>
            <w:rFonts w:ascii="Cambria Math" w:hAnsi="Cambria Math"/>
          </w:rPr>
          <m:t>×</m:t>
        </m:r>
        <m:r>
          <w:rPr>
            <w:rFonts w:ascii="Cambria Math" w:hAnsi="Cambria Math"/>
          </w:rPr>
          <m:t>coefpCt</m:t>
        </m:r>
      </m:oMath>
      <w:r w:rsidR="00C9560C" w:rsidRPr="006E39B7">
        <w:rPr>
          <w:rFonts w:ascii="Cambria Math" w:eastAsiaTheme="minorEastAsia" w:hAnsi="Cambria Math"/>
          <w:b/>
          <w:i/>
        </w:rPr>
        <w:t xml:space="preserve"> </w:t>
      </w:r>
      <w:r w:rsidR="00C9560C" w:rsidRPr="006E39B7">
        <w:rPr>
          <w:rFonts w:ascii="Cambria Math" w:eastAsiaTheme="minorEastAsia" w:hAnsi="Cambria Math"/>
        </w:rPr>
        <w:t>[%]</w:t>
      </w:r>
    </w:p>
    <w:p w:rsidR="00C9560C" w:rsidRPr="006E39B7" w:rsidRDefault="00C9560C" w:rsidP="009A2635">
      <w:pPr>
        <w:pStyle w:val="ListParagraph"/>
        <w:spacing w:line="360" w:lineRule="auto"/>
        <w:ind w:firstLine="284"/>
        <w:jc w:val="both"/>
      </w:pPr>
      <w:r w:rsidRPr="006E39B7">
        <w:t>Unde:</w:t>
      </w:r>
    </w:p>
    <w:p w:rsidR="00C9560C" w:rsidRPr="006E39B7" w:rsidRDefault="00C9560C" w:rsidP="00C9560C">
      <w:pPr>
        <w:pStyle w:val="ListParagraph"/>
        <w:numPr>
          <w:ilvl w:val="0"/>
          <w:numId w:val="12"/>
        </w:numPr>
        <w:spacing w:line="360" w:lineRule="auto"/>
        <w:jc w:val="both"/>
      </w:pPr>
      <w:r w:rsidRPr="006E39B7">
        <w:t>I</w:t>
      </w:r>
      <w:r w:rsidR="00193BC3">
        <w:rPr>
          <w:vertAlign w:val="subscript"/>
        </w:rPr>
        <w:t>A</w:t>
      </w:r>
      <w:r w:rsidR="0067409F">
        <w:rPr>
          <w:vertAlign w:val="subscript"/>
        </w:rPr>
        <w:t>t</w:t>
      </w:r>
      <w:r w:rsidRPr="006E39B7">
        <w:rPr>
          <w:vertAlign w:val="subscript"/>
        </w:rPr>
        <w:t>i</w:t>
      </w:r>
      <w:r w:rsidRPr="006E39B7">
        <w:t xml:space="preserve"> – </w:t>
      </w:r>
      <w:r w:rsidR="00193BC3" w:rsidRPr="00193BC3">
        <w:t>Indicator de performanță din categoria A, determina</w:t>
      </w:r>
      <w:r w:rsidR="00164EA9">
        <w:t>t</w:t>
      </w:r>
      <w:r w:rsidR="00193BC3" w:rsidRPr="00193BC3">
        <w:t xml:space="preserve"> conform </w:t>
      </w:r>
      <w:r w:rsidR="006F3EA7">
        <w:t>prevederilor</w:t>
      </w:r>
      <w:r w:rsidR="00193BC3" w:rsidRPr="00193BC3">
        <w:t xml:space="preserve">  art. 14 alin. (3)</w:t>
      </w:r>
      <w:r w:rsidRPr="006E39B7">
        <w:t>;</w:t>
      </w:r>
    </w:p>
    <w:p w:rsidR="00C9560C" w:rsidRPr="006E39B7" w:rsidRDefault="00C9560C" w:rsidP="00C9560C">
      <w:pPr>
        <w:pStyle w:val="ListParagraph"/>
        <w:numPr>
          <w:ilvl w:val="0"/>
          <w:numId w:val="12"/>
        </w:numPr>
        <w:spacing w:line="360" w:lineRule="auto"/>
        <w:jc w:val="both"/>
      </w:pPr>
      <w:r w:rsidRPr="006E39B7">
        <w:t>I</w:t>
      </w:r>
      <w:r w:rsidR="00193BC3">
        <w:rPr>
          <w:vertAlign w:val="subscript"/>
        </w:rPr>
        <w:t>B</w:t>
      </w:r>
      <w:r w:rsidR="0067409F">
        <w:rPr>
          <w:vertAlign w:val="subscript"/>
        </w:rPr>
        <w:t>t</w:t>
      </w:r>
      <w:r w:rsidR="00193BC3">
        <w:rPr>
          <w:vertAlign w:val="subscript"/>
        </w:rPr>
        <w:t>j</w:t>
      </w:r>
      <w:r w:rsidRPr="006E39B7">
        <w:rPr>
          <w:vertAlign w:val="subscript"/>
        </w:rPr>
        <w:t xml:space="preserve"> </w:t>
      </w:r>
      <w:r w:rsidRPr="006E39B7">
        <w:t xml:space="preserve">- </w:t>
      </w:r>
      <w:r w:rsidR="00193BC3" w:rsidRPr="00193BC3">
        <w:t>Indicator de performanță din categoria B, determina</w:t>
      </w:r>
      <w:r w:rsidR="00164EA9">
        <w:t>t</w:t>
      </w:r>
      <w:r w:rsidR="00193BC3" w:rsidRPr="00193BC3">
        <w:t xml:space="preserve"> conform </w:t>
      </w:r>
      <w:r w:rsidR="006F3EA7">
        <w:t xml:space="preserve">prevederilor </w:t>
      </w:r>
      <w:r w:rsidR="00193BC3" w:rsidRPr="00193BC3">
        <w:t>art. 15 alin. (3)</w:t>
      </w:r>
      <w:r w:rsidRPr="006E39B7">
        <w:t>;</w:t>
      </w:r>
    </w:p>
    <w:p w:rsidR="00C9560C" w:rsidRPr="006E39B7" w:rsidRDefault="00C9560C" w:rsidP="00C9560C">
      <w:pPr>
        <w:pStyle w:val="ListParagraph"/>
        <w:numPr>
          <w:ilvl w:val="0"/>
          <w:numId w:val="12"/>
        </w:numPr>
        <w:spacing w:line="360" w:lineRule="auto"/>
        <w:jc w:val="both"/>
      </w:pPr>
      <w:r w:rsidRPr="006E39B7">
        <w:t>I</w:t>
      </w:r>
      <w:r w:rsidR="00193BC3">
        <w:rPr>
          <w:vertAlign w:val="subscript"/>
        </w:rPr>
        <w:t>C</w:t>
      </w:r>
      <w:r w:rsidR="0067409F">
        <w:rPr>
          <w:vertAlign w:val="subscript"/>
        </w:rPr>
        <w:t>t</w:t>
      </w:r>
      <w:r w:rsidRPr="006E39B7">
        <w:rPr>
          <w:vertAlign w:val="subscript"/>
        </w:rPr>
        <w:t>k</w:t>
      </w:r>
      <w:r w:rsidRPr="006E39B7">
        <w:t xml:space="preserve"> - Indicator de performanță din categoria C</w:t>
      </w:r>
      <w:r w:rsidR="00193BC3">
        <w:t>, determina</w:t>
      </w:r>
      <w:r w:rsidR="00164EA9">
        <w:t>t</w:t>
      </w:r>
      <w:r w:rsidR="00193BC3">
        <w:t xml:space="preserve"> conform </w:t>
      </w:r>
      <w:r w:rsidR="006F3EA7">
        <w:t xml:space="preserve">prevederilor </w:t>
      </w:r>
      <w:r w:rsidR="00193BC3">
        <w:t>respectiv art. 16 alin. (3)</w:t>
      </w:r>
      <w:r w:rsidRPr="006E39B7">
        <w:t>;</w:t>
      </w:r>
    </w:p>
    <w:p w:rsidR="00C9560C" w:rsidRPr="006E39B7" w:rsidRDefault="00C9560C" w:rsidP="00C9560C">
      <w:pPr>
        <w:pStyle w:val="ListParagraph"/>
        <w:numPr>
          <w:ilvl w:val="0"/>
          <w:numId w:val="12"/>
        </w:numPr>
        <w:spacing w:line="360" w:lineRule="auto"/>
        <w:jc w:val="both"/>
      </w:pPr>
      <w:r w:rsidRPr="006E39B7">
        <w:t>K</w:t>
      </w:r>
      <w:r w:rsidRPr="006E39B7">
        <w:rPr>
          <w:vertAlign w:val="subscript"/>
        </w:rPr>
        <w:t>CS</w:t>
      </w:r>
      <w:r w:rsidR="0067409F">
        <w:rPr>
          <w:vertAlign w:val="subscript"/>
        </w:rPr>
        <w:t>t</w:t>
      </w:r>
      <w:r w:rsidRPr="006E39B7">
        <w:rPr>
          <w:vertAlign w:val="subscript"/>
        </w:rPr>
        <w:t>i</w:t>
      </w:r>
      <w:r w:rsidRPr="006E39B7">
        <w:t xml:space="preserve"> – coeficient de ponderare a </w:t>
      </w:r>
      <w:r w:rsidR="00386975">
        <w:t xml:space="preserve">fiecărui </w:t>
      </w:r>
      <w:r w:rsidRPr="006E39B7">
        <w:t xml:space="preserve">indicator </w:t>
      </w:r>
      <w:r w:rsidR="00386975" w:rsidRPr="00193BC3">
        <w:t xml:space="preserve">de performanță </w:t>
      </w:r>
      <w:r w:rsidR="00386975">
        <w:t xml:space="preserve">i </w:t>
      </w:r>
      <w:r w:rsidR="00386975" w:rsidRPr="00193BC3">
        <w:t>din categoria A</w:t>
      </w:r>
      <w:r w:rsidRPr="006E39B7">
        <w:t>;</w:t>
      </w:r>
    </w:p>
    <w:p w:rsidR="00C9560C" w:rsidRPr="006E39B7" w:rsidRDefault="00C9560C" w:rsidP="00C9560C">
      <w:pPr>
        <w:pStyle w:val="ListParagraph"/>
        <w:numPr>
          <w:ilvl w:val="0"/>
          <w:numId w:val="12"/>
        </w:numPr>
        <w:spacing w:line="360" w:lineRule="auto"/>
        <w:jc w:val="both"/>
      </w:pPr>
      <w:r w:rsidRPr="006E39B7">
        <w:t>K</w:t>
      </w:r>
      <w:r w:rsidRPr="006E39B7">
        <w:rPr>
          <w:vertAlign w:val="subscript"/>
        </w:rPr>
        <w:t>P</w:t>
      </w:r>
      <w:r w:rsidR="0067409F">
        <w:rPr>
          <w:vertAlign w:val="subscript"/>
        </w:rPr>
        <w:t>t</w:t>
      </w:r>
      <w:r w:rsidR="00193BC3">
        <w:rPr>
          <w:vertAlign w:val="subscript"/>
        </w:rPr>
        <w:t>j</w:t>
      </w:r>
      <w:r w:rsidRPr="006E39B7">
        <w:rPr>
          <w:vertAlign w:val="subscript"/>
        </w:rPr>
        <w:t xml:space="preserve"> </w:t>
      </w:r>
      <w:r w:rsidRPr="006E39B7">
        <w:t xml:space="preserve">- coeficient de ponderare a </w:t>
      </w:r>
      <w:r w:rsidR="00386975">
        <w:t xml:space="preserve">fiecărui </w:t>
      </w:r>
      <w:r w:rsidR="00386975" w:rsidRPr="006E39B7">
        <w:t xml:space="preserve">indicator </w:t>
      </w:r>
      <w:r w:rsidR="00386975" w:rsidRPr="00193BC3">
        <w:t xml:space="preserve">de performanță </w:t>
      </w:r>
      <w:r w:rsidR="00386975">
        <w:t xml:space="preserve">j </w:t>
      </w:r>
      <w:r w:rsidR="00386975" w:rsidRPr="00193BC3">
        <w:t xml:space="preserve">din categoria </w:t>
      </w:r>
      <w:r w:rsidR="00386975">
        <w:t>B</w:t>
      </w:r>
      <w:r w:rsidRPr="006E39B7">
        <w:t>;</w:t>
      </w:r>
    </w:p>
    <w:p w:rsidR="00C9560C" w:rsidRPr="006E39B7" w:rsidRDefault="00C9560C" w:rsidP="00C9560C">
      <w:pPr>
        <w:pStyle w:val="ListParagraph"/>
        <w:numPr>
          <w:ilvl w:val="0"/>
          <w:numId w:val="12"/>
        </w:numPr>
        <w:spacing w:line="360" w:lineRule="auto"/>
        <w:jc w:val="both"/>
      </w:pPr>
      <w:r w:rsidRPr="006E39B7">
        <w:lastRenderedPageBreak/>
        <w:t>coefpA</w:t>
      </w:r>
      <w:r w:rsidR="0067409F">
        <w:t>t</w:t>
      </w:r>
      <w:r w:rsidRPr="006E39B7">
        <w:t xml:space="preserve"> – coeficientul de ponderare aferent categoriei A de indicatori de performanță;</w:t>
      </w:r>
    </w:p>
    <w:p w:rsidR="00C9560C" w:rsidRPr="006E39B7" w:rsidRDefault="00C9560C" w:rsidP="00C9560C">
      <w:pPr>
        <w:pStyle w:val="ListParagraph"/>
        <w:numPr>
          <w:ilvl w:val="0"/>
          <w:numId w:val="12"/>
        </w:numPr>
        <w:spacing w:line="360" w:lineRule="auto"/>
        <w:jc w:val="both"/>
      </w:pPr>
      <w:r w:rsidRPr="006E39B7">
        <w:t>coefpB</w:t>
      </w:r>
      <w:r w:rsidR="0067409F">
        <w:t>t</w:t>
      </w:r>
      <w:r w:rsidRPr="006E39B7">
        <w:t xml:space="preserve"> – coeficientul de ponderare aferent categoriei B de indicatori de performanță;</w:t>
      </w:r>
    </w:p>
    <w:p w:rsidR="00C9560C" w:rsidRPr="006E39B7" w:rsidRDefault="00C9560C" w:rsidP="00C9560C">
      <w:pPr>
        <w:pStyle w:val="ListParagraph"/>
        <w:numPr>
          <w:ilvl w:val="0"/>
          <w:numId w:val="12"/>
        </w:numPr>
        <w:spacing w:line="360" w:lineRule="auto"/>
        <w:jc w:val="both"/>
      </w:pPr>
      <w:r w:rsidRPr="006E39B7">
        <w:t>coefpC</w:t>
      </w:r>
      <w:r w:rsidR="0067409F">
        <w:t>t</w:t>
      </w:r>
      <w:r w:rsidRPr="006E39B7">
        <w:t xml:space="preserve"> - coeficientul de ponderare aferent categoriei C de indicatori de performanță;</w:t>
      </w:r>
    </w:p>
    <w:p w:rsidR="00C9560C" w:rsidRPr="006E39B7" w:rsidRDefault="00C9560C" w:rsidP="00C9560C">
      <w:pPr>
        <w:pStyle w:val="ListParagraph"/>
        <w:numPr>
          <w:ilvl w:val="0"/>
          <w:numId w:val="12"/>
        </w:numPr>
        <w:spacing w:line="360" w:lineRule="auto"/>
        <w:jc w:val="both"/>
      </w:pPr>
      <w:r w:rsidRPr="006E39B7">
        <w:t>n, m – numărul de indicatori de performanță monitorizați din categoriile A, respectiv B, aferen</w:t>
      </w:r>
      <w:r w:rsidR="008C7EFD">
        <w:t>t</w:t>
      </w:r>
      <w:r w:rsidRPr="006E39B7">
        <w:t xml:space="preserve"> operatorului de transport al energiei electrice</w:t>
      </w:r>
      <w:r w:rsidR="00164EA9">
        <w:t>;</w:t>
      </w:r>
    </w:p>
    <w:p w:rsidR="00C9560C" w:rsidRDefault="00C9560C" w:rsidP="00C9560C">
      <w:pPr>
        <w:pStyle w:val="ListParagraph"/>
        <w:numPr>
          <w:ilvl w:val="0"/>
          <w:numId w:val="12"/>
        </w:numPr>
        <w:spacing w:line="360" w:lineRule="auto"/>
        <w:jc w:val="both"/>
      </w:pPr>
      <w:r w:rsidRPr="006E39B7">
        <w:t>p - numărul de indicatori de performanță monitorizați din categoria C, aferent operatorului de transport al energiei electrice.</w:t>
      </w:r>
    </w:p>
    <w:p w:rsidR="007B3D40" w:rsidRDefault="007B3D40" w:rsidP="00986A0B">
      <w:pPr>
        <w:pStyle w:val="ListParagraph"/>
        <w:numPr>
          <w:ilvl w:val="0"/>
          <w:numId w:val="44"/>
        </w:numPr>
        <w:spacing w:line="360" w:lineRule="auto"/>
        <w:jc w:val="both"/>
      </w:pPr>
      <w:r>
        <w:t xml:space="preserve">Valoarea coeficienţilor de ponderare </w:t>
      </w:r>
      <w:r w:rsidR="0061523D" w:rsidRPr="006E39B7">
        <w:t>coefpA</w:t>
      </w:r>
      <w:r w:rsidR="0067409F">
        <w:t>t</w:t>
      </w:r>
      <w:r w:rsidR="0061523D">
        <w:t xml:space="preserve">, </w:t>
      </w:r>
      <w:r w:rsidR="0061523D" w:rsidRPr="006E39B7">
        <w:t>coefpB</w:t>
      </w:r>
      <w:r w:rsidR="0067409F">
        <w:t>t</w:t>
      </w:r>
      <w:r w:rsidR="0061523D">
        <w:t xml:space="preserve"> şi </w:t>
      </w:r>
      <w:r w:rsidR="0061523D" w:rsidRPr="006E39B7">
        <w:t>coefpC</w:t>
      </w:r>
      <w:r w:rsidR="0067409F">
        <w:t>t</w:t>
      </w:r>
      <w:r w:rsidR="0061523D">
        <w:t xml:space="preserve"> </w:t>
      </w:r>
      <w:r>
        <w:t xml:space="preserve">prevăzuţi la alin. (1) au următoarele valori: </w:t>
      </w:r>
      <w:r w:rsidRPr="006E39B7">
        <w:t>coefpA</w:t>
      </w:r>
      <w:r w:rsidR="0067409F">
        <w:t>t</w:t>
      </w:r>
      <w:r>
        <w:t xml:space="preserve"> = </w:t>
      </w:r>
      <w:r w:rsidR="0061523D">
        <w:t>5</w:t>
      </w:r>
      <w:r w:rsidR="00164EA9">
        <w:t xml:space="preserve">0%, </w:t>
      </w:r>
      <w:r w:rsidRPr="006E39B7">
        <w:t>coefpB</w:t>
      </w:r>
      <w:r w:rsidR="0067409F">
        <w:t>t</w:t>
      </w:r>
      <w:r>
        <w:t xml:space="preserve"> = </w:t>
      </w:r>
      <w:r w:rsidR="0061523D">
        <w:t>5</w:t>
      </w:r>
      <w:r>
        <w:t xml:space="preserve">0%; </w:t>
      </w:r>
      <w:r w:rsidRPr="006E39B7">
        <w:t>coefpC</w:t>
      </w:r>
      <w:r w:rsidR="0067409F">
        <w:t>t</w:t>
      </w:r>
      <w:r>
        <w:t xml:space="preserve"> = 0.</w:t>
      </w:r>
    </w:p>
    <w:p w:rsidR="00BC4E87" w:rsidRDefault="007B3D40" w:rsidP="00986A0B">
      <w:pPr>
        <w:pStyle w:val="ListParagraph"/>
        <w:numPr>
          <w:ilvl w:val="0"/>
          <w:numId w:val="44"/>
        </w:numPr>
        <w:spacing w:line="360" w:lineRule="auto"/>
        <w:jc w:val="both"/>
      </w:pPr>
      <w:r>
        <w:t>Valorile c</w:t>
      </w:r>
      <w:r w:rsidR="00BC4E87" w:rsidRPr="006E39B7">
        <w:t>oeficienți</w:t>
      </w:r>
      <w:r>
        <w:t>lor</w:t>
      </w:r>
      <w:r w:rsidR="00BC4E87" w:rsidRPr="006E39B7">
        <w:t xml:space="preserve"> de ponderare K</w:t>
      </w:r>
      <w:r w:rsidR="00BC4E87" w:rsidRPr="00DF19D2">
        <w:t>Cs</w:t>
      </w:r>
      <w:r w:rsidR="0067409F">
        <w:t>t</w:t>
      </w:r>
      <w:r w:rsidR="00BC4E87" w:rsidRPr="00DF19D2">
        <w:t xml:space="preserve">i </w:t>
      </w:r>
      <w:r w:rsidR="00BC4E87" w:rsidRPr="006E39B7">
        <w:t>și K</w:t>
      </w:r>
      <w:r w:rsidR="00BC4E87" w:rsidRPr="00DF19D2">
        <w:t>P</w:t>
      </w:r>
      <w:r w:rsidR="0067409F">
        <w:t>t</w:t>
      </w:r>
      <w:r w:rsidR="00BC4E87" w:rsidRPr="00DF19D2">
        <w:t>j</w:t>
      </w:r>
      <w:r w:rsidR="00BC4E87" w:rsidRPr="006E39B7">
        <w:t xml:space="preserve"> </w:t>
      </w:r>
      <w:r w:rsidR="00BC4E87">
        <w:t>prevăzuţi la alin. (1)</w:t>
      </w:r>
      <w:r>
        <w:t xml:space="preserve"> </w:t>
      </w:r>
      <w:r w:rsidR="00BC4E87" w:rsidRPr="006E39B7">
        <w:t>s</w:t>
      </w:r>
      <w:r>
        <w:t>e regăsesc</w:t>
      </w:r>
      <w:r w:rsidR="00BC4E87" w:rsidRPr="006E39B7">
        <w:t xml:space="preserve"> în tabel</w:t>
      </w:r>
      <w:r w:rsidR="0067409F">
        <w:t>ul</w:t>
      </w:r>
      <w:r w:rsidR="00BC4E87" w:rsidRPr="006E39B7">
        <w:t xml:space="preserve"> din anex</w:t>
      </w:r>
      <w:r w:rsidR="0067409F">
        <w:t>a</w:t>
      </w:r>
      <w:r w:rsidR="00BC4E87" w:rsidRPr="006E39B7">
        <w:t xml:space="preserve"> nr. </w:t>
      </w:r>
      <w:r w:rsidR="00DA0667">
        <w:t>1</w:t>
      </w:r>
      <w:r w:rsidR="00C6521F">
        <w:t>.</w:t>
      </w:r>
      <w:r w:rsidR="0067409F">
        <w:t>2</w:t>
      </w:r>
      <w:r w:rsidR="00BC4E87" w:rsidRPr="006E39B7">
        <w:t xml:space="preserve"> la prezenta metodologie.</w:t>
      </w:r>
    </w:p>
    <w:p w:rsidR="0061523D" w:rsidRPr="006E39B7" w:rsidRDefault="0061523D" w:rsidP="00986A0B">
      <w:pPr>
        <w:pStyle w:val="ListParagraph"/>
        <w:numPr>
          <w:ilvl w:val="0"/>
          <w:numId w:val="44"/>
        </w:numPr>
        <w:spacing w:line="360" w:lineRule="auto"/>
        <w:jc w:val="both"/>
      </w:pPr>
      <w:r>
        <w:t xml:space="preserve">Valorile coeficienţilor de ponderare prevăzute la alin. (2) şi (3) pot fi modificate de ANRE începând cu al </w:t>
      </w:r>
      <w:r w:rsidR="008C7EFD">
        <w:t>treilea</w:t>
      </w:r>
      <w:r>
        <w:t xml:space="preserve"> an a</w:t>
      </w:r>
      <w:r w:rsidR="00060808">
        <w:t>l</w:t>
      </w:r>
      <w:r>
        <w:t xml:space="preserve"> perioadei a V-a de reglementare. </w:t>
      </w:r>
    </w:p>
    <w:p w:rsidR="00C9560C" w:rsidRDefault="00076825" w:rsidP="00C9560C">
      <w:pPr>
        <w:pStyle w:val="HeadingNumber01"/>
      </w:pPr>
      <w:r>
        <w:t>7</w:t>
      </w:r>
      <w:r w:rsidR="00C9560C" w:rsidRPr="006E39B7">
        <w:t>. Dispoziții finale</w:t>
      </w:r>
    </w:p>
    <w:p w:rsidR="00DB5A82" w:rsidRPr="006E39B7" w:rsidRDefault="00DB5A82" w:rsidP="00EF2206">
      <w:pPr>
        <w:pStyle w:val="ListParagraph"/>
        <w:numPr>
          <w:ilvl w:val="0"/>
          <w:numId w:val="2"/>
        </w:numPr>
        <w:spacing w:line="360" w:lineRule="auto"/>
        <w:ind w:left="709"/>
        <w:jc w:val="both"/>
        <w:rPr>
          <w:rFonts w:eastAsia="Times New Roman"/>
          <w:color w:val="000000"/>
          <w:shd w:val="clear" w:color="auto" w:fill="FFFFFF"/>
        </w:rPr>
      </w:pPr>
      <w:bookmarkStart w:id="41" w:name="_Hlk178077049"/>
    </w:p>
    <w:bookmarkEnd w:id="41"/>
    <w:p w:rsidR="00DB5A82" w:rsidRDefault="00DB5A82" w:rsidP="009D244F">
      <w:pPr>
        <w:pStyle w:val="ListParagraph"/>
        <w:numPr>
          <w:ilvl w:val="0"/>
          <w:numId w:val="42"/>
        </w:numPr>
        <w:spacing w:line="360" w:lineRule="auto"/>
        <w:jc w:val="both"/>
      </w:pPr>
      <w:r w:rsidRPr="006E39B7">
        <w:t xml:space="preserve">Anual, începând cu anul </w:t>
      </w:r>
      <w:r w:rsidRPr="006E39B7">
        <w:rPr>
          <w:rFonts w:eastAsiaTheme="majorEastAsia" w:cstheme="majorBidi"/>
        </w:rPr>
        <w:t xml:space="preserve">al treilea </w:t>
      </w:r>
      <w:r w:rsidR="00A91003">
        <w:rPr>
          <w:rFonts w:eastAsiaTheme="majorEastAsia" w:cstheme="majorBidi"/>
        </w:rPr>
        <w:t xml:space="preserve">an </w:t>
      </w:r>
      <w:r w:rsidRPr="006E39B7">
        <w:rPr>
          <w:rFonts w:eastAsiaTheme="majorEastAsia" w:cstheme="majorBidi"/>
        </w:rPr>
        <w:t>al perioadei a V-a de reglementare</w:t>
      </w:r>
      <w:r w:rsidRPr="006E39B7">
        <w:t xml:space="preserve">, operatorii de rețea transmit la ANRE </w:t>
      </w:r>
      <w:r>
        <w:t>până la data de 1 august</w:t>
      </w:r>
      <w:r w:rsidRPr="006E39B7">
        <w:t>, datele privind valorile realizate ale indicatorilor</w:t>
      </w:r>
      <w:r>
        <w:t xml:space="preserve"> de monitorizare şi de performanţă</w:t>
      </w:r>
      <w:r w:rsidRPr="006E39B7">
        <w:t xml:space="preserve"> aferente anului precedent, în formatul prevăzut în tabelele din anex</w:t>
      </w:r>
      <w:r w:rsidR="0090437D">
        <w:t>a</w:t>
      </w:r>
      <w:r w:rsidRPr="006E39B7">
        <w:t xml:space="preserve"> nr. </w:t>
      </w:r>
      <w:r w:rsidR="00DA0667">
        <w:t>2</w:t>
      </w:r>
      <w:r w:rsidR="00C73533">
        <w:t xml:space="preserve">.1, respectiv </w:t>
      </w:r>
      <w:r w:rsidR="0090437D">
        <w:t xml:space="preserve">din anexa </w:t>
      </w:r>
      <w:r w:rsidR="00C73533">
        <w:t>nr. 2.2</w:t>
      </w:r>
      <w:r w:rsidRPr="006E39B7">
        <w:t xml:space="preserve"> la prezenta metodologie.</w:t>
      </w:r>
    </w:p>
    <w:p w:rsidR="009D244F" w:rsidRPr="006E39B7" w:rsidRDefault="009D244F" w:rsidP="009D244F">
      <w:pPr>
        <w:pStyle w:val="ListParagraph"/>
        <w:numPr>
          <w:ilvl w:val="0"/>
          <w:numId w:val="42"/>
        </w:numPr>
        <w:spacing w:line="360" w:lineRule="auto"/>
        <w:jc w:val="both"/>
      </w:pPr>
      <w:r>
        <w:t xml:space="preserve">Prin derogare de la prevederile alin. (1), în al treilea an an perioadei a V-a de reglementare operatorii de reţea transmit </w:t>
      </w:r>
      <w:r w:rsidRPr="006E39B7">
        <w:t>datele privind valorile realizate ale indicatorilor</w:t>
      </w:r>
      <w:r>
        <w:t xml:space="preserve"> de monitorizare şi de performanţă</w:t>
      </w:r>
      <w:r w:rsidRPr="006E39B7">
        <w:t xml:space="preserve"> aferente </w:t>
      </w:r>
      <w:r>
        <w:t>primilor doi ani ai perioadei</w:t>
      </w:r>
      <w:r w:rsidRPr="006E39B7">
        <w:t xml:space="preserve">, în formatul prevăzut în </w:t>
      </w:r>
      <w:r w:rsidR="0090437D">
        <w:t xml:space="preserve">tabelele din </w:t>
      </w:r>
      <w:r w:rsidR="00C228B2">
        <w:t xml:space="preserve">anexa 2.1, respectiv </w:t>
      </w:r>
      <w:r w:rsidR="0090437D">
        <w:t>din</w:t>
      </w:r>
      <w:r w:rsidR="00C228B2">
        <w:t xml:space="preserve"> an</w:t>
      </w:r>
      <w:r w:rsidR="00C73533">
        <w:t>e</w:t>
      </w:r>
      <w:r w:rsidR="0090437D">
        <w:t>x</w:t>
      </w:r>
      <w:r w:rsidR="00C228B2">
        <w:t>a 2.2</w:t>
      </w:r>
      <w:r w:rsidRPr="006E39B7">
        <w:t xml:space="preserve"> la prezenta metodologie</w:t>
      </w:r>
      <w:r>
        <w:t>.</w:t>
      </w:r>
    </w:p>
    <w:p w:rsidR="00DB5A82" w:rsidRDefault="00DB5A82" w:rsidP="009D244F">
      <w:pPr>
        <w:pStyle w:val="ListParagraph"/>
        <w:numPr>
          <w:ilvl w:val="0"/>
          <w:numId w:val="42"/>
        </w:numPr>
        <w:spacing w:line="360" w:lineRule="auto"/>
        <w:jc w:val="both"/>
      </w:pPr>
      <w:r w:rsidRPr="006E39B7">
        <w:t xml:space="preserve">Determinarea indicatorilor de performanță </w:t>
      </w:r>
      <w:r w:rsidRPr="006E39B7">
        <w:rPr>
          <w:rFonts w:eastAsiaTheme="majorEastAsia" w:cstheme="majorBidi"/>
        </w:rPr>
        <w:t xml:space="preserve">prevăzuţi în anexa nr. </w:t>
      </w:r>
      <w:r w:rsidR="00C00945">
        <w:rPr>
          <w:rFonts w:eastAsiaTheme="majorEastAsia" w:cstheme="majorBidi"/>
        </w:rPr>
        <w:t>2</w:t>
      </w:r>
      <w:r w:rsidR="00C228B2">
        <w:rPr>
          <w:rFonts w:eastAsiaTheme="majorEastAsia" w:cstheme="majorBidi"/>
        </w:rPr>
        <w:t>.1, respectiv în anexa nr. 2.2</w:t>
      </w:r>
      <w:r w:rsidRPr="006E39B7">
        <w:rPr>
          <w:rFonts w:eastAsiaTheme="majorEastAsia" w:cstheme="majorBidi"/>
        </w:rPr>
        <w:t xml:space="preserve"> la</w:t>
      </w:r>
      <w:r>
        <w:rPr>
          <w:rFonts w:eastAsiaTheme="majorEastAsia" w:cstheme="majorBidi"/>
        </w:rPr>
        <w:t xml:space="preserve"> </w:t>
      </w:r>
      <w:r w:rsidRPr="006E39B7">
        <w:rPr>
          <w:rFonts w:eastAsiaTheme="majorEastAsia" w:cstheme="majorBidi"/>
        </w:rPr>
        <w:t>prezenta metodologie</w:t>
      </w:r>
      <w:r w:rsidR="0090437D">
        <w:rPr>
          <w:rFonts w:eastAsiaTheme="majorEastAsia" w:cstheme="majorBidi"/>
        </w:rPr>
        <w:t>,</w:t>
      </w:r>
      <w:r w:rsidRPr="006E39B7">
        <w:t xml:space="preserve"> se realizează de către operatorii de rețea pe baza unor proceduri interne, </w:t>
      </w:r>
      <w:r>
        <w:t>elaborate</w:t>
      </w:r>
      <w:r w:rsidRPr="006E39B7">
        <w:t xml:space="preserve"> și aprobate conform regulilor interne, prin care se asigură: modul de identificare, colectare, înregistrare și păstrare a datelor necesare calculului indicatorilor</w:t>
      </w:r>
      <w:r>
        <w:t xml:space="preserve"> de monitorizare şi de performanţă</w:t>
      </w:r>
      <w:r w:rsidRPr="006E39B7">
        <w:t>, documentarea modului de calcul a valorii anuale a indicatorilor</w:t>
      </w:r>
      <w:r w:rsidRPr="00056A0A">
        <w:t xml:space="preserve"> </w:t>
      </w:r>
      <w:r>
        <w:t>de monitorizare şi de performanţă</w:t>
      </w:r>
      <w:r w:rsidRPr="006E39B7">
        <w:t>, nominalizarea responsabilităților pe</w:t>
      </w:r>
      <w:r>
        <w:t>ntru</w:t>
      </w:r>
      <w:r w:rsidRPr="006E39B7">
        <w:t xml:space="preserve"> fiecare etapă a procesului.</w:t>
      </w:r>
    </w:p>
    <w:p w:rsidR="00DB5A82" w:rsidRPr="006E39B7" w:rsidRDefault="00DB5A82" w:rsidP="009D244F">
      <w:pPr>
        <w:pStyle w:val="ListParagraph"/>
        <w:numPr>
          <w:ilvl w:val="0"/>
          <w:numId w:val="42"/>
        </w:numPr>
        <w:spacing w:line="360" w:lineRule="auto"/>
        <w:jc w:val="both"/>
      </w:pPr>
      <w:r w:rsidRPr="006E39B7">
        <w:lastRenderedPageBreak/>
        <w:t xml:space="preserve">Operatorii de rețea păstrează valorile istorice ale indicatorilor </w:t>
      </w:r>
      <w:r>
        <w:t>de monitorizare şi de performanţă</w:t>
      </w:r>
      <w:r w:rsidRPr="006E39B7">
        <w:t xml:space="preserve"> determinați și raportați, însoţite de datele utilizate pentru determinarea acestora, pentru o perioadă cel puțin cinci ani şi le pun la dispoziţia ANRE, la cerere.</w:t>
      </w:r>
    </w:p>
    <w:p w:rsidR="00C9560C" w:rsidRPr="006E39B7" w:rsidRDefault="00C9560C" w:rsidP="00EF2206">
      <w:pPr>
        <w:pStyle w:val="ListParagraph"/>
        <w:numPr>
          <w:ilvl w:val="0"/>
          <w:numId w:val="2"/>
        </w:numPr>
        <w:spacing w:line="360" w:lineRule="auto"/>
        <w:ind w:left="709"/>
        <w:jc w:val="both"/>
        <w:rPr>
          <w:rFonts w:eastAsia="Times New Roman"/>
          <w:color w:val="000000"/>
          <w:shd w:val="clear" w:color="auto" w:fill="FFFFFF"/>
        </w:rPr>
      </w:pPr>
      <w:bookmarkStart w:id="42" w:name="_Hlk178160656"/>
    </w:p>
    <w:bookmarkEnd w:id="42"/>
    <w:p w:rsidR="001135F9" w:rsidRDefault="00C9560C" w:rsidP="00674029">
      <w:pPr>
        <w:spacing w:line="360" w:lineRule="auto"/>
        <w:ind w:firstLine="284"/>
        <w:jc w:val="both"/>
        <w:rPr>
          <w:rFonts w:eastAsia="Times New Roman"/>
          <w:color w:val="000000"/>
          <w:shd w:val="clear" w:color="auto" w:fill="FFFFFF"/>
        </w:rPr>
        <w:sectPr w:rsidR="001135F9" w:rsidSect="00ED1C00">
          <w:footerReference w:type="default" r:id="rId9"/>
          <w:pgSz w:w="12240" w:h="15840"/>
          <w:pgMar w:top="1418" w:right="1183" w:bottom="1418" w:left="1440" w:header="708" w:footer="708" w:gutter="0"/>
          <w:cols w:space="708"/>
          <w:docGrid w:linePitch="360"/>
        </w:sectPr>
      </w:pPr>
      <w:r w:rsidRPr="006E39B7">
        <w:rPr>
          <w:rFonts w:eastAsia="Times New Roman"/>
          <w:color w:val="000000"/>
          <w:shd w:val="clear" w:color="auto" w:fill="FFFFFF"/>
        </w:rPr>
        <w:t>Anexele nr. 1</w:t>
      </w:r>
      <w:r w:rsidR="00C228B2">
        <w:rPr>
          <w:rFonts w:eastAsia="Times New Roman"/>
          <w:color w:val="000000"/>
          <w:shd w:val="clear" w:color="auto" w:fill="FFFFFF"/>
        </w:rPr>
        <w:t>.1, nr. 1.2, nr. 2.1</w:t>
      </w:r>
      <w:r w:rsidRPr="006E39B7">
        <w:rPr>
          <w:rFonts w:eastAsia="Times New Roman"/>
          <w:color w:val="000000"/>
          <w:shd w:val="clear" w:color="auto" w:fill="FFFFFF"/>
        </w:rPr>
        <w:t xml:space="preserve"> și nr. 2</w:t>
      </w:r>
      <w:r w:rsidR="00C228B2">
        <w:rPr>
          <w:rFonts w:eastAsia="Times New Roman"/>
          <w:color w:val="000000"/>
          <w:shd w:val="clear" w:color="auto" w:fill="FFFFFF"/>
        </w:rPr>
        <w:t>.2</w:t>
      </w:r>
      <w:r w:rsidRPr="006E39B7">
        <w:rPr>
          <w:rFonts w:eastAsia="Times New Roman"/>
          <w:color w:val="000000"/>
          <w:shd w:val="clear" w:color="auto" w:fill="FFFFFF"/>
        </w:rPr>
        <w:t xml:space="preserve"> fac parte integrantă din prezenta metodologie.</w:t>
      </w:r>
    </w:p>
    <w:p w:rsidR="001135F9" w:rsidRDefault="001135F9" w:rsidP="001135F9">
      <w:pPr>
        <w:spacing w:line="276" w:lineRule="auto"/>
        <w:jc w:val="right"/>
        <w:rPr>
          <w:b/>
        </w:rPr>
      </w:pPr>
      <w:r w:rsidRPr="006E39B7">
        <w:rPr>
          <w:b/>
        </w:rPr>
        <w:lastRenderedPageBreak/>
        <w:t>ANEXA nr. 1</w:t>
      </w:r>
      <w:r w:rsidR="008A028E">
        <w:rPr>
          <w:b/>
        </w:rPr>
        <w:t>.1</w:t>
      </w:r>
    </w:p>
    <w:p w:rsidR="00DA0667" w:rsidRPr="006E39B7" w:rsidRDefault="00DA0667" w:rsidP="00DA0667">
      <w:pPr>
        <w:spacing w:line="276" w:lineRule="auto"/>
        <w:jc w:val="center"/>
        <w:rPr>
          <w:b/>
        </w:rPr>
      </w:pPr>
      <w:r w:rsidRPr="006E39B7">
        <w:rPr>
          <w:b/>
        </w:rPr>
        <w:t>Coeficienți</w:t>
      </w:r>
      <w:r w:rsidR="00015434">
        <w:rPr>
          <w:b/>
        </w:rPr>
        <w:t>i</w:t>
      </w:r>
      <w:r w:rsidRPr="006E39B7">
        <w:rPr>
          <w:b/>
        </w:rPr>
        <w:t xml:space="preserve"> de ponderare a indicatorilor monitorizați</w:t>
      </w:r>
      <w:r w:rsidR="0009513E">
        <w:rPr>
          <w:b/>
        </w:rPr>
        <w:t xml:space="preserve"> aferen</w:t>
      </w:r>
      <w:r w:rsidR="00015434">
        <w:rPr>
          <w:b/>
        </w:rPr>
        <w:t>ț</w:t>
      </w:r>
      <w:r w:rsidR="0009513E">
        <w:rPr>
          <w:b/>
        </w:rPr>
        <w:t>i serviciului de distribuție a energiei electrice</w:t>
      </w:r>
    </w:p>
    <w:p w:rsidR="00DA0667" w:rsidRPr="00DF19D2" w:rsidRDefault="00DA0667" w:rsidP="00DA0667">
      <w:pPr>
        <w:spacing w:line="276" w:lineRule="auto"/>
        <w:jc w:val="right"/>
        <w:rPr>
          <w:b/>
        </w:rPr>
      </w:pPr>
    </w:p>
    <w:tbl>
      <w:tblPr>
        <w:tblStyle w:val="TableGrid"/>
        <w:tblW w:w="5000" w:type="pct"/>
        <w:jc w:val="center"/>
        <w:tblCellMar>
          <w:left w:w="113" w:type="dxa"/>
          <w:right w:w="113" w:type="dxa"/>
        </w:tblCellMar>
        <w:tblLook w:val="04A0" w:firstRow="1" w:lastRow="0" w:firstColumn="1" w:lastColumn="0" w:noHBand="0" w:noVBand="1"/>
      </w:tblPr>
      <w:tblGrid>
        <w:gridCol w:w="579"/>
        <w:gridCol w:w="6966"/>
        <w:gridCol w:w="1199"/>
        <w:gridCol w:w="1027"/>
      </w:tblGrid>
      <w:tr w:rsidR="00015434" w:rsidRPr="006E39B7" w:rsidTr="003568A5">
        <w:trPr>
          <w:trHeight w:val="660"/>
          <w:tblHeader/>
          <w:jc w:val="center"/>
        </w:trPr>
        <w:tc>
          <w:tcPr>
            <w:tcW w:w="296" w:type="pct"/>
            <w:vMerge w:val="restart"/>
            <w:vAlign w:val="center"/>
          </w:tcPr>
          <w:p w:rsidR="00015434" w:rsidRPr="006E39B7" w:rsidRDefault="00015434" w:rsidP="00CF6127">
            <w:pPr>
              <w:spacing w:line="276" w:lineRule="auto"/>
              <w:jc w:val="center"/>
              <w:rPr>
                <w:b/>
              </w:rPr>
            </w:pPr>
            <w:r w:rsidRPr="006E39B7">
              <w:rPr>
                <w:b/>
              </w:rPr>
              <w:t>Nr. crt.</w:t>
            </w:r>
          </w:p>
        </w:tc>
        <w:tc>
          <w:tcPr>
            <w:tcW w:w="3565" w:type="pct"/>
            <w:vMerge w:val="restart"/>
            <w:vAlign w:val="center"/>
          </w:tcPr>
          <w:p w:rsidR="00015434" w:rsidRPr="006E39B7" w:rsidRDefault="00015434" w:rsidP="00CF6127">
            <w:pPr>
              <w:spacing w:line="276" w:lineRule="auto"/>
              <w:jc w:val="center"/>
              <w:rPr>
                <w:b/>
              </w:rPr>
            </w:pPr>
            <w:r w:rsidRPr="006E39B7">
              <w:rPr>
                <w:b/>
              </w:rPr>
              <w:t>Denumire indicator</w:t>
            </w:r>
          </w:p>
        </w:tc>
        <w:tc>
          <w:tcPr>
            <w:tcW w:w="1139" w:type="pct"/>
            <w:gridSpan w:val="2"/>
            <w:vAlign w:val="center"/>
          </w:tcPr>
          <w:p w:rsidR="00015434" w:rsidRPr="00015434" w:rsidRDefault="00015434" w:rsidP="00CF6127">
            <w:pPr>
              <w:spacing w:line="276" w:lineRule="auto"/>
              <w:jc w:val="center"/>
              <w:rPr>
                <w:b/>
                <w:sz w:val="20"/>
                <w:szCs w:val="20"/>
              </w:rPr>
            </w:pPr>
            <w:r w:rsidRPr="00015434">
              <w:rPr>
                <w:b/>
                <w:sz w:val="20"/>
                <w:szCs w:val="20"/>
              </w:rPr>
              <w:t>Valoare coeficient de ponderare [%]</w:t>
            </w:r>
          </w:p>
        </w:tc>
      </w:tr>
      <w:tr w:rsidR="00015434" w:rsidRPr="006E39B7" w:rsidTr="003568A5">
        <w:trPr>
          <w:trHeight w:val="660"/>
          <w:tblHeader/>
          <w:jc w:val="center"/>
        </w:trPr>
        <w:tc>
          <w:tcPr>
            <w:tcW w:w="296" w:type="pct"/>
            <w:vMerge/>
            <w:vAlign w:val="center"/>
          </w:tcPr>
          <w:p w:rsidR="00015434" w:rsidRPr="006E39B7" w:rsidRDefault="00015434" w:rsidP="00CF6127">
            <w:pPr>
              <w:spacing w:line="276" w:lineRule="auto"/>
              <w:jc w:val="center"/>
              <w:rPr>
                <w:b/>
              </w:rPr>
            </w:pPr>
          </w:p>
        </w:tc>
        <w:tc>
          <w:tcPr>
            <w:tcW w:w="3565" w:type="pct"/>
            <w:vMerge/>
            <w:vAlign w:val="center"/>
          </w:tcPr>
          <w:p w:rsidR="00015434" w:rsidRPr="006E39B7" w:rsidRDefault="00015434" w:rsidP="00CF6127">
            <w:pPr>
              <w:spacing w:line="276" w:lineRule="auto"/>
              <w:jc w:val="center"/>
              <w:rPr>
                <w:b/>
              </w:rPr>
            </w:pPr>
          </w:p>
        </w:tc>
        <w:tc>
          <w:tcPr>
            <w:tcW w:w="614" w:type="pct"/>
            <w:vAlign w:val="center"/>
          </w:tcPr>
          <w:p w:rsidR="00015434" w:rsidRPr="00015434" w:rsidRDefault="00015434" w:rsidP="00CF6127">
            <w:pPr>
              <w:spacing w:line="276" w:lineRule="auto"/>
              <w:jc w:val="center"/>
              <w:rPr>
                <w:b/>
                <w:sz w:val="20"/>
                <w:szCs w:val="20"/>
              </w:rPr>
            </w:pPr>
            <w:r>
              <w:rPr>
                <w:b/>
                <w:sz w:val="20"/>
                <w:szCs w:val="20"/>
              </w:rPr>
              <w:t>Anul 1 și 2</w:t>
            </w:r>
            <w:r w:rsidR="00A91003">
              <w:rPr>
                <w:b/>
                <w:sz w:val="20"/>
                <w:szCs w:val="20"/>
              </w:rPr>
              <w:t xml:space="preserve"> al PR5</w:t>
            </w:r>
          </w:p>
        </w:tc>
        <w:tc>
          <w:tcPr>
            <w:tcW w:w="526" w:type="pct"/>
          </w:tcPr>
          <w:p w:rsidR="00015434" w:rsidRPr="00015434" w:rsidRDefault="00015434" w:rsidP="00CF6127">
            <w:pPr>
              <w:spacing w:line="276" w:lineRule="auto"/>
              <w:jc w:val="center"/>
              <w:rPr>
                <w:b/>
                <w:sz w:val="20"/>
                <w:szCs w:val="20"/>
              </w:rPr>
            </w:pPr>
            <w:r>
              <w:rPr>
                <w:b/>
                <w:sz w:val="20"/>
                <w:szCs w:val="20"/>
              </w:rPr>
              <w:t>Începând cu anul 3</w:t>
            </w:r>
            <w:r w:rsidR="00A91003">
              <w:rPr>
                <w:b/>
                <w:sz w:val="20"/>
                <w:szCs w:val="20"/>
              </w:rPr>
              <w:t xml:space="preserve"> al PR5</w:t>
            </w:r>
          </w:p>
        </w:tc>
      </w:tr>
      <w:tr w:rsidR="00A4562F" w:rsidRPr="006E39B7" w:rsidTr="00A4562F">
        <w:trPr>
          <w:trHeight w:val="215"/>
          <w:tblHeader/>
          <w:jc w:val="center"/>
        </w:trPr>
        <w:tc>
          <w:tcPr>
            <w:tcW w:w="296" w:type="pct"/>
            <w:vAlign w:val="center"/>
          </w:tcPr>
          <w:p w:rsidR="00A4562F" w:rsidRPr="006E39B7" w:rsidRDefault="00A4562F" w:rsidP="00A4562F">
            <w:pPr>
              <w:spacing w:line="276" w:lineRule="auto"/>
              <w:jc w:val="center"/>
              <w:rPr>
                <w:b/>
              </w:rPr>
            </w:pPr>
            <w:r>
              <w:rPr>
                <w:b/>
              </w:rPr>
              <w:t>1</w:t>
            </w:r>
          </w:p>
        </w:tc>
        <w:tc>
          <w:tcPr>
            <w:tcW w:w="3565" w:type="pct"/>
            <w:vAlign w:val="center"/>
          </w:tcPr>
          <w:p w:rsidR="00A4562F" w:rsidRPr="006E39B7" w:rsidRDefault="00A4562F" w:rsidP="00A4562F">
            <w:pPr>
              <w:spacing w:line="276" w:lineRule="auto"/>
              <w:jc w:val="center"/>
              <w:rPr>
                <w:b/>
              </w:rPr>
            </w:pPr>
            <w:r>
              <w:rPr>
                <w:b/>
              </w:rPr>
              <w:t>2</w:t>
            </w:r>
          </w:p>
        </w:tc>
        <w:tc>
          <w:tcPr>
            <w:tcW w:w="614" w:type="pct"/>
            <w:vAlign w:val="center"/>
          </w:tcPr>
          <w:p w:rsidR="00A4562F" w:rsidRDefault="00A4562F" w:rsidP="00A4562F">
            <w:pPr>
              <w:spacing w:line="276" w:lineRule="auto"/>
              <w:jc w:val="center"/>
              <w:rPr>
                <w:b/>
                <w:sz w:val="20"/>
                <w:szCs w:val="20"/>
              </w:rPr>
            </w:pPr>
            <w:r>
              <w:rPr>
                <w:b/>
                <w:sz w:val="20"/>
                <w:szCs w:val="20"/>
              </w:rPr>
              <w:t>3</w:t>
            </w:r>
          </w:p>
        </w:tc>
        <w:tc>
          <w:tcPr>
            <w:tcW w:w="526" w:type="pct"/>
            <w:vAlign w:val="center"/>
          </w:tcPr>
          <w:p w:rsidR="00A4562F" w:rsidRDefault="00A4562F" w:rsidP="00A4562F">
            <w:pPr>
              <w:spacing w:line="276" w:lineRule="auto"/>
              <w:jc w:val="center"/>
              <w:rPr>
                <w:b/>
                <w:sz w:val="20"/>
                <w:szCs w:val="20"/>
              </w:rPr>
            </w:pPr>
            <w:r>
              <w:rPr>
                <w:b/>
                <w:sz w:val="20"/>
                <w:szCs w:val="20"/>
              </w:rPr>
              <w:t>4</w:t>
            </w:r>
          </w:p>
        </w:tc>
      </w:tr>
      <w:tr w:rsidR="00015434" w:rsidRPr="006E39B7" w:rsidTr="003568A5">
        <w:trPr>
          <w:jc w:val="center"/>
        </w:trPr>
        <w:tc>
          <w:tcPr>
            <w:tcW w:w="4474" w:type="pct"/>
            <w:gridSpan w:val="3"/>
            <w:vAlign w:val="center"/>
          </w:tcPr>
          <w:p w:rsidR="00015434" w:rsidRPr="006E39B7" w:rsidRDefault="00015434" w:rsidP="00CF6127">
            <w:pPr>
              <w:spacing w:line="276" w:lineRule="auto"/>
              <w:jc w:val="both"/>
            </w:pPr>
            <w:r w:rsidRPr="006E39B7">
              <w:rPr>
                <w:b/>
                <w:sz w:val="20"/>
                <w:szCs w:val="20"/>
              </w:rPr>
              <w:t>A. Indicatori care reflectă calitatea serviciului de distribuție a energiei electrice:</w:t>
            </w:r>
          </w:p>
        </w:tc>
        <w:tc>
          <w:tcPr>
            <w:tcW w:w="526" w:type="pct"/>
          </w:tcPr>
          <w:p w:rsidR="00015434" w:rsidRPr="006E39B7" w:rsidRDefault="00015434" w:rsidP="00CF6127">
            <w:pPr>
              <w:spacing w:line="276" w:lineRule="auto"/>
              <w:jc w:val="both"/>
              <w:rPr>
                <w:b/>
                <w:sz w:val="20"/>
                <w:szCs w:val="20"/>
              </w:rPr>
            </w:pPr>
          </w:p>
        </w:tc>
      </w:tr>
      <w:tr w:rsidR="003568A5" w:rsidRPr="006E39B7" w:rsidTr="0090437D">
        <w:trPr>
          <w:jc w:val="center"/>
        </w:trPr>
        <w:tc>
          <w:tcPr>
            <w:tcW w:w="296" w:type="pct"/>
          </w:tcPr>
          <w:p w:rsidR="003568A5" w:rsidRPr="006E39B7" w:rsidRDefault="003568A5" w:rsidP="003568A5">
            <w:pPr>
              <w:pStyle w:val="ListParagraph"/>
              <w:numPr>
                <w:ilvl w:val="0"/>
                <w:numId w:val="33"/>
              </w:numPr>
              <w:spacing w:line="276" w:lineRule="auto"/>
              <w:jc w:val="both"/>
            </w:pPr>
          </w:p>
        </w:tc>
        <w:tc>
          <w:tcPr>
            <w:tcW w:w="3565" w:type="pct"/>
          </w:tcPr>
          <w:p w:rsidR="003568A5" w:rsidRPr="00EC0A47" w:rsidRDefault="003568A5" w:rsidP="003568A5">
            <w:pPr>
              <w:rPr>
                <w:sz w:val="20"/>
                <w:szCs w:val="20"/>
              </w:rPr>
            </w:pPr>
            <w:r w:rsidRPr="00EC0A47">
              <w:rPr>
                <w:sz w:val="20"/>
                <w:szCs w:val="20"/>
              </w:rPr>
              <w:t xml:space="preserve">SAIDI - </w:t>
            </w:r>
            <w:r w:rsidRPr="00C00945">
              <w:rPr>
                <w:sz w:val="20"/>
                <w:szCs w:val="20"/>
              </w:rPr>
              <w:t>Indicele durata medie a întreruperilor în reţea (sistem) pentru un utilizator din zona de concesiune [min/an]</w:t>
            </w:r>
          </w:p>
        </w:tc>
        <w:tc>
          <w:tcPr>
            <w:tcW w:w="614" w:type="pct"/>
            <w:vAlign w:val="center"/>
          </w:tcPr>
          <w:p w:rsidR="003568A5" w:rsidRPr="006E39B7" w:rsidRDefault="003568A5" w:rsidP="003568A5">
            <w:pPr>
              <w:spacing w:line="276" w:lineRule="auto"/>
              <w:jc w:val="right"/>
              <w:rPr>
                <w:sz w:val="20"/>
                <w:szCs w:val="20"/>
              </w:rPr>
            </w:pPr>
            <w:r w:rsidRPr="006E39B7">
              <w:rPr>
                <w:sz w:val="20"/>
                <w:szCs w:val="20"/>
              </w:rPr>
              <w:t>3</w:t>
            </w:r>
            <w:r>
              <w:rPr>
                <w:sz w:val="20"/>
                <w:szCs w:val="20"/>
              </w:rPr>
              <w:t>3</w:t>
            </w:r>
            <w:r w:rsidRPr="006E39B7">
              <w:rPr>
                <w:sz w:val="20"/>
                <w:szCs w:val="20"/>
              </w:rPr>
              <w:t>%</w:t>
            </w:r>
          </w:p>
        </w:tc>
        <w:tc>
          <w:tcPr>
            <w:tcW w:w="526" w:type="pct"/>
            <w:vAlign w:val="center"/>
          </w:tcPr>
          <w:p w:rsidR="003568A5" w:rsidRPr="006E39B7" w:rsidRDefault="003568A5" w:rsidP="003568A5">
            <w:pPr>
              <w:spacing w:line="276" w:lineRule="auto"/>
              <w:jc w:val="right"/>
              <w:rPr>
                <w:sz w:val="20"/>
                <w:szCs w:val="20"/>
              </w:rPr>
            </w:pPr>
            <w:r w:rsidRPr="006E39B7">
              <w:rPr>
                <w:sz w:val="20"/>
                <w:szCs w:val="20"/>
              </w:rPr>
              <w:t>3</w:t>
            </w:r>
            <w:r>
              <w:rPr>
                <w:sz w:val="20"/>
                <w:szCs w:val="20"/>
              </w:rPr>
              <w:t>3</w:t>
            </w:r>
            <w:r w:rsidRPr="006E39B7">
              <w:rPr>
                <w:sz w:val="20"/>
                <w:szCs w:val="20"/>
              </w:rPr>
              <w:t>%</w:t>
            </w:r>
          </w:p>
        </w:tc>
      </w:tr>
      <w:tr w:rsidR="003568A5" w:rsidRPr="006E39B7" w:rsidTr="0090437D">
        <w:trPr>
          <w:jc w:val="center"/>
        </w:trPr>
        <w:tc>
          <w:tcPr>
            <w:tcW w:w="296" w:type="pct"/>
          </w:tcPr>
          <w:p w:rsidR="003568A5" w:rsidRPr="006E39B7" w:rsidRDefault="003568A5" w:rsidP="003568A5">
            <w:pPr>
              <w:pStyle w:val="ListParagraph"/>
              <w:numPr>
                <w:ilvl w:val="0"/>
                <w:numId w:val="33"/>
              </w:numPr>
              <w:spacing w:line="276" w:lineRule="auto"/>
              <w:jc w:val="both"/>
            </w:pPr>
          </w:p>
        </w:tc>
        <w:tc>
          <w:tcPr>
            <w:tcW w:w="3565" w:type="pct"/>
          </w:tcPr>
          <w:p w:rsidR="003568A5" w:rsidRPr="00EC0A47" w:rsidRDefault="003568A5" w:rsidP="003568A5">
            <w:pPr>
              <w:rPr>
                <w:sz w:val="20"/>
                <w:szCs w:val="20"/>
              </w:rPr>
            </w:pPr>
            <w:r w:rsidRPr="00EC0A47">
              <w:rPr>
                <w:sz w:val="20"/>
                <w:szCs w:val="20"/>
              </w:rPr>
              <w:t xml:space="preserve">SAIFI - </w:t>
            </w:r>
            <w:r w:rsidRPr="00C00945">
              <w:rPr>
                <w:sz w:val="20"/>
                <w:szCs w:val="20"/>
              </w:rPr>
              <w:t>Indicele frecvenţa medie a întreruperilor în reţea (sistem) pentru un utilizator din zona de concesiune [într/an]</w:t>
            </w:r>
          </w:p>
        </w:tc>
        <w:tc>
          <w:tcPr>
            <w:tcW w:w="614" w:type="pct"/>
            <w:vAlign w:val="center"/>
          </w:tcPr>
          <w:p w:rsidR="003568A5" w:rsidRPr="006E39B7" w:rsidRDefault="003568A5" w:rsidP="003568A5">
            <w:pPr>
              <w:spacing w:line="276" w:lineRule="auto"/>
              <w:jc w:val="right"/>
              <w:rPr>
                <w:sz w:val="20"/>
                <w:szCs w:val="20"/>
              </w:rPr>
            </w:pPr>
            <w:r w:rsidRPr="006E39B7">
              <w:rPr>
                <w:sz w:val="20"/>
                <w:szCs w:val="20"/>
              </w:rPr>
              <w:t>3</w:t>
            </w:r>
            <w:r>
              <w:rPr>
                <w:sz w:val="20"/>
                <w:szCs w:val="20"/>
              </w:rPr>
              <w:t>3</w:t>
            </w:r>
            <w:r w:rsidRPr="006E39B7">
              <w:rPr>
                <w:sz w:val="20"/>
                <w:szCs w:val="20"/>
              </w:rPr>
              <w:t>%</w:t>
            </w:r>
          </w:p>
        </w:tc>
        <w:tc>
          <w:tcPr>
            <w:tcW w:w="526" w:type="pct"/>
            <w:vAlign w:val="center"/>
          </w:tcPr>
          <w:p w:rsidR="003568A5" w:rsidRPr="006E39B7" w:rsidRDefault="003568A5" w:rsidP="003568A5">
            <w:pPr>
              <w:spacing w:line="276" w:lineRule="auto"/>
              <w:jc w:val="right"/>
              <w:rPr>
                <w:sz w:val="20"/>
                <w:szCs w:val="20"/>
              </w:rPr>
            </w:pPr>
            <w:r w:rsidRPr="006E39B7">
              <w:rPr>
                <w:sz w:val="20"/>
                <w:szCs w:val="20"/>
              </w:rPr>
              <w:t>3</w:t>
            </w:r>
            <w:r>
              <w:rPr>
                <w:sz w:val="20"/>
                <w:szCs w:val="20"/>
              </w:rPr>
              <w:t>3</w:t>
            </w:r>
            <w:r w:rsidRPr="006E39B7">
              <w:rPr>
                <w:sz w:val="20"/>
                <w:szCs w:val="20"/>
              </w:rPr>
              <w:t>%</w:t>
            </w:r>
          </w:p>
        </w:tc>
      </w:tr>
      <w:tr w:rsidR="003568A5" w:rsidRPr="006E39B7" w:rsidTr="0090437D">
        <w:trPr>
          <w:jc w:val="center"/>
        </w:trPr>
        <w:tc>
          <w:tcPr>
            <w:tcW w:w="296" w:type="pct"/>
          </w:tcPr>
          <w:p w:rsidR="003568A5" w:rsidRPr="006E39B7" w:rsidRDefault="003568A5" w:rsidP="003568A5">
            <w:pPr>
              <w:pStyle w:val="ListParagraph"/>
              <w:numPr>
                <w:ilvl w:val="0"/>
                <w:numId w:val="33"/>
              </w:numPr>
              <w:spacing w:line="276" w:lineRule="auto"/>
              <w:jc w:val="both"/>
            </w:pPr>
          </w:p>
        </w:tc>
        <w:tc>
          <w:tcPr>
            <w:tcW w:w="3565" w:type="pct"/>
          </w:tcPr>
          <w:p w:rsidR="003568A5" w:rsidRPr="00EC0A47" w:rsidRDefault="003568A5" w:rsidP="003568A5">
            <w:pPr>
              <w:rPr>
                <w:sz w:val="20"/>
                <w:szCs w:val="20"/>
              </w:rPr>
            </w:pPr>
            <w:r w:rsidRPr="00EC0A47">
              <w:rPr>
                <w:sz w:val="20"/>
                <w:szCs w:val="20"/>
              </w:rPr>
              <w:t>Numărul de reclamații referitoare la calitatea curbei de tensiune înregistrate pe toate nivelurile de tensiune, în rețelele de distribuție a energiei electrice din zona de concesiune</w:t>
            </w:r>
          </w:p>
        </w:tc>
        <w:tc>
          <w:tcPr>
            <w:tcW w:w="614" w:type="pct"/>
            <w:vAlign w:val="center"/>
          </w:tcPr>
          <w:p w:rsidR="003568A5" w:rsidRPr="006E39B7" w:rsidRDefault="003568A5" w:rsidP="003568A5">
            <w:pPr>
              <w:spacing w:line="276" w:lineRule="auto"/>
              <w:jc w:val="right"/>
              <w:rPr>
                <w:sz w:val="20"/>
                <w:szCs w:val="20"/>
              </w:rPr>
            </w:pPr>
            <w:r w:rsidRPr="006E39B7">
              <w:rPr>
                <w:sz w:val="20"/>
                <w:szCs w:val="20"/>
              </w:rPr>
              <w:t>3</w:t>
            </w:r>
            <w:r>
              <w:rPr>
                <w:sz w:val="20"/>
                <w:szCs w:val="20"/>
              </w:rPr>
              <w:t>4</w:t>
            </w:r>
            <w:r w:rsidRPr="006E39B7">
              <w:rPr>
                <w:sz w:val="20"/>
                <w:szCs w:val="20"/>
              </w:rPr>
              <w:t>%</w:t>
            </w:r>
          </w:p>
        </w:tc>
        <w:tc>
          <w:tcPr>
            <w:tcW w:w="526" w:type="pct"/>
            <w:vAlign w:val="center"/>
          </w:tcPr>
          <w:p w:rsidR="003568A5" w:rsidRPr="006E39B7" w:rsidRDefault="003568A5" w:rsidP="003568A5">
            <w:pPr>
              <w:spacing w:line="276" w:lineRule="auto"/>
              <w:jc w:val="right"/>
              <w:rPr>
                <w:sz w:val="20"/>
                <w:szCs w:val="20"/>
              </w:rPr>
            </w:pPr>
            <w:r w:rsidRPr="006E39B7">
              <w:rPr>
                <w:sz w:val="20"/>
                <w:szCs w:val="20"/>
              </w:rPr>
              <w:t>3</w:t>
            </w:r>
            <w:r>
              <w:rPr>
                <w:sz w:val="20"/>
                <w:szCs w:val="20"/>
              </w:rPr>
              <w:t>4</w:t>
            </w:r>
            <w:r w:rsidRPr="006E39B7">
              <w:rPr>
                <w:sz w:val="20"/>
                <w:szCs w:val="20"/>
              </w:rPr>
              <w:t>%</w:t>
            </w:r>
          </w:p>
        </w:tc>
      </w:tr>
      <w:tr w:rsidR="00015434" w:rsidRPr="006E39B7" w:rsidTr="003568A5">
        <w:trPr>
          <w:jc w:val="center"/>
        </w:trPr>
        <w:tc>
          <w:tcPr>
            <w:tcW w:w="4474" w:type="pct"/>
            <w:gridSpan w:val="3"/>
            <w:vAlign w:val="center"/>
          </w:tcPr>
          <w:p w:rsidR="00015434" w:rsidRPr="006E39B7" w:rsidRDefault="00015434" w:rsidP="00CF6127">
            <w:pPr>
              <w:spacing w:line="276" w:lineRule="auto"/>
              <w:jc w:val="both"/>
            </w:pPr>
            <w:r w:rsidRPr="006E39B7">
              <w:rPr>
                <w:b/>
                <w:sz w:val="20"/>
                <w:szCs w:val="20"/>
              </w:rPr>
              <w:t>B. Indicatori care reflectă integrarea producției de energie electrică din surse regenerabile și a serviciilor de flexibilitate:</w:t>
            </w:r>
          </w:p>
        </w:tc>
        <w:tc>
          <w:tcPr>
            <w:tcW w:w="526" w:type="pct"/>
          </w:tcPr>
          <w:p w:rsidR="00015434" w:rsidRPr="006E39B7" w:rsidRDefault="00015434" w:rsidP="00CF6127">
            <w:pPr>
              <w:spacing w:line="276" w:lineRule="auto"/>
              <w:jc w:val="both"/>
              <w:rPr>
                <w:b/>
                <w:sz w:val="20"/>
                <w:szCs w:val="20"/>
              </w:rPr>
            </w:pPr>
          </w:p>
        </w:tc>
      </w:tr>
      <w:tr w:rsidR="00517383" w:rsidRPr="006E39B7" w:rsidTr="00517383">
        <w:trPr>
          <w:jc w:val="center"/>
        </w:trPr>
        <w:tc>
          <w:tcPr>
            <w:tcW w:w="296" w:type="pct"/>
          </w:tcPr>
          <w:p w:rsidR="00517383" w:rsidRPr="006E39B7" w:rsidRDefault="00517383" w:rsidP="00517383">
            <w:pPr>
              <w:pStyle w:val="ListParagraph"/>
              <w:numPr>
                <w:ilvl w:val="0"/>
                <w:numId w:val="34"/>
              </w:numPr>
              <w:spacing w:line="276" w:lineRule="auto"/>
              <w:jc w:val="both"/>
            </w:pPr>
          </w:p>
        </w:tc>
        <w:tc>
          <w:tcPr>
            <w:tcW w:w="3565" w:type="pct"/>
          </w:tcPr>
          <w:p w:rsidR="00517383" w:rsidRPr="000A5B63" w:rsidRDefault="00517383" w:rsidP="00517383">
            <w:pPr>
              <w:tabs>
                <w:tab w:val="left" w:pos="256"/>
              </w:tabs>
              <w:rPr>
                <w:sz w:val="20"/>
                <w:szCs w:val="20"/>
              </w:rPr>
            </w:pPr>
            <w:r w:rsidRPr="00C00945">
              <w:rPr>
                <w:sz w:val="20"/>
                <w:szCs w:val="20"/>
              </w:rPr>
              <w:t>NPd  - Ponderea numărului de locuri de producere  cu unități de producere energie electrică din surse regenerabile (altele decât cele aparținând prosumatorilor) nou racordate în rețelele electrice de distribuție din zona de concesiune, [%]</w:t>
            </w:r>
          </w:p>
        </w:tc>
        <w:tc>
          <w:tcPr>
            <w:tcW w:w="614" w:type="pct"/>
            <w:vAlign w:val="center"/>
          </w:tcPr>
          <w:p w:rsidR="00517383" w:rsidRPr="00517383" w:rsidRDefault="00517383" w:rsidP="00517383">
            <w:pPr>
              <w:jc w:val="right"/>
              <w:rPr>
                <w:sz w:val="20"/>
                <w:szCs w:val="20"/>
              </w:rPr>
            </w:pPr>
            <w:r w:rsidRPr="00517383">
              <w:rPr>
                <w:sz w:val="20"/>
                <w:szCs w:val="20"/>
              </w:rPr>
              <w:t>17%</w:t>
            </w:r>
          </w:p>
        </w:tc>
        <w:tc>
          <w:tcPr>
            <w:tcW w:w="526" w:type="pct"/>
            <w:vAlign w:val="center"/>
          </w:tcPr>
          <w:p w:rsidR="00517383" w:rsidRPr="00517383" w:rsidRDefault="00517383" w:rsidP="00517383">
            <w:pPr>
              <w:jc w:val="right"/>
              <w:rPr>
                <w:sz w:val="20"/>
                <w:szCs w:val="20"/>
              </w:rPr>
            </w:pPr>
            <w:r w:rsidRPr="00517383">
              <w:rPr>
                <w:sz w:val="20"/>
                <w:szCs w:val="20"/>
              </w:rPr>
              <w:t>15%</w:t>
            </w:r>
          </w:p>
        </w:tc>
      </w:tr>
      <w:tr w:rsidR="00517383" w:rsidRPr="006E39B7" w:rsidTr="00517383">
        <w:trPr>
          <w:jc w:val="center"/>
        </w:trPr>
        <w:tc>
          <w:tcPr>
            <w:tcW w:w="296" w:type="pct"/>
          </w:tcPr>
          <w:p w:rsidR="00517383" w:rsidRPr="006E39B7" w:rsidRDefault="00517383" w:rsidP="00517383">
            <w:pPr>
              <w:pStyle w:val="ListParagraph"/>
              <w:numPr>
                <w:ilvl w:val="0"/>
                <w:numId w:val="34"/>
              </w:numPr>
              <w:spacing w:line="276" w:lineRule="auto"/>
              <w:jc w:val="both"/>
            </w:pPr>
          </w:p>
        </w:tc>
        <w:tc>
          <w:tcPr>
            <w:tcW w:w="3565" w:type="pct"/>
          </w:tcPr>
          <w:p w:rsidR="00517383" w:rsidRPr="000A5B63" w:rsidRDefault="00517383" w:rsidP="00517383">
            <w:pPr>
              <w:tabs>
                <w:tab w:val="left" w:pos="241"/>
              </w:tabs>
              <w:rPr>
                <w:sz w:val="20"/>
                <w:szCs w:val="20"/>
              </w:rPr>
            </w:pPr>
            <w:r w:rsidRPr="00C00945">
              <w:rPr>
                <w:sz w:val="20"/>
                <w:szCs w:val="20"/>
              </w:rPr>
              <w:t>PPd - Ponderea puterii totale aprobate aferentă locurilor de producere cu unități de producere energie electrică din surse regenerabile din zona de concesiune (altele decât cele aparținând prosumatorilor) nou racordate în rețelele electrice de distribuție din zona de concesiune [%]</w:t>
            </w:r>
          </w:p>
        </w:tc>
        <w:tc>
          <w:tcPr>
            <w:tcW w:w="614" w:type="pct"/>
            <w:vAlign w:val="center"/>
          </w:tcPr>
          <w:p w:rsidR="00517383" w:rsidRPr="00517383" w:rsidRDefault="00517383" w:rsidP="00517383">
            <w:pPr>
              <w:jc w:val="right"/>
              <w:rPr>
                <w:sz w:val="20"/>
                <w:szCs w:val="20"/>
              </w:rPr>
            </w:pPr>
            <w:r w:rsidRPr="00517383">
              <w:rPr>
                <w:sz w:val="20"/>
                <w:szCs w:val="20"/>
              </w:rPr>
              <w:t>17%</w:t>
            </w:r>
          </w:p>
        </w:tc>
        <w:tc>
          <w:tcPr>
            <w:tcW w:w="526" w:type="pct"/>
            <w:vAlign w:val="center"/>
          </w:tcPr>
          <w:p w:rsidR="00517383" w:rsidRPr="00517383" w:rsidRDefault="00517383" w:rsidP="00517383">
            <w:pPr>
              <w:jc w:val="right"/>
              <w:rPr>
                <w:sz w:val="20"/>
                <w:szCs w:val="20"/>
              </w:rPr>
            </w:pPr>
            <w:r w:rsidRPr="00517383">
              <w:rPr>
                <w:sz w:val="20"/>
                <w:szCs w:val="20"/>
              </w:rPr>
              <w:t>15%</w:t>
            </w:r>
          </w:p>
        </w:tc>
      </w:tr>
      <w:tr w:rsidR="00517383" w:rsidRPr="006E39B7" w:rsidTr="00517383">
        <w:trPr>
          <w:jc w:val="center"/>
        </w:trPr>
        <w:tc>
          <w:tcPr>
            <w:tcW w:w="296" w:type="pct"/>
          </w:tcPr>
          <w:p w:rsidR="00517383" w:rsidRPr="006E39B7" w:rsidRDefault="00517383" w:rsidP="00517383">
            <w:pPr>
              <w:pStyle w:val="ListParagraph"/>
              <w:numPr>
                <w:ilvl w:val="0"/>
                <w:numId w:val="34"/>
              </w:numPr>
              <w:spacing w:line="276" w:lineRule="auto"/>
              <w:jc w:val="both"/>
            </w:pPr>
          </w:p>
        </w:tc>
        <w:tc>
          <w:tcPr>
            <w:tcW w:w="3565" w:type="pct"/>
          </w:tcPr>
          <w:p w:rsidR="00517383" w:rsidRPr="000A5B63" w:rsidRDefault="00517383" w:rsidP="00517383">
            <w:pPr>
              <w:tabs>
                <w:tab w:val="left" w:pos="286"/>
              </w:tabs>
              <w:rPr>
                <w:sz w:val="20"/>
                <w:szCs w:val="20"/>
              </w:rPr>
            </w:pPr>
            <w:r w:rsidRPr="00CA3075">
              <w:rPr>
                <w:sz w:val="20"/>
                <w:szCs w:val="20"/>
              </w:rPr>
              <w:t>NPros - Ponderea numărului de prosumatori nou racordaţi în rețelele electrice de distribuție din zona de concesiune [%]</w:t>
            </w:r>
          </w:p>
        </w:tc>
        <w:tc>
          <w:tcPr>
            <w:tcW w:w="614" w:type="pct"/>
            <w:vAlign w:val="center"/>
          </w:tcPr>
          <w:p w:rsidR="00517383" w:rsidRPr="00517383" w:rsidRDefault="00517383" w:rsidP="00517383">
            <w:pPr>
              <w:jc w:val="right"/>
              <w:rPr>
                <w:sz w:val="20"/>
                <w:szCs w:val="20"/>
              </w:rPr>
            </w:pPr>
            <w:r w:rsidRPr="00517383">
              <w:rPr>
                <w:sz w:val="20"/>
                <w:szCs w:val="20"/>
              </w:rPr>
              <w:t>16%</w:t>
            </w:r>
          </w:p>
        </w:tc>
        <w:tc>
          <w:tcPr>
            <w:tcW w:w="526" w:type="pct"/>
            <w:vAlign w:val="center"/>
          </w:tcPr>
          <w:p w:rsidR="00517383" w:rsidRPr="00517383" w:rsidRDefault="00517383" w:rsidP="00517383">
            <w:pPr>
              <w:jc w:val="right"/>
              <w:rPr>
                <w:sz w:val="20"/>
                <w:szCs w:val="20"/>
              </w:rPr>
            </w:pPr>
            <w:r w:rsidRPr="00517383">
              <w:rPr>
                <w:sz w:val="20"/>
                <w:szCs w:val="20"/>
              </w:rPr>
              <w:t>15%</w:t>
            </w:r>
          </w:p>
        </w:tc>
      </w:tr>
      <w:tr w:rsidR="00517383" w:rsidRPr="006E39B7" w:rsidTr="00517383">
        <w:trPr>
          <w:jc w:val="center"/>
        </w:trPr>
        <w:tc>
          <w:tcPr>
            <w:tcW w:w="296" w:type="pct"/>
          </w:tcPr>
          <w:p w:rsidR="00517383" w:rsidRPr="006E39B7" w:rsidRDefault="00517383" w:rsidP="00517383">
            <w:pPr>
              <w:pStyle w:val="ListParagraph"/>
              <w:numPr>
                <w:ilvl w:val="0"/>
                <w:numId w:val="34"/>
              </w:numPr>
              <w:spacing w:line="276" w:lineRule="auto"/>
              <w:jc w:val="both"/>
            </w:pPr>
          </w:p>
        </w:tc>
        <w:tc>
          <w:tcPr>
            <w:tcW w:w="3565" w:type="pct"/>
          </w:tcPr>
          <w:p w:rsidR="00517383" w:rsidRPr="000A5B63" w:rsidRDefault="00517383" w:rsidP="00517383">
            <w:pPr>
              <w:tabs>
                <w:tab w:val="left" w:pos="265"/>
              </w:tabs>
              <w:rPr>
                <w:sz w:val="20"/>
                <w:szCs w:val="20"/>
              </w:rPr>
            </w:pPr>
            <w:r w:rsidRPr="00CA3075">
              <w:rPr>
                <w:sz w:val="20"/>
                <w:szCs w:val="20"/>
              </w:rPr>
              <w:t>PPros - Ponderea puterii totale aprobate aferentă prosumatorilor nou racordaţi în rețelele electrice de distribuție din zona de concesiune [%]</w:t>
            </w:r>
          </w:p>
        </w:tc>
        <w:tc>
          <w:tcPr>
            <w:tcW w:w="614" w:type="pct"/>
            <w:vAlign w:val="center"/>
          </w:tcPr>
          <w:p w:rsidR="00517383" w:rsidRPr="00517383" w:rsidRDefault="00517383" w:rsidP="00517383">
            <w:pPr>
              <w:jc w:val="right"/>
              <w:rPr>
                <w:sz w:val="20"/>
                <w:szCs w:val="20"/>
              </w:rPr>
            </w:pPr>
            <w:r w:rsidRPr="00517383">
              <w:rPr>
                <w:sz w:val="20"/>
                <w:szCs w:val="20"/>
              </w:rPr>
              <w:t>16%</w:t>
            </w:r>
          </w:p>
        </w:tc>
        <w:tc>
          <w:tcPr>
            <w:tcW w:w="526" w:type="pct"/>
            <w:vAlign w:val="center"/>
          </w:tcPr>
          <w:p w:rsidR="00517383" w:rsidRPr="00517383" w:rsidRDefault="00517383" w:rsidP="00517383">
            <w:pPr>
              <w:jc w:val="right"/>
              <w:rPr>
                <w:sz w:val="20"/>
                <w:szCs w:val="20"/>
              </w:rPr>
            </w:pPr>
            <w:r w:rsidRPr="00517383">
              <w:rPr>
                <w:sz w:val="20"/>
                <w:szCs w:val="20"/>
              </w:rPr>
              <w:t>15%</w:t>
            </w:r>
          </w:p>
        </w:tc>
      </w:tr>
      <w:tr w:rsidR="00517383" w:rsidRPr="006E39B7" w:rsidTr="00517383">
        <w:trPr>
          <w:jc w:val="center"/>
        </w:trPr>
        <w:tc>
          <w:tcPr>
            <w:tcW w:w="296" w:type="pct"/>
          </w:tcPr>
          <w:p w:rsidR="00517383" w:rsidRPr="006E39B7" w:rsidRDefault="00517383" w:rsidP="00517383">
            <w:pPr>
              <w:pStyle w:val="ListParagraph"/>
              <w:numPr>
                <w:ilvl w:val="0"/>
                <w:numId w:val="34"/>
              </w:numPr>
              <w:spacing w:line="276" w:lineRule="auto"/>
              <w:jc w:val="both"/>
            </w:pPr>
          </w:p>
        </w:tc>
        <w:tc>
          <w:tcPr>
            <w:tcW w:w="3565" w:type="pct"/>
          </w:tcPr>
          <w:p w:rsidR="00517383" w:rsidRPr="000A5B63" w:rsidRDefault="00517383" w:rsidP="00517383">
            <w:pPr>
              <w:tabs>
                <w:tab w:val="left" w:pos="265"/>
              </w:tabs>
              <w:rPr>
                <w:sz w:val="20"/>
                <w:szCs w:val="20"/>
              </w:rPr>
            </w:pPr>
            <w:r w:rsidRPr="00CA3075">
              <w:rPr>
                <w:sz w:val="20"/>
                <w:szCs w:val="20"/>
              </w:rPr>
              <w:t>NStoc - Ponderea numărului de unități de stocare energie nou racordate în rețelele electrice de distribuție din zona de concesiune [%]</w:t>
            </w:r>
          </w:p>
        </w:tc>
        <w:tc>
          <w:tcPr>
            <w:tcW w:w="614" w:type="pct"/>
            <w:vAlign w:val="center"/>
          </w:tcPr>
          <w:p w:rsidR="00517383" w:rsidRPr="00517383" w:rsidRDefault="00517383" w:rsidP="00517383">
            <w:pPr>
              <w:jc w:val="right"/>
              <w:rPr>
                <w:sz w:val="20"/>
                <w:szCs w:val="20"/>
              </w:rPr>
            </w:pPr>
            <w:r w:rsidRPr="00517383">
              <w:rPr>
                <w:sz w:val="20"/>
                <w:szCs w:val="20"/>
              </w:rPr>
              <w:t>17%</w:t>
            </w:r>
          </w:p>
        </w:tc>
        <w:tc>
          <w:tcPr>
            <w:tcW w:w="526" w:type="pct"/>
            <w:vAlign w:val="center"/>
          </w:tcPr>
          <w:p w:rsidR="00517383" w:rsidRPr="00517383" w:rsidRDefault="00517383" w:rsidP="00517383">
            <w:pPr>
              <w:jc w:val="right"/>
              <w:rPr>
                <w:sz w:val="20"/>
                <w:szCs w:val="20"/>
              </w:rPr>
            </w:pPr>
            <w:r w:rsidRPr="00517383">
              <w:rPr>
                <w:sz w:val="20"/>
                <w:szCs w:val="20"/>
              </w:rPr>
              <w:t>15%</w:t>
            </w:r>
          </w:p>
        </w:tc>
      </w:tr>
      <w:tr w:rsidR="00517383" w:rsidRPr="006E39B7" w:rsidTr="00517383">
        <w:trPr>
          <w:jc w:val="center"/>
        </w:trPr>
        <w:tc>
          <w:tcPr>
            <w:tcW w:w="296" w:type="pct"/>
          </w:tcPr>
          <w:p w:rsidR="00517383" w:rsidRPr="006E39B7" w:rsidRDefault="00517383" w:rsidP="00517383">
            <w:pPr>
              <w:pStyle w:val="ListParagraph"/>
              <w:numPr>
                <w:ilvl w:val="0"/>
                <w:numId w:val="34"/>
              </w:numPr>
              <w:spacing w:line="276" w:lineRule="auto"/>
              <w:jc w:val="both"/>
            </w:pPr>
          </w:p>
        </w:tc>
        <w:tc>
          <w:tcPr>
            <w:tcW w:w="3565" w:type="pct"/>
          </w:tcPr>
          <w:p w:rsidR="00517383" w:rsidRPr="000A5B63" w:rsidRDefault="00517383" w:rsidP="00517383">
            <w:pPr>
              <w:rPr>
                <w:sz w:val="20"/>
                <w:szCs w:val="20"/>
              </w:rPr>
            </w:pPr>
            <w:r w:rsidRPr="00CA3075">
              <w:rPr>
                <w:sz w:val="20"/>
                <w:szCs w:val="20"/>
              </w:rPr>
              <w:t>PStoc - Ponderea puterii instalate aferente unităților de stocare energie racordate în rețelele electrice de distribuție din zona de concesiune [%]</w:t>
            </w:r>
          </w:p>
        </w:tc>
        <w:tc>
          <w:tcPr>
            <w:tcW w:w="614" w:type="pct"/>
            <w:vAlign w:val="center"/>
          </w:tcPr>
          <w:p w:rsidR="00517383" w:rsidRPr="00517383" w:rsidRDefault="00517383" w:rsidP="00517383">
            <w:pPr>
              <w:jc w:val="right"/>
              <w:rPr>
                <w:sz w:val="20"/>
                <w:szCs w:val="20"/>
              </w:rPr>
            </w:pPr>
            <w:r w:rsidRPr="00517383">
              <w:rPr>
                <w:sz w:val="20"/>
                <w:szCs w:val="20"/>
              </w:rPr>
              <w:t>17%</w:t>
            </w:r>
          </w:p>
        </w:tc>
        <w:tc>
          <w:tcPr>
            <w:tcW w:w="526" w:type="pct"/>
            <w:vAlign w:val="center"/>
          </w:tcPr>
          <w:p w:rsidR="00517383" w:rsidRPr="00517383" w:rsidRDefault="00517383" w:rsidP="00517383">
            <w:pPr>
              <w:jc w:val="right"/>
              <w:rPr>
                <w:sz w:val="20"/>
                <w:szCs w:val="20"/>
              </w:rPr>
            </w:pPr>
            <w:r w:rsidRPr="00517383">
              <w:rPr>
                <w:sz w:val="20"/>
                <w:szCs w:val="20"/>
              </w:rPr>
              <w:t>15%</w:t>
            </w:r>
          </w:p>
        </w:tc>
      </w:tr>
      <w:tr w:rsidR="00517383" w:rsidRPr="006E39B7" w:rsidTr="00517383">
        <w:trPr>
          <w:jc w:val="center"/>
        </w:trPr>
        <w:tc>
          <w:tcPr>
            <w:tcW w:w="296" w:type="pct"/>
          </w:tcPr>
          <w:p w:rsidR="00517383" w:rsidRPr="006E39B7" w:rsidRDefault="00517383" w:rsidP="00517383">
            <w:pPr>
              <w:pStyle w:val="ListParagraph"/>
              <w:numPr>
                <w:ilvl w:val="0"/>
                <w:numId w:val="34"/>
              </w:numPr>
              <w:spacing w:line="276" w:lineRule="auto"/>
              <w:jc w:val="both"/>
            </w:pPr>
          </w:p>
        </w:tc>
        <w:tc>
          <w:tcPr>
            <w:tcW w:w="3565" w:type="pct"/>
          </w:tcPr>
          <w:p w:rsidR="00517383" w:rsidRPr="000A5B63" w:rsidRDefault="00517383" w:rsidP="00517383">
            <w:pPr>
              <w:rPr>
                <w:sz w:val="20"/>
                <w:szCs w:val="20"/>
              </w:rPr>
            </w:pPr>
            <w:r w:rsidRPr="00CA3075">
              <w:rPr>
                <w:sz w:val="20"/>
                <w:szCs w:val="20"/>
              </w:rPr>
              <w:t>NFlexi - Numărul de produse de servicii de flexibilitate achiziţionate în anul t de OD de la producători, consumatori dispecerizabili, agregatori, alte entități care furnizează servicii de flexibilitate</w:t>
            </w:r>
          </w:p>
        </w:tc>
        <w:tc>
          <w:tcPr>
            <w:tcW w:w="614" w:type="pct"/>
            <w:vAlign w:val="center"/>
          </w:tcPr>
          <w:p w:rsidR="00517383" w:rsidRPr="00517383" w:rsidRDefault="00517383" w:rsidP="00517383">
            <w:pPr>
              <w:jc w:val="right"/>
              <w:rPr>
                <w:sz w:val="20"/>
                <w:szCs w:val="20"/>
              </w:rPr>
            </w:pPr>
            <w:r w:rsidRPr="00517383">
              <w:rPr>
                <w:sz w:val="20"/>
                <w:szCs w:val="20"/>
              </w:rPr>
              <w:t>0%</w:t>
            </w:r>
          </w:p>
        </w:tc>
        <w:tc>
          <w:tcPr>
            <w:tcW w:w="526" w:type="pct"/>
            <w:vAlign w:val="center"/>
          </w:tcPr>
          <w:p w:rsidR="00517383" w:rsidRPr="00517383" w:rsidRDefault="00517383" w:rsidP="00517383">
            <w:pPr>
              <w:jc w:val="right"/>
              <w:rPr>
                <w:sz w:val="20"/>
                <w:szCs w:val="20"/>
              </w:rPr>
            </w:pPr>
            <w:r w:rsidRPr="00517383">
              <w:rPr>
                <w:sz w:val="20"/>
                <w:szCs w:val="20"/>
              </w:rPr>
              <w:t>10%</w:t>
            </w:r>
          </w:p>
        </w:tc>
      </w:tr>
    </w:tbl>
    <w:p w:rsidR="00DA0667" w:rsidRPr="006E39B7" w:rsidRDefault="00DA0667" w:rsidP="00DA0667">
      <w:pPr>
        <w:spacing w:line="276" w:lineRule="auto"/>
        <w:jc w:val="both"/>
      </w:pPr>
    </w:p>
    <w:p w:rsidR="00DA0667" w:rsidRPr="006E39B7" w:rsidRDefault="00DA0667" w:rsidP="00DA0667">
      <w:pPr>
        <w:spacing w:line="276" w:lineRule="auto"/>
        <w:jc w:val="both"/>
        <w:rPr>
          <w:b/>
        </w:rPr>
      </w:pPr>
    </w:p>
    <w:p w:rsidR="00DF19D2" w:rsidRDefault="00DF19D2" w:rsidP="00DF19D2">
      <w:pPr>
        <w:spacing w:line="276" w:lineRule="auto"/>
        <w:jc w:val="right"/>
        <w:rPr>
          <w:b/>
        </w:rPr>
        <w:sectPr w:rsidR="00DF19D2" w:rsidSect="00163733">
          <w:pgSz w:w="12240" w:h="15840"/>
          <w:pgMar w:top="709" w:right="1183" w:bottom="1418" w:left="1276" w:header="0" w:footer="632" w:gutter="0"/>
          <w:cols w:space="708"/>
          <w:noEndnote/>
          <w:docGrid w:linePitch="360"/>
        </w:sectPr>
      </w:pPr>
      <w:bookmarkStart w:id="43" w:name="_Hlk178691178"/>
    </w:p>
    <w:p w:rsidR="008A028E" w:rsidRDefault="008A028E" w:rsidP="008A028E">
      <w:pPr>
        <w:spacing w:line="276" w:lineRule="auto"/>
        <w:jc w:val="right"/>
        <w:rPr>
          <w:b/>
        </w:rPr>
      </w:pPr>
      <w:r w:rsidRPr="006E39B7">
        <w:rPr>
          <w:b/>
        </w:rPr>
        <w:lastRenderedPageBreak/>
        <w:t>ANEXA nr. 1</w:t>
      </w:r>
      <w:r>
        <w:rPr>
          <w:b/>
        </w:rPr>
        <w:t>.2</w:t>
      </w:r>
    </w:p>
    <w:p w:rsidR="008A028E" w:rsidRDefault="00015434" w:rsidP="00015434">
      <w:pPr>
        <w:spacing w:line="276" w:lineRule="auto"/>
        <w:jc w:val="center"/>
        <w:rPr>
          <w:b/>
        </w:rPr>
      </w:pPr>
      <w:r w:rsidRPr="006E39B7">
        <w:rPr>
          <w:b/>
        </w:rPr>
        <w:t>Coeficienți</w:t>
      </w:r>
      <w:r>
        <w:rPr>
          <w:b/>
        </w:rPr>
        <w:t>i</w:t>
      </w:r>
      <w:r w:rsidRPr="006E39B7">
        <w:rPr>
          <w:b/>
        </w:rPr>
        <w:t xml:space="preserve"> de ponderare a indicatorilor monitorizați</w:t>
      </w:r>
      <w:r>
        <w:rPr>
          <w:b/>
        </w:rPr>
        <w:t xml:space="preserve"> aferenți serviciului de transport al energiei electrice</w:t>
      </w:r>
    </w:p>
    <w:tbl>
      <w:tblPr>
        <w:tblStyle w:val="TableGrid"/>
        <w:tblW w:w="5000" w:type="pct"/>
        <w:jc w:val="center"/>
        <w:tblCellMar>
          <w:left w:w="113" w:type="dxa"/>
          <w:right w:w="113" w:type="dxa"/>
        </w:tblCellMar>
        <w:tblLook w:val="04A0" w:firstRow="1" w:lastRow="0" w:firstColumn="1" w:lastColumn="0" w:noHBand="0" w:noVBand="1"/>
      </w:tblPr>
      <w:tblGrid>
        <w:gridCol w:w="779"/>
        <w:gridCol w:w="7645"/>
        <w:gridCol w:w="1772"/>
      </w:tblGrid>
      <w:tr w:rsidR="00C73533" w:rsidRPr="006E39B7" w:rsidTr="00C73533">
        <w:trPr>
          <w:tblHeader/>
          <w:jc w:val="center"/>
        </w:trPr>
        <w:tc>
          <w:tcPr>
            <w:tcW w:w="382" w:type="pct"/>
            <w:vAlign w:val="center"/>
          </w:tcPr>
          <w:p w:rsidR="00C73533" w:rsidRPr="006E39B7" w:rsidRDefault="00C73533" w:rsidP="00CF6127">
            <w:pPr>
              <w:spacing w:line="276" w:lineRule="auto"/>
              <w:jc w:val="center"/>
              <w:rPr>
                <w:b/>
              </w:rPr>
            </w:pPr>
            <w:r w:rsidRPr="006E39B7">
              <w:rPr>
                <w:b/>
              </w:rPr>
              <w:t>Nr. crt.</w:t>
            </w:r>
          </w:p>
        </w:tc>
        <w:tc>
          <w:tcPr>
            <w:tcW w:w="3749" w:type="pct"/>
            <w:vAlign w:val="center"/>
          </w:tcPr>
          <w:p w:rsidR="00C73533" w:rsidRPr="006E39B7" w:rsidRDefault="00C73533" w:rsidP="00CF6127">
            <w:pPr>
              <w:spacing w:line="276" w:lineRule="auto"/>
              <w:jc w:val="center"/>
              <w:rPr>
                <w:b/>
              </w:rPr>
            </w:pPr>
            <w:r w:rsidRPr="006E39B7">
              <w:rPr>
                <w:b/>
              </w:rPr>
              <w:t>Denumire indicator</w:t>
            </w:r>
          </w:p>
        </w:tc>
        <w:tc>
          <w:tcPr>
            <w:tcW w:w="869" w:type="pct"/>
            <w:vAlign w:val="center"/>
          </w:tcPr>
          <w:p w:rsidR="00C73533" w:rsidRPr="006E39B7" w:rsidRDefault="00C73533" w:rsidP="00CF6127">
            <w:pPr>
              <w:spacing w:line="276" w:lineRule="auto"/>
              <w:jc w:val="center"/>
              <w:rPr>
                <w:b/>
              </w:rPr>
            </w:pPr>
            <w:r w:rsidRPr="006E39B7">
              <w:rPr>
                <w:b/>
              </w:rPr>
              <w:t>Valoare coeficient de ponderare [%]</w:t>
            </w:r>
          </w:p>
        </w:tc>
      </w:tr>
      <w:tr w:rsidR="00A4562F" w:rsidRPr="006E39B7" w:rsidTr="00A4562F">
        <w:trPr>
          <w:trHeight w:val="206"/>
          <w:tblHeader/>
          <w:jc w:val="center"/>
        </w:trPr>
        <w:tc>
          <w:tcPr>
            <w:tcW w:w="382" w:type="pct"/>
            <w:vAlign w:val="center"/>
          </w:tcPr>
          <w:p w:rsidR="00A4562F" w:rsidRPr="006E39B7" w:rsidRDefault="00A4562F" w:rsidP="00CF6127">
            <w:pPr>
              <w:spacing w:line="276" w:lineRule="auto"/>
              <w:jc w:val="center"/>
              <w:rPr>
                <w:b/>
              </w:rPr>
            </w:pPr>
            <w:r>
              <w:rPr>
                <w:b/>
              </w:rPr>
              <w:t>1</w:t>
            </w:r>
          </w:p>
        </w:tc>
        <w:tc>
          <w:tcPr>
            <w:tcW w:w="3749" w:type="pct"/>
            <w:vAlign w:val="center"/>
          </w:tcPr>
          <w:p w:rsidR="00A4562F" w:rsidRPr="006E39B7" w:rsidRDefault="00A4562F" w:rsidP="00CF6127">
            <w:pPr>
              <w:spacing w:line="276" w:lineRule="auto"/>
              <w:jc w:val="center"/>
              <w:rPr>
                <w:b/>
              </w:rPr>
            </w:pPr>
            <w:r>
              <w:rPr>
                <w:b/>
              </w:rPr>
              <w:t>2</w:t>
            </w:r>
          </w:p>
        </w:tc>
        <w:tc>
          <w:tcPr>
            <w:tcW w:w="869" w:type="pct"/>
            <w:vAlign w:val="center"/>
          </w:tcPr>
          <w:p w:rsidR="00A4562F" w:rsidRPr="006E39B7" w:rsidRDefault="00A4562F" w:rsidP="00CF6127">
            <w:pPr>
              <w:spacing w:line="276" w:lineRule="auto"/>
              <w:jc w:val="center"/>
              <w:rPr>
                <w:b/>
              </w:rPr>
            </w:pPr>
            <w:r>
              <w:rPr>
                <w:b/>
              </w:rPr>
              <w:t>3</w:t>
            </w:r>
          </w:p>
        </w:tc>
      </w:tr>
      <w:tr w:rsidR="00C73533" w:rsidRPr="006E39B7" w:rsidTr="00C73533">
        <w:trPr>
          <w:tblHeader/>
          <w:jc w:val="center"/>
        </w:trPr>
        <w:tc>
          <w:tcPr>
            <w:tcW w:w="5000" w:type="pct"/>
            <w:gridSpan w:val="3"/>
            <w:vAlign w:val="center"/>
          </w:tcPr>
          <w:p w:rsidR="00C73533" w:rsidRPr="006E39B7" w:rsidRDefault="00C73533" w:rsidP="00DF19D2">
            <w:pPr>
              <w:spacing w:line="276" w:lineRule="auto"/>
              <w:jc w:val="both"/>
            </w:pPr>
            <w:r w:rsidRPr="006E39B7">
              <w:rPr>
                <w:b/>
                <w:sz w:val="20"/>
                <w:szCs w:val="20"/>
              </w:rPr>
              <w:t>A. Indicatori care reflectă calitatea serviciului de transport al energiei electrice:</w:t>
            </w:r>
          </w:p>
        </w:tc>
      </w:tr>
      <w:tr w:rsidR="00C73533" w:rsidRPr="006E39B7" w:rsidTr="00C73533">
        <w:trPr>
          <w:tblHeader/>
          <w:jc w:val="center"/>
        </w:trPr>
        <w:tc>
          <w:tcPr>
            <w:tcW w:w="382" w:type="pct"/>
            <w:vAlign w:val="center"/>
          </w:tcPr>
          <w:p w:rsidR="00C73533" w:rsidRPr="006E39B7" w:rsidRDefault="00C73533" w:rsidP="00721812">
            <w:pPr>
              <w:pStyle w:val="ListParagraph"/>
              <w:numPr>
                <w:ilvl w:val="0"/>
                <w:numId w:val="35"/>
              </w:numPr>
              <w:spacing w:line="276" w:lineRule="auto"/>
              <w:jc w:val="center"/>
            </w:pPr>
          </w:p>
        </w:tc>
        <w:tc>
          <w:tcPr>
            <w:tcW w:w="3749" w:type="pct"/>
          </w:tcPr>
          <w:p w:rsidR="00C73533" w:rsidRPr="00721812" w:rsidRDefault="00C73533" w:rsidP="00721812">
            <w:pPr>
              <w:rPr>
                <w:sz w:val="20"/>
                <w:szCs w:val="20"/>
              </w:rPr>
            </w:pPr>
            <w:r w:rsidRPr="00721812">
              <w:rPr>
                <w:sz w:val="20"/>
                <w:szCs w:val="20"/>
              </w:rPr>
              <w:t>INDLIN - Indisponibilitatea medie a LEA, determinată de evenimentele planificate sau neplanificate [ore/an]</w:t>
            </w:r>
          </w:p>
        </w:tc>
        <w:tc>
          <w:tcPr>
            <w:tcW w:w="869" w:type="pct"/>
            <w:vAlign w:val="center"/>
          </w:tcPr>
          <w:p w:rsidR="00C73533" w:rsidRPr="006E39B7" w:rsidRDefault="00C73533" w:rsidP="00721812">
            <w:pPr>
              <w:spacing w:line="276" w:lineRule="auto"/>
              <w:jc w:val="right"/>
              <w:rPr>
                <w:sz w:val="20"/>
                <w:szCs w:val="20"/>
              </w:rPr>
            </w:pPr>
            <w:r>
              <w:rPr>
                <w:sz w:val="20"/>
                <w:szCs w:val="20"/>
              </w:rPr>
              <w:t>20</w:t>
            </w:r>
            <w:r w:rsidRPr="006E39B7">
              <w:rPr>
                <w:sz w:val="20"/>
                <w:szCs w:val="20"/>
              </w:rPr>
              <w:t>%</w:t>
            </w:r>
          </w:p>
        </w:tc>
      </w:tr>
      <w:tr w:rsidR="00C73533" w:rsidRPr="006E39B7" w:rsidTr="00C73533">
        <w:trPr>
          <w:tblHeader/>
          <w:jc w:val="center"/>
        </w:trPr>
        <w:tc>
          <w:tcPr>
            <w:tcW w:w="382" w:type="pct"/>
            <w:vAlign w:val="center"/>
          </w:tcPr>
          <w:p w:rsidR="00C73533" w:rsidRPr="006E39B7" w:rsidRDefault="00C73533" w:rsidP="00721812">
            <w:pPr>
              <w:pStyle w:val="ListParagraph"/>
              <w:numPr>
                <w:ilvl w:val="0"/>
                <w:numId w:val="35"/>
              </w:numPr>
              <w:spacing w:line="276" w:lineRule="auto"/>
              <w:jc w:val="center"/>
            </w:pPr>
          </w:p>
        </w:tc>
        <w:tc>
          <w:tcPr>
            <w:tcW w:w="3749" w:type="pct"/>
          </w:tcPr>
          <w:p w:rsidR="00C73533" w:rsidRPr="00721812" w:rsidRDefault="00C73533" w:rsidP="00721812">
            <w:pPr>
              <w:rPr>
                <w:sz w:val="20"/>
                <w:szCs w:val="20"/>
              </w:rPr>
            </w:pPr>
            <w:r w:rsidRPr="00721812">
              <w:rPr>
                <w:sz w:val="20"/>
                <w:szCs w:val="20"/>
              </w:rPr>
              <w:t>INDTRA - indisponibilitatea medie a transformatoarelor şi autotransformatoarelor, determinată de evenimentele planificate sau neplanificate [ore/an]</w:t>
            </w:r>
          </w:p>
        </w:tc>
        <w:tc>
          <w:tcPr>
            <w:tcW w:w="869" w:type="pct"/>
            <w:vAlign w:val="center"/>
          </w:tcPr>
          <w:p w:rsidR="00C73533" w:rsidRPr="006E39B7" w:rsidRDefault="003568A5" w:rsidP="00721812">
            <w:pPr>
              <w:spacing w:line="276" w:lineRule="auto"/>
              <w:jc w:val="right"/>
              <w:rPr>
                <w:sz w:val="20"/>
                <w:szCs w:val="20"/>
              </w:rPr>
            </w:pPr>
            <w:r>
              <w:rPr>
                <w:sz w:val="20"/>
                <w:szCs w:val="20"/>
              </w:rPr>
              <w:t>2</w:t>
            </w:r>
            <w:r w:rsidR="00C73533" w:rsidRPr="006E39B7">
              <w:rPr>
                <w:sz w:val="20"/>
                <w:szCs w:val="20"/>
              </w:rPr>
              <w:t>0%</w:t>
            </w:r>
          </w:p>
        </w:tc>
      </w:tr>
      <w:tr w:rsidR="00C73533" w:rsidRPr="006E39B7" w:rsidTr="00C73533">
        <w:trPr>
          <w:tblHeader/>
          <w:jc w:val="center"/>
        </w:trPr>
        <w:tc>
          <w:tcPr>
            <w:tcW w:w="382" w:type="pct"/>
            <w:vAlign w:val="center"/>
          </w:tcPr>
          <w:p w:rsidR="00C73533" w:rsidRPr="006E39B7" w:rsidRDefault="00C73533" w:rsidP="00721812">
            <w:pPr>
              <w:pStyle w:val="ListParagraph"/>
              <w:numPr>
                <w:ilvl w:val="0"/>
                <w:numId w:val="35"/>
              </w:numPr>
              <w:spacing w:line="276" w:lineRule="auto"/>
              <w:jc w:val="center"/>
            </w:pPr>
          </w:p>
        </w:tc>
        <w:tc>
          <w:tcPr>
            <w:tcW w:w="3749" w:type="pct"/>
          </w:tcPr>
          <w:p w:rsidR="00C73533" w:rsidRPr="00721812" w:rsidRDefault="00C73533" w:rsidP="00721812">
            <w:pPr>
              <w:rPr>
                <w:sz w:val="20"/>
                <w:szCs w:val="20"/>
              </w:rPr>
            </w:pPr>
            <w:r w:rsidRPr="00721812">
              <w:rPr>
                <w:sz w:val="20"/>
                <w:szCs w:val="20"/>
              </w:rPr>
              <w:t>ENS - Energia nelivrată utilizatorilor sau neprodusă în centrale din cauza întreruperilor de lungă durată, apărute din cauze interne ale OTS [MWh];</w:t>
            </w:r>
          </w:p>
        </w:tc>
        <w:tc>
          <w:tcPr>
            <w:tcW w:w="869" w:type="pct"/>
            <w:vAlign w:val="center"/>
          </w:tcPr>
          <w:p w:rsidR="00C73533" w:rsidRPr="006E39B7" w:rsidRDefault="00C73533" w:rsidP="00721812">
            <w:pPr>
              <w:spacing w:line="276" w:lineRule="auto"/>
              <w:jc w:val="right"/>
              <w:rPr>
                <w:sz w:val="20"/>
                <w:szCs w:val="20"/>
              </w:rPr>
            </w:pPr>
            <w:r w:rsidRPr="006E39B7">
              <w:rPr>
                <w:sz w:val="20"/>
                <w:szCs w:val="20"/>
              </w:rPr>
              <w:t>20%</w:t>
            </w:r>
          </w:p>
        </w:tc>
      </w:tr>
      <w:tr w:rsidR="00C73533" w:rsidRPr="006E39B7" w:rsidTr="00C73533">
        <w:trPr>
          <w:tblHeader/>
          <w:jc w:val="center"/>
        </w:trPr>
        <w:tc>
          <w:tcPr>
            <w:tcW w:w="382" w:type="pct"/>
            <w:vAlign w:val="center"/>
          </w:tcPr>
          <w:p w:rsidR="00C73533" w:rsidRPr="006E39B7" w:rsidRDefault="00C73533" w:rsidP="00721812">
            <w:pPr>
              <w:pStyle w:val="ListParagraph"/>
              <w:numPr>
                <w:ilvl w:val="0"/>
                <w:numId w:val="35"/>
              </w:numPr>
              <w:spacing w:line="276" w:lineRule="auto"/>
              <w:jc w:val="center"/>
            </w:pPr>
          </w:p>
        </w:tc>
        <w:tc>
          <w:tcPr>
            <w:tcW w:w="3749" w:type="pct"/>
          </w:tcPr>
          <w:p w:rsidR="00C73533" w:rsidRPr="00721812" w:rsidRDefault="00C73533" w:rsidP="00721812">
            <w:pPr>
              <w:rPr>
                <w:sz w:val="20"/>
                <w:szCs w:val="20"/>
              </w:rPr>
            </w:pPr>
            <w:r w:rsidRPr="00721812">
              <w:rPr>
                <w:sz w:val="20"/>
                <w:szCs w:val="20"/>
              </w:rPr>
              <w:t>N</w:t>
            </w:r>
            <w:r w:rsidRPr="00721812">
              <w:rPr>
                <w:sz w:val="20"/>
                <w:szCs w:val="20"/>
                <w:vertAlign w:val="subscript"/>
              </w:rPr>
              <w:t>U</w:t>
            </w:r>
            <w:r w:rsidRPr="00721812">
              <w:rPr>
                <w:sz w:val="20"/>
                <w:szCs w:val="20"/>
              </w:rPr>
              <w:t xml:space="preserve"> – Numărul staţiilor electrice în care tensiunea de linie nu s-a încadrat în limitele normate de variaţie, raportat la numărul total al staţiilor electrice monitorizate [%]</w:t>
            </w:r>
          </w:p>
        </w:tc>
        <w:tc>
          <w:tcPr>
            <w:tcW w:w="869" w:type="pct"/>
            <w:vAlign w:val="center"/>
          </w:tcPr>
          <w:p w:rsidR="00C73533" w:rsidRPr="006E39B7" w:rsidRDefault="003568A5" w:rsidP="00721812">
            <w:pPr>
              <w:spacing w:line="276" w:lineRule="auto"/>
              <w:jc w:val="right"/>
              <w:rPr>
                <w:sz w:val="20"/>
                <w:szCs w:val="20"/>
              </w:rPr>
            </w:pPr>
            <w:r w:rsidRPr="006E39B7">
              <w:rPr>
                <w:sz w:val="20"/>
                <w:szCs w:val="20"/>
              </w:rPr>
              <w:t>20%</w:t>
            </w:r>
          </w:p>
        </w:tc>
      </w:tr>
      <w:tr w:rsidR="00C73533" w:rsidRPr="006E39B7" w:rsidTr="00C73533">
        <w:trPr>
          <w:tblHeader/>
          <w:jc w:val="center"/>
        </w:trPr>
        <w:tc>
          <w:tcPr>
            <w:tcW w:w="382" w:type="pct"/>
            <w:vAlign w:val="center"/>
          </w:tcPr>
          <w:p w:rsidR="00C73533" w:rsidRPr="006E39B7" w:rsidRDefault="00C73533" w:rsidP="00721812">
            <w:pPr>
              <w:pStyle w:val="ListParagraph"/>
              <w:numPr>
                <w:ilvl w:val="0"/>
                <w:numId w:val="35"/>
              </w:numPr>
              <w:spacing w:line="276" w:lineRule="auto"/>
              <w:jc w:val="center"/>
            </w:pPr>
          </w:p>
        </w:tc>
        <w:tc>
          <w:tcPr>
            <w:tcW w:w="3749" w:type="pct"/>
          </w:tcPr>
          <w:p w:rsidR="00C73533" w:rsidRPr="00721812" w:rsidRDefault="00C73533" w:rsidP="00721812">
            <w:pPr>
              <w:rPr>
                <w:sz w:val="20"/>
                <w:szCs w:val="20"/>
              </w:rPr>
            </w:pPr>
            <w:r w:rsidRPr="00721812">
              <w:rPr>
                <w:sz w:val="20"/>
                <w:szCs w:val="20"/>
              </w:rPr>
              <w:t>N</w:t>
            </w:r>
            <w:r w:rsidRPr="00721812">
              <w:rPr>
                <w:sz w:val="20"/>
                <w:szCs w:val="20"/>
                <w:vertAlign w:val="subscript"/>
              </w:rPr>
              <w:t>Q</w:t>
            </w:r>
            <w:r w:rsidRPr="00721812">
              <w:rPr>
                <w:sz w:val="20"/>
                <w:szCs w:val="20"/>
              </w:rPr>
              <w:t xml:space="preserve"> - Numărul staţiilor electrice în care cel puţin unul din parametrii normaţi de calitate a curbei de tensiune a fost depăşit pentru cel puţin o săptămână, raportat la numărul total al staţiilor electrice monitorizate [%]</w:t>
            </w:r>
          </w:p>
        </w:tc>
        <w:tc>
          <w:tcPr>
            <w:tcW w:w="869" w:type="pct"/>
            <w:vAlign w:val="center"/>
          </w:tcPr>
          <w:p w:rsidR="00C73533" w:rsidRPr="006E39B7" w:rsidRDefault="00C73533" w:rsidP="00721812">
            <w:pPr>
              <w:spacing w:line="276" w:lineRule="auto"/>
              <w:jc w:val="right"/>
              <w:rPr>
                <w:sz w:val="20"/>
                <w:szCs w:val="20"/>
              </w:rPr>
            </w:pPr>
            <w:r w:rsidRPr="006E39B7">
              <w:rPr>
                <w:sz w:val="20"/>
                <w:szCs w:val="20"/>
              </w:rPr>
              <w:t>2</w:t>
            </w:r>
            <w:r w:rsidR="003568A5">
              <w:rPr>
                <w:sz w:val="20"/>
                <w:szCs w:val="20"/>
              </w:rPr>
              <w:t>0</w:t>
            </w:r>
            <w:r w:rsidRPr="006E39B7">
              <w:rPr>
                <w:sz w:val="20"/>
                <w:szCs w:val="20"/>
              </w:rPr>
              <w:t>%</w:t>
            </w:r>
          </w:p>
        </w:tc>
      </w:tr>
      <w:tr w:rsidR="00C73533" w:rsidRPr="006E39B7" w:rsidTr="00C73533">
        <w:trPr>
          <w:tblHeader/>
          <w:jc w:val="center"/>
        </w:trPr>
        <w:tc>
          <w:tcPr>
            <w:tcW w:w="5000" w:type="pct"/>
            <w:gridSpan w:val="3"/>
            <w:vAlign w:val="center"/>
          </w:tcPr>
          <w:p w:rsidR="00C73533" w:rsidRPr="006E39B7" w:rsidRDefault="00C73533" w:rsidP="00CF6127">
            <w:pPr>
              <w:spacing w:line="276" w:lineRule="auto"/>
            </w:pPr>
            <w:r w:rsidRPr="006E39B7">
              <w:rPr>
                <w:b/>
                <w:sz w:val="20"/>
                <w:szCs w:val="20"/>
              </w:rPr>
              <w:t>B. Indicatori care reflectă integrarea producției de energie electrică din surse regenerabile și a unităților de stocare energie:</w:t>
            </w:r>
          </w:p>
        </w:tc>
      </w:tr>
      <w:tr w:rsidR="00C73533" w:rsidRPr="006E39B7" w:rsidTr="00C73533">
        <w:trPr>
          <w:tblHeader/>
          <w:jc w:val="center"/>
        </w:trPr>
        <w:tc>
          <w:tcPr>
            <w:tcW w:w="382" w:type="pct"/>
            <w:vAlign w:val="center"/>
          </w:tcPr>
          <w:p w:rsidR="00C73533" w:rsidRPr="006E39B7" w:rsidRDefault="00C73533" w:rsidP="00B72E4D">
            <w:pPr>
              <w:pStyle w:val="ListParagraph"/>
              <w:numPr>
                <w:ilvl w:val="0"/>
                <w:numId w:val="36"/>
              </w:numPr>
              <w:spacing w:line="276" w:lineRule="auto"/>
              <w:jc w:val="center"/>
            </w:pPr>
          </w:p>
        </w:tc>
        <w:tc>
          <w:tcPr>
            <w:tcW w:w="3749" w:type="pct"/>
          </w:tcPr>
          <w:p w:rsidR="00C73533" w:rsidRPr="00B72E4D" w:rsidRDefault="00C73533" w:rsidP="00B72E4D">
            <w:pPr>
              <w:rPr>
                <w:sz w:val="20"/>
                <w:szCs w:val="20"/>
              </w:rPr>
            </w:pPr>
            <w:r w:rsidRPr="00B72E4D">
              <w:rPr>
                <w:sz w:val="20"/>
                <w:szCs w:val="20"/>
              </w:rPr>
              <w:t>NPd  - Ponderea numărului de ATR emise de OTS pentru racordarea de noi locuri de producere cu unități de producere energie electrică din surse regenerabile, raportat la numărul cererilor de racordare de acest tip înregistrate de OTS [%]</w:t>
            </w:r>
          </w:p>
        </w:tc>
        <w:tc>
          <w:tcPr>
            <w:tcW w:w="869" w:type="pct"/>
            <w:vAlign w:val="center"/>
          </w:tcPr>
          <w:p w:rsidR="00C73533" w:rsidRPr="006E39B7" w:rsidRDefault="00C73533" w:rsidP="00B72E4D">
            <w:pPr>
              <w:spacing w:line="276" w:lineRule="auto"/>
              <w:jc w:val="right"/>
              <w:rPr>
                <w:sz w:val="20"/>
                <w:szCs w:val="20"/>
              </w:rPr>
            </w:pPr>
            <w:r w:rsidRPr="006E39B7">
              <w:rPr>
                <w:sz w:val="20"/>
                <w:szCs w:val="20"/>
              </w:rPr>
              <w:t>2</w:t>
            </w:r>
            <w:r w:rsidR="003568A5">
              <w:rPr>
                <w:sz w:val="20"/>
                <w:szCs w:val="20"/>
              </w:rPr>
              <w:t>5</w:t>
            </w:r>
            <w:r w:rsidRPr="006E39B7">
              <w:rPr>
                <w:sz w:val="20"/>
                <w:szCs w:val="20"/>
              </w:rPr>
              <w:t>%</w:t>
            </w:r>
          </w:p>
        </w:tc>
      </w:tr>
      <w:tr w:rsidR="00C73533" w:rsidRPr="006E39B7" w:rsidTr="00C73533">
        <w:trPr>
          <w:tblHeader/>
          <w:jc w:val="center"/>
        </w:trPr>
        <w:tc>
          <w:tcPr>
            <w:tcW w:w="382" w:type="pct"/>
            <w:vAlign w:val="center"/>
          </w:tcPr>
          <w:p w:rsidR="00C73533" w:rsidRPr="006E39B7" w:rsidRDefault="00C73533" w:rsidP="00B72E4D">
            <w:pPr>
              <w:pStyle w:val="ListParagraph"/>
              <w:numPr>
                <w:ilvl w:val="0"/>
                <w:numId w:val="36"/>
              </w:numPr>
              <w:spacing w:line="276" w:lineRule="auto"/>
              <w:jc w:val="center"/>
            </w:pPr>
          </w:p>
        </w:tc>
        <w:tc>
          <w:tcPr>
            <w:tcW w:w="3749" w:type="pct"/>
          </w:tcPr>
          <w:p w:rsidR="00C73533" w:rsidRPr="00B72E4D" w:rsidRDefault="00C73533" w:rsidP="00B72E4D">
            <w:pPr>
              <w:rPr>
                <w:sz w:val="20"/>
                <w:szCs w:val="20"/>
              </w:rPr>
            </w:pPr>
            <w:r w:rsidRPr="00B72E4D">
              <w:rPr>
                <w:sz w:val="20"/>
                <w:szCs w:val="20"/>
              </w:rPr>
              <w:t>PPd - Ponderea puterii totale aprobate pentru evacuare prin ATR emise de OTS pentru racordarea de noi locuri de producere cu unități de producere energie electrică din surse regenerabile, raportată la puterea totală solicitată prin cererile de racordare de acest tip înregistrate de OTS [%]</w:t>
            </w:r>
          </w:p>
        </w:tc>
        <w:tc>
          <w:tcPr>
            <w:tcW w:w="869" w:type="pct"/>
            <w:vAlign w:val="center"/>
          </w:tcPr>
          <w:p w:rsidR="00C73533" w:rsidRPr="006E39B7" w:rsidRDefault="00C73533" w:rsidP="00B72E4D">
            <w:pPr>
              <w:spacing w:line="276" w:lineRule="auto"/>
              <w:jc w:val="right"/>
              <w:rPr>
                <w:sz w:val="20"/>
                <w:szCs w:val="20"/>
              </w:rPr>
            </w:pPr>
            <w:r w:rsidRPr="006E39B7">
              <w:rPr>
                <w:sz w:val="20"/>
                <w:szCs w:val="20"/>
              </w:rPr>
              <w:t>2</w:t>
            </w:r>
            <w:r w:rsidR="003568A5">
              <w:rPr>
                <w:sz w:val="20"/>
                <w:szCs w:val="20"/>
              </w:rPr>
              <w:t>5</w:t>
            </w:r>
            <w:r w:rsidRPr="006E39B7">
              <w:rPr>
                <w:sz w:val="20"/>
                <w:szCs w:val="20"/>
              </w:rPr>
              <w:t>%</w:t>
            </w:r>
          </w:p>
        </w:tc>
      </w:tr>
      <w:tr w:rsidR="00C73533" w:rsidRPr="006E39B7" w:rsidTr="00C73533">
        <w:trPr>
          <w:tblHeader/>
          <w:jc w:val="center"/>
        </w:trPr>
        <w:tc>
          <w:tcPr>
            <w:tcW w:w="382" w:type="pct"/>
            <w:vAlign w:val="center"/>
          </w:tcPr>
          <w:p w:rsidR="00C73533" w:rsidRPr="006E39B7" w:rsidRDefault="00C73533" w:rsidP="00B72E4D">
            <w:pPr>
              <w:pStyle w:val="ListParagraph"/>
              <w:numPr>
                <w:ilvl w:val="0"/>
                <w:numId w:val="36"/>
              </w:numPr>
              <w:spacing w:line="276" w:lineRule="auto"/>
              <w:jc w:val="center"/>
            </w:pPr>
          </w:p>
        </w:tc>
        <w:tc>
          <w:tcPr>
            <w:tcW w:w="3749" w:type="pct"/>
          </w:tcPr>
          <w:p w:rsidR="00C73533" w:rsidRPr="00B72E4D" w:rsidRDefault="00C73533" w:rsidP="00B72E4D">
            <w:pPr>
              <w:rPr>
                <w:sz w:val="20"/>
                <w:szCs w:val="20"/>
              </w:rPr>
            </w:pPr>
            <w:r w:rsidRPr="00B72E4D">
              <w:rPr>
                <w:sz w:val="20"/>
                <w:szCs w:val="20"/>
              </w:rPr>
              <w:t>NStoc - Ponderea numărului de ATR emise de OTS pentru racordarea de noi unități de stocare energie, raportat la numărul cererilor de racordare de acest tip înregistrate de OTS [%]</w:t>
            </w:r>
          </w:p>
        </w:tc>
        <w:tc>
          <w:tcPr>
            <w:tcW w:w="869" w:type="pct"/>
            <w:vAlign w:val="center"/>
          </w:tcPr>
          <w:p w:rsidR="00C73533" w:rsidRPr="006E39B7" w:rsidRDefault="003568A5" w:rsidP="00B72E4D">
            <w:pPr>
              <w:spacing w:line="276" w:lineRule="auto"/>
              <w:jc w:val="right"/>
              <w:rPr>
                <w:sz w:val="20"/>
                <w:szCs w:val="20"/>
              </w:rPr>
            </w:pPr>
            <w:r>
              <w:rPr>
                <w:sz w:val="20"/>
                <w:szCs w:val="20"/>
              </w:rPr>
              <w:t>25</w:t>
            </w:r>
            <w:r w:rsidR="00C73533" w:rsidRPr="006E39B7">
              <w:rPr>
                <w:sz w:val="20"/>
                <w:szCs w:val="20"/>
              </w:rPr>
              <w:t>%</w:t>
            </w:r>
          </w:p>
        </w:tc>
      </w:tr>
      <w:tr w:rsidR="00C73533" w:rsidRPr="006E39B7" w:rsidTr="00C73533">
        <w:trPr>
          <w:tblHeader/>
          <w:jc w:val="center"/>
        </w:trPr>
        <w:tc>
          <w:tcPr>
            <w:tcW w:w="382" w:type="pct"/>
            <w:vAlign w:val="center"/>
          </w:tcPr>
          <w:p w:rsidR="00C73533" w:rsidRPr="006E39B7" w:rsidRDefault="00C73533" w:rsidP="00B72E4D">
            <w:pPr>
              <w:pStyle w:val="ListParagraph"/>
              <w:numPr>
                <w:ilvl w:val="0"/>
                <w:numId w:val="36"/>
              </w:numPr>
              <w:spacing w:line="276" w:lineRule="auto"/>
              <w:jc w:val="center"/>
            </w:pPr>
          </w:p>
        </w:tc>
        <w:tc>
          <w:tcPr>
            <w:tcW w:w="3749" w:type="pct"/>
          </w:tcPr>
          <w:p w:rsidR="00C73533" w:rsidRPr="00B72E4D" w:rsidRDefault="00C73533" w:rsidP="00B72E4D">
            <w:pPr>
              <w:rPr>
                <w:sz w:val="20"/>
                <w:szCs w:val="20"/>
              </w:rPr>
            </w:pPr>
            <w:r w:rsidRPr="00B72E4D">
              <w:rPr>
                <w:sz w:val="20"/>
                <w:szCs w:val="20"/>
              </w:rPr>
              <w:t>PStoc - Ponderea puterii totale aprobate pentru evacuare prin ATR emise de OTS pentru racordarea de noi unități de stocare energie, raportată la puterea totală solicitată prin cererile de racordare de acest tip înregistrate de OTS [%]</w:t>
            </w:r>
          </w:p>
        </w:tc>
        <w:tc>
          <w:tcPr>
            <w:tcW w:w="869" w:type="pct"/>
            <w:vAlign w:val="center"/>
          </w:tcPr>
          <w:p w:rsidR="00C73533" w:rsidRPr="006E39B7" w:rsidRDefault="00C73533" w:rsidP="00B72E4D">
            <w:pPr>
              <w:spacing w:line="276" w:lineRule="auto"/>
              <w:jc w:val="right"/>
              <w:rPr>
                <w:sz w:val="20"/>
                <w:szCs w:val="20"/>
              </w:rPr>
            </w:pPr>
            <w:r w:rsidRPr="006E39B7">
              <w:rPr>
                <w:sz w:val="20"/>
                <w:szCs w:val="20"/>
              </w:rPr>
              <w:t>2</w:t>
            </w:r>
            <w:r w:rsidR="003568A5">
              <w:rPr>
                <w:sz w:val="20"/>
                <w:szCs w:val="20"/>
              </w:rPr>
              <w:t>5</w:t>
            </w:r>
            <w:r w:rsidRPr="006E39B7">
              <w:rPr>
                <w:sz w:val="20"/>
                <w:szCs w:val="20"/>
              </w:rPr>
              <w:t>%</w:t>
            </w:r>
          </w:p>
        </w:tc>
      </w:tr>
    </w:tbl>
    <w:p w:rsidR="00DF19D2" w:rsidRPr="006E39B7" w:rsidRDefault="00DF19D2" w:rsidP="00DF19D2">
      <w:pPr>
        <w:spacing w:line="276" w:lineRule="auto"/>
        <w:jc w:val="both"/>
      </w:pPr>
    </w:p>
    <w:p w:rsidR="00DF19D2" w:rsidRPr="00887702" w:rsidRDefault="00DF19D2" w:rsidP="00DF19D2">
      <w:pPr>
        <w:spacing w:line="360" w:lineRule="auto"/>
        <w:ind w:firstLine="360"/>
        <w:jc w:val="both"/>
      </w:pPr>
    </w:p>
    <w:p w:rsidR="000B2D0E" w:rsidRPr="006E39B7" w:rsidRDefault="000B2D0E" w:rsidP="000B2D0E">
      <w:pPr>
        <w:spacing w:line="276" w:lineRule="auto"/>
        <w:jc w:val="both"/>
        <w:sectPr w:rsidR="000B2D0E" w:rsidRPr="006E39B7" w:rsidSect="00DA0667">
          <w:pgSz w:w="12240" w:h="15840"/>
          <w:pgMar w:top="709" w:right="1183" w:bottom="1418" w:left="851" w:header="0" w:footer="632" w:gutter="0"/>
          <w:cols w:space="708"/>
          <w:noEndnote/>
          <w:docGrid w:linePitch="360"/>
        </w:sectPr>
      </w:pPr>
    </w:p>
    <w:p w:rsidR="000B2D0E" w:rsidRPr="008A028E" w:rsidRDefault="000B2D0E" w:rsidP="008A028E">
      <w:pPr>
        <w:spacing w:line="276" w:lineRule="auto"/>
        <w:jc w:val="right"/>
        <w:rPr>
          <w:b/>
        </w:rPr>
      </w:pPr>
      <w:r w:rsidRPr="00661F0E">
        <w:rPr>
          <w:b/>
        </w:rPr>
        <w:lastRenderedPageBreak/>
        <w:t>ANEXA nr. 2</w:t>
      </w:r>
      <w:r w:rsidR="008A028E">
        <w:rPr>
          <w:b/>
        </w:rPr>
        <w:t>.1</w:t>
      </w:r>
    </w:p>
    <w:p w:rsidR="00DA0667" w:rsidRDefault="00723DBD" w:rsidP="00DA0667">
      <w:pPr>
        <w:spacing w:line="276" w:lineRule="auto"/>
        <w:jc w:val="right"/>
        <w:rPr>
          <w:b/>
        </w:rPr>
      </w:pPr>
      <w:r w:rsidRPr="006E39B7">
        <w:rPr>
          <w:b/>
        </w:rPr>
        <w:t xml:space="preserve">Indicatori de performanță </w:t>
      </w:r>
      <w:r w:rsidRPr="00723DBD">
        <w:rPr>
          <w:b/>
        </w:rPr>
        <w:t xml:space="preserve">în legătură cu dezvoltarea unei reţele electrice </w:t>
      </w:r>
      <w:r>
        <w:rPr>
          <w:b/>
        </w:rPr>
        <w:t xml:space="preserve">de distribuție </w:t>
      </w:r>
      <w:r w:rsidR="00A91003">
        <w:rPr>
          <w:b/>
        </w:rPr>
        <w:t xml:space="preserve">inteligente </w:t>
      </w:r>
      <w:r w:rsidRPr="00723DBD">
        <w:rPr>
          <w:b/>
        </w:rPr>
        <w:t>care să promoveze eficienţa energetică şi integrarea energiei electrice produse din surse regenerabile</w:t>
      </w:r>
    </w:p>
    <w:p w:rsidR="00723DBD" w:rsidRPr="006E39B7" w:rsidRDefault="00723DBD" w:rsidP="00DA0667">
      <w:pPr>
        <w:spacing w:line="276" w:lineRule="auto"/>
        <w:jc w:val="right"/>
        <w:rPr>
          <w:b/>
        </w:rPr>
      </w:pPr>
    </w:p>
    <w:tbl>
      <w:tblPr>
        <w:tblStyle w:val="TableGrid"/>
        <w:tblW w:w="5000" w:type="pct"/>
        <w:tblLayout w:type="fixed"/>
        <w:tblCellMar>
          <w:left w:w="113" w:type="dxa"/>
          <w:right w:w="113" w:type="dxa"/>
        </w:tblCellMar>
        <w:tblLook w:val="04A0" w:firstRow="1" w:lastRow="0" w:firstColumn="1" w:lastColumn="0" w:noHBand="0" w:noVBand="1"/>
      </w:tblPr>
      <w:tblGrid>
        <w:gridCol w:w="712"/>
        <w:gridCol w:w="4535"/>
        <w:gridCol w:w="711"/>
        <w:gridCol w:w="709"/>
        <w:gridCol w:w="705"/>
        <w:gridCol w:w="707"/>
        <w:gridCol w:w="713"/>
        <w:gridCol w:w="979"/>
      </w:tblGrid>
      <w:tr w:rsidR="00DA0667" w:rsidRPr="006E39B7" w:rsidTr="00FD6DC8">
        <w:trPr>
          <w:tblHeader/>
        </w:trPr>
        <w:tc>
          <w:tcPr>
            <w:tcW w:w="364" w:type="pct"/>
            <w:vMerge w:val="restart"/>
            <w:vAlign w:val="center"/>
          </w:tcPr>
          <w:p w:rsidR="00DA0667" w:rsidRPr="006E39B7" w:rsidRDefault="00DA0667" w:rsidP="00CF6127">
            <w:pPr>
              <w:spacing w:line="276" w:lineRule="auto"/>
              <w:jc w:val="center"/>
              <w:rPr>
                <w:b/>
                <w:sz w:val="20"/>
                <w:szCs w:val="20"/>
              </w:rPr>
            </w:pPr>
            <w:bookmarkStart w:id="44" w:name="_Hlk178759766"/>
            <w:bookmarkStart w:id="45" w:name="_Hlk177648470"/>
            <w:r w:rsidRPr="006E39B7">
              <w:rPr>
                <w:b/>
                <w:sz w:val="20"/>
                <w:szCs w:val="20"/>
              </w:rPr>
              <w:t>Nr. crt.</w:t>
            </w:r>
          </w:p>
        </w:tc>
        <w:tc>
          <w:tcPr>
            <w:tcW w:w="2320" w:type="pct"/>
            <w:vMerge w:val="restart"/>
            <w:vAlign w:val="center"/>
          </w:tcPr>
          <w:p w:rsidR="00DA0667" w:rsidRPr="006E39B7" w:rsidRDefault="00DA0667" w:rsidP="00CF6127">
            <w:pPr>
              <w:spacing w:line="276" w:lineRule="auto"/>
              <w:jc w:val="center"/>
              <w:rPr>
                <w:b/>
                <w:sz w:val="20"/>
                <w:szCs w:val="20"/>
              </w:rPr>
            </w:pPr>
            <w:r w:rsidRPr="006E39B7">
              <w:rPr>
                <w:b/>
                <w:sz w:val="20"/>
                <w:szCs w:val="20"/>
              </w:rPr>
              <w:t>Denumire indicator</w:t>
            </w:r>
          </w:p>
        </w:tc>
        <w:tc>
          <w:tcPr>
            <w:tcW w:w="1814" w:type="pct"/>
            <w:gridSpan w:val="5"/>
            <w:vAlign w:val="center"/>
          </w:tcPr>
          <w:p w:rsidR="00DA0667" w:rsidRPr="006E39B7" w:rsidRDefault="00DA0667" w:rsidP="00CF6127">
            <w:pPr>
              <w:spacing w:line="276" w:lineRule="auto"/>
              <w:jc w:val="center"/>
              <w:rPr>
                <w:b/>
                <w:sz w:val="20"/>
                <w:szCs w:val="20"/>
              </w:rPr>
            </w:pPr>
            <w:r w:rsidRPr="006E39B7">
              <w:rPr>
                <w:b/>
                <w:sz w:val="20"/>
                <w:szCs w:val="20"/>
              </w:rPr>
              <w:t>Valoare anuală indicator</w:t>
            </w:r>
          </w:p>
        </w:tc>
        <w:tc>
          <w:tcPr>
            <w:tcW w:w="502" w:type="pct"/>
            <w:vMerge w:val="restart"/>
            <w:vAlign w:val="center"/>
          </w:tcPr>
          <w:p w:rsidR="00DA0667" w:rsidRPr="0019401A" w:rsidRDefault="00DA0667" w:rsidP="00CF6127">
            <w:pPr>
              <w:spacing w:line="276" w:lineRule="auto"/>
              <w:jc w:val="center"/>
              <w:rPr>
                <w:b/>
                <w:sz w:val="18"/>
                <w:szCs w:val="18"/>
              </w:rPr>
            </w:pPr>
            <w:r w:rsidRPr="0019401A">
              <w:rPr>
                <w:b/>
                <w:sz w:val="18"/>
                <w:szCs w:val="18"/>
              </w:rPr>
              <w:t>Valoare ind. perf.</w:t>
            </w:r>
          </w:p>
        </w:tc>
      </w:tr>
      <w:bookmarkEnd w:id="44"/>
      <w:tr w:rsidR="006A53F0" w:rsidRPr="006E39B7" w:rsidTr="00FD6DC8">
        <w:trPr>
          <w:tblHeader/>
        </w:trPr>
        <w:tc>
          <w:tcPr>
            <w:tcW w:w="364" w:type="pct"/>
            <w:vMerge/>
          </w:tcPr>
          <w:p w:rsidR="00DA0667" w:rsidRPr="006E39B7" w:rsidRDefault="00DA0667" w:rsidP="00CF6127">
            <w:pPr>
              <w:spacing w:line="276" w:lineRule="auto"/>
              <w:jc w:val="both"/>
              <w:rPr>
                <w:b/>
                <w:sz w:val="20"/>
                <w:szCs w:val="20"/>
              </w:rPr>
            </w:pPr>
          </w:p>
        </w:tc>
        <w:tc>
          <w:tcPr>
            <w:tcW w:w="2320" w:type="pct"/>
            <w:vMerge/>
          </w:tcPr>
          <w:p w:rsidR="00DA0667" w:rsidRPr="006E39B7" w:rsidRDefault="00DA0667" w:rsidP="00CF6127">
            <w:pPr>
              <w:spacing w:line="276" w:lineRule="auto"/>
              <w:jc w:val="both"/>
              <w:rPr>
                <w:b/>
                <w:sz w:val="20"/>
                <w:szCs w:val="20"/>
              </w:rPr>
            </w:pPr>
          </w:p>
        </w:tc>
        <w:tc>
          <w:tcPr>
            <w:tcW w:w="364" w:type="pct"/>
            <w:vAlign w:val="center"/>
          </w:tcPr>
          <w:p w:rsidR="00DA0667" w:rsidRPr="006E39B7" w:rsidRDefault="00DA0667" w:rsidP="00CF6127">
            <w:pPr>
              <w:spacing w:line="276" w:lineRule="auto"/>
              <w:jc w:val="center"/>
              <w:rPr>
                <w:b/>
                <w:sz w:val="20"/>
                <w:szCs w:val="20"/>
              </w:rPr>
            </w:pPr>
            <w:r w:rsidRPr="006E39B7">
              <w:rPr>
                <w:b/>
                <w:sz w:val="20"/>
                <w:szCs w:val="20"/>
              </w:rPr>
              <w:t>An</w:t>
            </w:r>
            <w:r w:rsidRPr="006E39B7">
              <w:rPr>
                <w:b/>
                <w:sz w:val="20"/>
                <w:szCs w:val="20"/>
                <w:vertAlign w:val="subscript"/>
              </w:rPr>
              <w:t>t-4</w:t>
            </w:r>
          </w:p>
        </w:tc>
        <w:tc>
          <w:tcPr>
            <w:tcW w:w="363" w:type="pct"/>
            <w:vAlign w:val="center"/>
          </w:tcPr>
          <w:p w:rsidR="00DA0667" w:rsidRPr="006E39B7" w:rsidRDefault="00DA0667" w:rsidP="00CF6127">
            <w:pPr>
              <w:spacing w:line="276" w:lineRule="auto"/>
              <w:jc w:val="center"/>
              <w:rPr>
                <w:b/>
                <w:sz w:val="20"/>
                <w:szCs w:val="20"/>
              </w:rPr>
            </w:pPr>
            <w:r w:rsidRPr="006E39B7">
              <w:rPr>
                <w:b/>
                <w:sz w:val="20"/>
                <w:szCs w:val="20"/>
              </w:rPr>
              <w:t>An</w:t>
            </w:r>
            <w:r w:rsidRPr="006E39B7">
              <w:rPr>
                <w:b/>
                <w:sz w:val="20"/>
                <w:szCs w:val="20"/>
                <w:vertAlign w:val="subscript"/>
              </w:rPr>
              <w:t>t-3</w:t>
            </w:r>
          </w:p>
        </w:tc>
        <w:tc>
          <w:tcPr>
            <w:tcW w:w="361" w:type="pct"/>
            <w:vAlign w:val="center"/>
          </w:tcPr>
          <w:p w:rsidR="00DA0667" w:rsidRPr="006E39B7" w:rsidRDefault="00DA0667" w:rsidP="00CF6127">
            <w:pPr>
              <w:spacing w:line="276" w:lineRule="auto"/>
              <w:jc w:val="center"/>
              <w:rPr>
                <w:b/>
                <w:sz w:val="20"/>
                <w:szCs w:val="20"/>
              </w:rPr>
            </w:pPr>
            <w:r w:rsidRPr="006E39B7">
              <w:rPr>
                <w:b/>
                <w:sz w:val="20"/>
                <w:szCs w:val="20"/>
              </w:rPr>
              <w:t>An</w:t>
            </w:r>
            <w:r w:rsidRPr="006E39B7">
              <w:rPr>
                <w:b/>
                <w:sz w:val="20"/>
                <w:szCs w:val="20"/>
                <w:vertAlign w:val="subscript"/>
              </w:rPr>
              <w:t>t-2</w:t>
            </w:r>
          </w:p>
        </w:tc>
        <w:tc>
          <w:tcPr>
            <w:tcW w:w="362" w:type="pct"/>
            <w:vAlign w:val="center"/>
          </w:tcPr>
          <w:p w:rsidR="00DA0667" w:rsidRPr="006E39B7" w:rsidRDefault="00DA0667" w:rsidP="00CF6127">
            <w:pPr>
              <w:spacing w:line="276" w:lineRule="auto"/>
              <w:jc w:val="center"/>
              <w:rPr>
                <w:b/>
                <w:sz w:val="20"/>
                <w:szCs w:val="20"/>
              </w:rPr>
            </w:pPr>
            <w:r w:rsidRPr="006E39B7">
              <w:rPr>
                <w:b/>
                <w:sz w:val="20"/>
                <w:szCs w:val="20"/>
              </w:rPr>
              <w:t>An</w:t>
            </w:r>
            <w:r w:rsidRPr="006E39B7">
              <w:rPr>
                <w:b/>
                <w:sz w:val="20"/>
                <w:szCs w:val="20"/>
                <w:vertAlign w:val="subscript"/>
              </w:rPr>
              <w:t>t-1</w:t>
            </w:r>
          </w:p>
        </w:tc>
        <w:tc>
          <w:tcPr>
            <w:tcW w:w="365" w:type="pct"/>
            <w:vAlign w:val="center"/>
          </w:tcPr>
          <w:p w:rsidR="00DA0667" w:rsidRPr="006E39B7" w:rsidRDefault="00DA0667" w:rsidP="00CF6127">
            <w:pPr>
              <w:spacing w:line="276" w:lineRule="auto"/>
              <w:jc w:val="center"/>
              <w:rPr>
                <w:b/>
                <w:sz w:val="20"/>
                <w:szCs w:val="20"/>
              </w:rPr>
            </w:pPr>
            <w:r w:rsidRPr="006E39B7">
              <w:rPr>
                <w:b/>
                <w:sz w:val="20"/>
                <w:szCs w:val="20"/>
              </w:rPr>
              <w:t>An</w:t>
            </w:r>
            <w:r w:rsidRPr="006E39B7">
              <w:rPr>
                <w:b/>
                <w:sz w:val="20"/>
                <w:szCs w:val="20"/>
                <w:vertAlign w:val="subscript"/>
              </w:rPr>
              <w:t>t</w:t>
            </w:r>
          </w:p>
        </w:tc>
        <w:tc>
          <w:tcPr>
            <w:tcW w:w="502" w:type="pct"/>
            <w:vMerge/>
          </w:tcPr>
          <w:p w:rsidR="00DA0667" w:rsidRPr="006E39B7" w:rsidRDefault="00DA0667" w:rsidP="00CF6127">
            <w:pPr>
              <w:spacing w:line="276" w:lineRule="auto"/>
              <w:jc w:val="center"/>
              <w:rPr>
                <w:b/>
                <w:sz w:val="20"/>
                <w:szCs w:val="20"/>
              </w:rPr>
            </w:pPr>
          </w:p>
        </w:tc>
      </w:tr>
      <w:tr w:rsidR="00A4562F" w:rsidRPr="006E39B7" w:rsidTr="00FD6DC8">
        <w:trPr>
          <w:tblHeader/>
        </w:trPr>
        <w:tc>
          <w:tcPr>
            <w:tcW w:w="364" w:type="pct"/>
            <w:vAlign w:val="center"/>
          </w:tcPr>
          <w:p w:rsidR="00A4562F" w:rsidRPr="006E39B7" w:rsidRDefault="00A4562F" w:rsidP="00A4562F">
            <w:pPr>
              <w:spacing w:line="276" w:lineRule="auto"/>
              <w:jc w:val="center"/>
              <w:rPr>
                <w:b/>
                <w:sz w:val="20"/>
                <w:szCs w:val="20"/>
              </w:rPr>
            </w:pPr>
            <w:r>
              <w:rPr>
                <w:b/>
                <w:sz w:val="20"/>
                <w:szCs w:val="20"/>
              </w:rPr>
              <w:t>1</w:t>
            </w:r>
          </w:p>
        </w:tc>
        <w:tc>
          <w:tcPr>
            <w:tcW w:w="2320" w:type="pct"/>
            <w:vAlign w:val="center"/>
          </w:tcPr>
          <w:p w:rsidR="00A4562F" w:rsidRPr="006E39B7" w:rsidRDefault="00A4562F" w:rsidP="00A4562F">
            <w:pPr>
              <w:spacing w:line="276" w:lineRule="auto"/>
              <w:jc w:val="center"/>
              <w:rPr>
                <w:b/>
                <w:sz w:val="20"/>
                <w:szCs w:val="20"/>
              </w:rPr>
            </w:pPr>
            <w:r>
              <w:rPr>
                <w:b/>
                <w:sz w:val="20"/>
                <w:szCs w:val="20"/>
              </w:rPr>
              <w:t>2</w:t>
            </w:r>
          </w:p>
        </w:tc>
        <w:tc>
          <w:tcPr>
            <w:tcW w:w="364" w:type="pct"/>
            <w:vAlign w:val="center"/>
          </w:tcPr>
          <w:p w:rsidR="00A4562F" w:rsidRPr="006E39B7" w:rsidRDefault="00A4562F" w:rsidP="00A4562F">
            <w:pPr>
              <w:spacing w:line="276" w:lineRule="auto"/>
              <w:jc w:val="center"/>
              <w:rPr>
                <w:b/>
                <w:sz w:val="20"/>
                <w:szCs w:val="20"/>
              </w:rPr>
            </w:pPr>
            <w:r>
              <w:rPr>
                <w:b/>
                <w:sz w:val="20"/>
                <w:szCs w:val="20"/>
              </w:rPr>
              <w:t>3</w:t>
            </w:r>
          </w:p>
        </w:tc>
        <w:tc>
          <w:tcPr>
            <w:tcW w:w="363" w:type="pct"/>
            <w:vAlign w:val="center"/>
          </w:tcPr>
          <w:p w:rsidR="00A4562F" w:rsidRPr="006E39B7" w:rsidRDefault="00A4562F" w:rsidP="00A4562F">
            <w:pPr>
              <w:spacing w:line="276" w:lineRule="auto"/>
              <w:jc w:val="center"/>
              <w:rPr>
                <w:b/>
                <w:sz w:val="20"/>
                <w:szCs w:val="20"/>
              </w:rPr>
            </w:pPr>
            <w:r>
              <w:rPr>
                <w:b/>
                <w:sz w:val="20"/>
                <w:szCs w:val="20"/>
              </w:rPr>
              <w:t>4</w:t>
            </w:r>
          </w:p>
        </w:tc>
        <w:tc>
          <w:tcPr>
            <w:tcW w:w="361" w:type="pct"/>
            <w:vAlign w:val="center"/>
          </w:tcPr>
          <w:p w:rsidR="00A4562F" w:rsidRPr="006E39B7" w:rsidRDefault="00A4562F" w:rsidP="00A4562F">
            <w:pPr>
              <w:spacing w:line="276" w:lineRule="auto"/>
              <w:jc w:val="center"/>
              <w:rPr>
                <w:b/>
                <w:sz w:val="20"/>
                <w:szCs w:val="20"/>
              </w:rPr>
            </w:pPr>
            <w:r>
              <w:rPr>
                <w:b/>
                <w:sz w:val="20"/>
                <w:szCs w:val="20"/>
              </w:rPr>
              <w:t>5</w:t>
            </w:r>
          </w:p>
        </w:tc>
        <w:tc>
          <w:tcPr>
            <w:tcW w:w="362" w:type="pct"/>
            <w:vAlign w:val="center"/>
          </w:tcPr>
          <w:p w:rsidR="00A4562F" w:rsidRPr="006E39B7" w:rsidRDefault="00A4562F" w:rsidP="00A4562F">
            <w:pPr>
              <w:spacing w:line="276" w:lineRule="auto"/>
              <w:jc w:val="center"/>
              <w:rPr>
                <w:b/>
                <w:sz w:val="20"/>
                <w:szCs w:val="20"/>
              </w:rPr>
            </w:pPr>
            <w:r>
              <w:rPr>
                <w:b/>
                <w:sz w:val="20"/>
                <w:szCs w:val="20"/>
              </w:rPr>
              <w:t>6</w:t>
            </w:r>
          </w:p>
        </w:tc>
        <w:tc>
          <w:tcPr>
            <w:tcW w:w="365" w:type="pct"/>
            <w:vAlign w:val="center"/>
          </w:tcPr>
          <w:p w:rsidR="00A4562F" w:rsidRPr="006E39B7" w:rsidRDefault="00A4562F" w:rsidP="00A4562F">
            <w:pPr>
              <w:spacing w:line="276" w:lineRule="auto"/>
              <w:jc w:val="center"/>
              <w:rPr>
                <w:b/>
                <w:sz w:val="20"/>
                <w:szCs w:val="20"/>
              </w:rPr>
            </w:pPr>
            <w:r>
              <w:rPr>
                <w:b/>
                <w:sz w:val="20"/>
                <w:szCs w:val="20"/>
              </w:rPr>
              <w:t>7</w:t>
            </w:r>
          </w:p>
        </w:tc>
        <w:tc>
          <w:tcPr>
            <w:tcW w:w="502" w:type="pct"/>
            <w:vAlign w:val="center"/>
          </w:tcPr>
          <w:p w:rsidR="00A4562F" w:rsidRPr="006E39B7" w:rsidRDefault="00A4562F" w:rsidP="00A4562F">
            <w:pPr>
              <w:spacing w:line="276" w:lineRule="auto"/>
              <w:jc w:val="center"/>
              <w:rPr>
                <w:b/>
                <w:sz w:val="20"/>
                <w:szCs w:val="20"/>
              </w:rPr>
            </w:pPr>
            <w:r>
              <w:rPr>
                <w:b/>
                <w:sz w:val="20"/>
                <w:szCs w:val="20"/>
              </w:rPr>
              <w:t>8</w:t>
            </w:r>
          </w:p>
        </w:tc>
      </w:tr>
      <w:tr w:rsidR="00DA0667" w:rsidRPr="006E39B7" w:rsidTr="00FD6DC8">
        <w:tc>
          <w:tcPr>
            <w:tcW w:w="4498" w:type="pct"/>
            <w:gridSpan w:val="7"/>
          </w:tcPr>
          <w:p w:rsidR="00DA0667" w:rsidRPr="006E39B7" w:rsidRDefault="00DA0667" w:rsidP="00CF6127">
            <w:pPr>
              <w:spacing w:line="276" w:lineRule="auto"/>
              <w:jc w:val="both"/>
              <w:rPr>
                <w:b/>
                <w:sz w:val="20"/>
                <w:szCs w:val="20"/>
              </w:rPr>
            </w:pPr>
            <w:r w:rsidRPr="006E39B7">
              <w:rPr>
                <w:b/>
                <w:sz w:val="20"/>
                <w:szCs w:val="20"/>
              </w:rPr>
              <w:t>A. Indicatori care reflectă calitatea serviciului de distribuție a energiei electrice:</w:t>
            </w:r>
          </w:p>
        </w:tc>
        <w:tc>
          <w:tcPr>
            <w:tcW w:w="502" w:type="pct"/>
            <w:vAlign w:val="center"/>
          </w:tcPr>
          <w:p w:rsidR="00DA0667" w:rsidRPr="0019401A" w:rsidRDefault="00DA0667" w:rsidP="00CF6127">
            <w:pPr>
              <w:spacing w:line="276" w:lineRule="auto"/>
              <w:jc w:val="center"/>
              <w:rPr>
                <w:b/>
                <w:sz w:val="18"/>
                <w:szCs w:val="18"/>
              </w:rPr>
            </w:pPr>
            <w:r w:rsidRPr="0019401A">
              <w:rPr>
                <w:b/>
                <w:sz w:val="18"/>
                <w:szCs w:val="18"/>
              </w:rPr>
              <w:t>I</w:t>
            </w:r>
            <w:r w:rsidRPr="0019401A">
              <w:rPr>
                <w:b/>
                <w:sz w:val="18"/>
                <w:szCs w:val="18"/>
                <w:vertAlign w:val="subscript"/>
              </w:rPr>
              <w:t>Ad</w:t>
            </w:r>
          </w:p>
          <w:p w:rsidR="00DA0667" w:rsidRPr="0019401A" w:rsidRDefault="00DA0667" w:rsidP="00CF6127">
            <w:pPr>
              <w:spacing w:line="276" w:lineRule="auto"/>
              <w:jc w:val="center"/>
              <w:rPr>
                <w:b/>
                <w:sz w:val="18"/>
                <w:szCs w:val="18"/>
              </w:rPr>
            </w:pPr>
            <w:r w:rsidRPr="0019401A">
              <w:rPr>
                <w:b/>
                <w:sz w:val="18"/>
                <w:szCs w:val="18"/>
              </w:rPr>
              <w:t>(art. 1</w:t>
            </w:r>
            <w:r w:rsidR="00DF19D2">
              <w:rPr>
                <w:b/>
                <w:sz w:val="18"/>
                <w:szCs w:val="18"/>
              </w:rPr>
              <w:t>0</w:t>
            </w:r>
            <w:r w:rsidRPr="0019401A">
              <w:rPr>
                <w:b/>
                <w:sz w:val="18"/>
                <w:szCs w:val="18"/>
              </w:rPr>
              <w:t xml:space="preserve"> alin. (3))</w:t>
            </w:r>
          </w:p>
        </w:tc>
      </w:tr>
      <w:tr w:rsidR="006A53F0" w:rsidRPr="00CD627D" w:rsidTr="00FD6DC8">
        <w:tc>
          <w:tcPr>
            <w:tcW w:w="364" w:type="pct"/>
          </w:tcPr>
          <w:p w:rsidR="00DA0667" w:rsidRPr="00CD627D" w:rsidRDefault="00DA0667" w:rsidP="00CF6127">
            <w:pPr>
              <w:pStyle w:val="ListParagraph"/>
              <w:numPr>
                <w:ilvl w:val="0"/>
                <w:numId w:val="27"/>
              </w:numPr>
              <w:tabs>
                <w:tab w:val="left" w:pos="396"/>
              </w:tabs>
              <w:spacing w:line="276" w:lineRule="auto"/>
              <w:ind w:left="340" w:hanging="170"/>
              <w:jc w:val="both"/>
              <w:rPr>
                <w:sz w:val="20"/>
                <w:szCs w:val="20"/>
              </w:rPr>
            </w:pPr>
          </w:p>
        </w:tc>
        <w:tc>
          <w:tcPr>
            <w:tcW w:w="2320" w:type="pct"/>
          </w:tcPr>
          <w:p w:rsidR="00DA0667" w:rsidRPr="00CD627D" w:rsidRDefault="00DA0667" w:rsidP="00CF6127">
            <w:pPr>
              <w:rPr>
                <w:sz w:val="20"/>
                <w:szCs w:val="20"/>
              </w:rPr>
            </w:pPr>
            <w:r w:rsidRPr="00CD627D">
              <w:rPr>
                <w:sz w:val="20"/>
                <w:szCs w:val="20"/>
              </w:rPr>
              <w:t xml:space="preserve">SAIDI - </w:t>
            </w:r>
            <w:r w:rsidR="00CD627D" w:rsidRPr="00CD627D">
              <w:rPr>
                <w:sz w:val="20"/>
                <w:szCs w:val="20"/>
              </w:rPr>
              <w:t xml:space="preserve">Indicele durata medie a întreruperilor în </w:t>
            </w:r>
            <w:r w:rsidR="00CD627D" w:rsidRPr="00CD627D">
              <w:rPr>
                <w:rStyle w:val="slitbdy"/>
                <w:rFonts w:ascii="Times New Roman" w:eastAsia="Times New Roman" w:hAnsi="Times New Roman"/>
              </w:rPr>
              <w:t xml:space="preserve">reţea (sistem) </w:t>
            </w:r>
            <w:r w:rsidR="008E2F42" w:rsidRPr="00CD627D">
              <w:rPr>
                <w:rStyle w:val="slitbdy"/>
                <w:rFonts w:ascii="Times New Roman" w:eastAsia="Times New Roman" w:hAnsi="Times New Roman"/>
              </w:rPr>
              <w:t>pentru un utilizator</w:t>
            </w:r>
            <w:r w:rsidR="008E2F42" w:rsidRPr="00CD627D">
              <w:rPr>
                <w:sz w:val="20"/>
                <w:szCs w:val="20"/>
              </w:rPr>
              <w:t xml:space="preserve"> din zona de concesiune</w:t>
            </w:r>
            <w:r w:rsidR="008E2F42">
              <w:rPr>
                <w:sz w:val="20"/>
                <w:szCs w:val="20"/>
              </w:rPr>
              <w:t>,</w:t>
            </w:r>
            <w:r w:rsidR="008E2F42">
              <w:rPr>
                <w:rStyle w:val="slitbdy"/>
                <w:rFonts w:ascii="Times New Roman" w:eastAsia="Times New Roman" w:hAnsi="Times New Roman"/>
              </w:rPr>
              <w:t xml:space="preserve"> </w:t>
            </w:r>
            <w:r w:rsidR="00177AAD">
              <w:rPr>
                <w:rStyle w:val="slitbdy"/>
                <w:rFonts w:ascii="Times New Roman" w:eastAsia="Times New Roman" w:hAnsi="Times New Roman"/>
              </w:rPr>
              <w:t xml:space="preserve">pentru cazul întreruperi </w:t>
            </w:r>
            <w:r w:rsidR="00CD627D" w:rsidRPr="00CD627D">
              <w:rPr>
                <w:sz w:val="20"/>
                <w:szCs w:val="20"/>
              </w:rPr>
              <w:t xml:space="preserve">neplanificate, </w:t>
            </w:r>
            <w:r w:rsidR="008E2F42">
              <w:rPr>
                <w:sz w:val="20"/>
                <w:szCs w:val="20"/>
              </w:rPr>
              <w:t>altele decât cele</w:t>
            </w:r>
            <w:r w:rsidR="00CD627D" w:rsidRPr="00CD627D">
              <w:rPr>
                <w:sz w:val="20"/>
                <w:szCs w:val="20"/>
              </w:rPr>
              <w:t xml:space="preserve"> cauzate de condiţii meteorologice deosebite, de utilizatori sau terţi </w:t>
            </w:r>
            <w:r w:rsidR="00C00945" w:rsidRPr="00CD627D">
              <w:rPr>
                <w:sz w:val="20"/>
                <w:szCs w:val="20"/>
              </w:rPr>
              <w:t>[min/an]</w:t>
            </w:r>
            <w:r w:rsidRPr="00CD627D">
              <w:rPr>
                <w:sz w:val="20"/>
                <w:szCs w:val="20"/>
              </w:rPr>
              <w:t>;</w:t>
            </w:r>
          </w:p>
        </w:tc>
        <w:tc>
          <w:tcPr>
            <w:tcW w:w="364" w:type="pct"/>
          </w:tcPr>
          <w:p w:rsidR="00DA0667" w:rsidRPr="00CD627D" w:rsidRDefault="00DA0667" w:rsidP="00CF6127">
            <w:pPr>
              <w:spacing w:line="276" w:lineRule="auto"/>
              <w:jc w:val="both"/>
              <w:rPr>
                <w:sz w:val="20"/>
                <w:szCs w:val="20"/>
              </w:rPr>
            </w:pPr>
          </w:p>
        </w:tc>
        <w:tc>
          <w:tcPr>
            <w:tcW w:w="363" w:type="pct"/>
          </w:tcPr>
          <w:p w:rsidR="00DA0667" w:rsidRPr="00CD627D" w:rsidRDefault="00DA0667" w:rsidP="00CF6127">
            <w:pPr>
              <w:spacing w:line="276" w:lineRule="auto"/>
              <w:jc w:val="both"/>
              <w:rPr>
                <w:sz w:val="20"/>
                <w:szCs w:val="20"/>
              </w:rPr>
            </w:pPr>
          </w:p>
        </w:tc>
        <w:tc>
          <w:tcPr>
            <w:tcW w:w="361" w:type="pct"/>
          </w:tcPr>
          <w:p w:rsidR="00DA0667" w:rsidRPr="00CD627D" w:rsidRDefault="00DA0667" w:rsidP="00CF6127">
            <w:pPr>
              <w:spacing w:line="276" w:lineRule="auto"/>
              <w:jc w:val="both"/>
              <w:rPr>
                <w:sz w:val="20"/>
                <w:szCs w:val="20"/>
              </w:rPr>
            </w:pPr>
          </w:p>
        </w:tc>
        <w:tc>
          <w:tcPr>
            <w:tcW w:w="362" w:type="pct"/>
          </w:tcPr>
          <w:p w:rsidR="00DA0667" w:rsidRPr="00CD627D" w:rsidRDefault="00DA0667" w:rsidP="00CF6127">
            <w:pPr>
              <w:spacing w:line="276" w:lineRule="auto"/>
              <w:jc w:val="both"/>
              <w:rPr>
                <w:sz w:val="20"/>
                <w:szCs w:val="20"/>
              </w:rPr>
            </w:pPr>
          </w:p>
        </w:tc>
        <w:tc>
          <w:tcPr>
            <w:tcW w:w="365" w:type="pct"/>
          </w:tcPr>
          <w:p w:rsidR="00DA0667" w:rsidRPr="00CD627D" w:rsidRDefault="00DA0667" w:rsidP="00CF6127">
            <w:pPr>
              <w:spacing w:line="276" w:lineRule="auto"/>
              <w:jc w:val="both"/>
              <w:rPr>
                <w:sz w:val="20"/>
                <w:szCs w:val="20"/>
              </w:rPr>
            </w:pPr>
          </w:p>
        </w:tc>
        <w:tc>
          <w:tcPr>
            <w:tcW w:w="502" w:type="pct"/>
          </w:tcPr>
          <w:p w:rsidR="00DA0667" w:rsidRPr="00CD627D" w:rsidRDefault="00DA0667" w:rsidP="00CF6127">
            <w:pPr>
              <w:spacing w:line="276" w:lineRule="auto"/>
              <w:jc w:val="both"/>
              <w:rPr>
                <w:sz w:val="20"/>
                <w:szCs w:val="20"/>
              </w:rPr>
            </w:pPr>
          </w:p>
        </w:tc>
      </w:tr>
      <w:tr w:rsidR="006A53F0" w:rsidRPr="00CD627D" w:rsidTr="00FD6DC8">
        <w:tc>
          <w:tcPr>
            <w:tcW w:w="364" w:type="pct"/>
          </w:tcPr>
          <w:p w:rsidR="00DA0667" w:rsidRPr="00CD627D" w:rsidRDefault="00DA0667" w:rsidP="00CF6127">
            <w:pPr>
              <w:pStyle w:val="ListParagraph"/>
              <w:numPr>
                <w:ilvl w:val="0"/>
                <w:numId w:val="27"/>
              </w:numPr>
              <w:spacing w:line="276" w:lineRule="auto"/>
              <w:ind w:left="340" w:hanging="170"/>
              <w:jc w:val="both"/>
              <w:rPr>
                <w:sz w:val="20"/>
                <w:szCs w:val="20"/>
              </w:rPr>
            </w:pPr>
          </w:p>
        </w:tc>
        <w:tc>
          <w:tcPr>
            <w:tcW w:w="2320" w:type="pct"/>
          </w:tcPr>
          <w:p w:rsidR="00DA0667" w:rsidRPr="00CD627D" w:rsidRDefault="00DA0667" w:rsidP="00CF6127">
            <w:pPr>
              <w:rPr>
                <w:sz w:val="20"/>
                <w:szCs w:val="20"/>
              </w:rPr>
            </w:pPr>
            <w:r w:rsidRPr="00CD627D">
              <w:rPr>
                <w:sz w:val="20"/>
                <w:szCs w:val="20"/>
              </w:rPr>
              <w:t xml:space="preserve">SAIFI - </w:t>
            </w:r>
            <w:r w:rsidR="00CD627D" w:rsidRPr="00CD627D">
              <w:rPr>
                <w:sz w:val="20"/>
                <w:szCs w:val="20"/>
              </w:rPr>
              <w:t xml:space="preserve">Indicele frecvenţa medie a întreruperilor în </w:t>
            </w:r>
            <w:r w:rsidR="00CD627D" w:rsidRPr="00CD627D">
              <w:rPr>
                <w:rStyle w:val="slitbdy"/>
                <w:rFonts w:ascii="Times New Roman" w:eastAsia="Times New Roman" w:hAnsi="Times New Roman"/>
              </w:rPr>
              <w:t xml:space="preserve">reţea (sistem) </w:t>
            </w:r>
            <w:r w:rsidR="008E2F42" w:rsidRPr="00CD627D">
              <w:rPr>
                <w:rStyle w:val="slitbdy"/>
                <w:rFonts w:ascii="Times New Roman" w:eastAsia="Times New Roman" w:hAnsi="Times New Roman"/>
              </w:rPr>
              <w:t>pentru un utilizator</w:t>
            </w:r>
            <w:r w:rsidR="008E2F42" w:rsidRPr="00CD627D">
              <w:rPr>
                <w:sz w:val="20"/>
                <w:szCs w:val="20"/>
              </w:rPr>
              <w:t xml:space="preserve"> din zona de concesiune</w:t>
            </w:r>
            <w:r w:rsidR="008E2F42">
              <w:rPr>
                <w:sz w:val="20"/>
                <w:szCs w:val="20"/>
              </w:rPr>
              <w:t>,</w:t>
            </w:r>
            <w:r w:rsidR="008E2F42">
              <w:rPr>
                <w:rStyle w:val="slitbdy"/>
                <w:rFonts w:ascii="Times New Roman" w:eastAsia="Times New Roman" w:hAnsi="Times New Roman"/>
              </w:rPr>
              <w:t xml:space="preserve"> pentru cazul întreruperi </w:t>
            </w:r>
            <w:r w:rsidR="008E2F42" w:rsidRPr="00CD627D">
              <w:rPr>
                <w:sz w:val="20"/>
                <w:szCs w:val="20"/>
              </w:rPr>
              <w:t xml:space="preserve">neplanificate, </w:t>
            </w:r>
            <w:r w:rsidR="008E2F42">
              <w:rPr>
                <w:sz w:val="20"/>
                <w:szCs w:val="20"/>
              </w:rPr>
              <w:t>altele decât cele</w:t>
            </w:r>
            <w:r w:rsidR="008E2F42" w:rsidRPr="00CD627D">
              <w:rPr>
                <w:sz w:val="20"/>
                <w:szCs w:val="20"/>
              </w:rPr>
              <w:t xml:space="preserve"> cauzate de condiţii meteorologice deosebite, de utilizatori sau terţi</w:t>
            </w:r>
            <w:r w:rsidR="00CD627D" w:rsidRPr="00CD627D">
              <w:rPr>
                <w:sz w:val="20"/>
                <w:szCs w:val="20"/>
              </w:rPr>
              <w:t xml:space="preserve"> </w:t>
            </w:r>
            <w:r w:rsidR="00C00945" w:rsidRPr="00CD627D">
              <w:rPr>
                <w:sz w:val="20"/>
                <w:szCs w:val="20"/>
              </w:rPr>
              <w:t>[într/an]</w:t>
            </w:r>
            <w:r w:rsidRPr="00CD627D">
              <w:rPr>
                <w:sz w:val="20"/>
                <w:szCs w:val="20"/>
              </w:rPr>
              <w:t>;</w:t>
            </w:r>
          </w:p>
        </w:tc>
        <w:tc>
          <w:tcPr>
            <w:tcW w:w="364" w:type="pct"/>
          </w:tcPr>
          <w:p w:rsidR="00DA0667" w:rsidRPr="00CD627D" w:rsidRDefault="00DA0667" w:rsidP="00CF6127">
            <w:pPr>
              <w:spacing w:line="276" w:lineRule="auto"/>
              <w:jc w:val="both"/>
              <w:rPr>
                <w:sz w:val="20"/>
                <w:szCs w:val="20"/>
              </w:rPr>
            </w:pPr>
          </w:p>
        </w:tc>
        <w:tc>
          <w:tcPr>
            <w:tcW w:w="363" w:type="pct"/>
          </w:tcPr>
          <w:p w:rsidR="00DA0667" w:rsidRPr="00CD627D" w:rsidRDefault="00DA0667" w:rsidP="00CF6127">
            <w:pPr>
              <w:spacing w:line="276" w:lineRule="auto"/>
              <w:jc w:val="both"/>
              <w:rPr>
                <w:sz w:val="20"/>
                <w:szCs w:val="20"/>
              </w:rPr>
            </w:pPr>
          </w:p>
        </w:tc>
        <w:tc>
          <w:tcPr>
            <w:tcW w:w="361" w:type="pct"/>
          </w:tcPr>
          <w:p w:rsidR="00DA0667" w:rsidRPr="00CD627D" w:rsidRDefault="00DA0667" w:rsidP="00CF6127">
            <w:pPr>
              <w:spacing w:line="276" w:lineRule="auto"/>
              <w:jc w:val="both"/>
              <w:rPr>
                <w:sz w:val="20"/>
                <w:szCs w:val="20"/>
              </w:rPr>
            </w:pPr>
          </w:p>
        </w:tc>
        <w:tc>
          <w:tcPr>
            <w:tcW w:w="362" w:type="pct"/>
          </w:tcPr>
          <w:p w:rsidR="00DA0667" w:rsidRPr="00CD627D" w:rsidRDefault="00DA0667" w:rsidP="00CF6127">
            <w:pPr>
              <w:spacing w:line="276" w:lineRule="auto"/>
              <w:jc w:val="both"/>
              <w:rPr>
                <w:sz w:val="20"/>
                <w:szCs w:val="20"/>
              </w:rPr>
            </w:pPr>
          </w:p>
        </w:tc>
        <w:tc>
          <w:tcPr>
            <w:tcW w:w="365" w:type="pct"/>
          </w:tcPr>
          <w:p w:rsidR="00DA0667" w:rsidRPr="00CD627D" w:rsidRDefault="00DA0667" w:rsidP="00CF6127">
            <w:pPr>
              <w:spacing w:line="276" w:lineRule="auto"/>
              <w:jc w:val="both"/>
              <w:rPr>
                <w:sz w:val="20"/>
                <w:szCs w:val="20"/>
              </w:rPr>
            </w:pPr>
          </w:p>
        </w:tc>
        <w:tc>
          <w:tcPr>
            <w:tcW w:w="502" w:type="pct"/>
          </w:tcPr>
          <w:p w:rsidR="00DA0667" w:rsidRPr="00CD627D" w:rsidRDefault="00DA0667" w:rsidP="00CF6127">
            <w:pPr>
              <w:spacing w:line="276" w:lineRule="auto"/>
              <w:jc w:val="both"/>
              <w:rPr>
                <w:sz w:val="20"/>
                <w:szCs w:val="20"/>
              </w:rPr>
            </w:pPr>
          </w:p>
        </w:tc>
      </w:tr>
      <w:tr w:rsidR="006A53F0" w:rsidRPr="006E39B7" w:rsidTr="00FD6DC8">
        <w:tc>
          <w:tcPr>
            <w:tcW w:w="364" w:type="pct"/>
          </w:tcPr>
          <w:p w:rsidR="00DA0667" w:rsidRPr="006E39B7" w:rsidRDefault="00DA0667" w:rsidP="00CF6127">
            <w:pPr>
              <w:pStyle w:val="ListParagraph"/>
              <w:numPr>
                <w:ilvl w:val="0"/>
                <w:numId w:val="27"/>
              </w:numPr>
              <w:spacing w:line="276" w:lineRule="auto"/>
              <w:ind w:left="340" w:hanging="170"/>
              <w:jc w:val="both"/>
              <w:rPr>
                <w:sz w:val="20"/>
                <w:szCs w:val="20"/>
              </w:rPr>
            </w:pPr>
          </w:p>
        </w:tc>
        <w:tc>
          <w:tcPr>
            <w:tcW w:w="2320" w:type="pct"/>
          </w:tcPr>
          <w:p w:rsidR="00DA0667" w:rsidRPr="00EC0A47" w:rsidRDefault="00DA0667" w:rsidP="00CF6127">
            <w:pPr>
              <w:rPr>
                <w:sz w:val="20"/>
                <w:szCs w:val="20"/>
              </w:rPr>
            </w:pPr>
            <w:r w:rsidRPr="00EC0A47">
              <w:rPr>
                <w:sz w:val="20"/>
                <w:szCs w:val="20"/>
              </w:rPr>
              <w:t>Numărul de reclamații referitoare la calitatea curbei de tensiune înregistrate pe toate nivelurile de tensiune, în rețelele de distribuție a energiei electrice din zona de concesiune.</w:t>
            </w:r>
          </w:p>
        </w:tc>
        <w:tc>
          <w:tcPr>
            <w:tcW w:w="364" w:type="pct"/>
          </w:tcPr>
          <w:p w:rsidR="00DA0667" w:rsidRPr="006E39B7" w:rsidRDefault="00DA0667" w:rsidP="00CF6127">
            <w:pPr>
              <w:spacing w:line="276" w:lineRule="auto"/>
              <w:jc w:val="both"/>
              <w:rPr>
                <w:sz w:val="20"/>
                <w:szCs w:val="20"/>
              </w:rPr>
            </w:pPr>
          </w:p>
        </w:tc>
        <w:tc>
          <w:tcPr>
            <w:tcW w:w="363" w:type="pct"/>
          </w:tcPr>
          <w:p w:rsidR="00DA0667" w:rsidRPr="006E39B7" w:rsidRDefault="00DA0667" w:rsidP="00CF6127">
            <w:pPr>
              <w:spacing w:line="276" w:lineRule="auto"/>
              <w:jc w:val="both"/>
              <w:rPr>
                <w:sz w:val="20"/>
                <w:szCs w:val="20"/>
              </w:rPr>
            </w:pPr>
          </w:p>
        </w:tc>
        <w:tc>
          <w:tcPr>
            <w:tcW w:w="361" w:type="pct"/>
          </w:tcPr>
          <w:p w:rsidR="00DA0667" w:rsidRPr="006E39B7" w:rsidRDefault="00DA0667" w:rsidP="00CF6127">
            <w:pPr>
              <w:spacing w:line="276" w:lineRule="auto"/>
              <w:jc w:val="both"/>
              <w:rPr>
                <w:sz w:val="20"/>
                <w:szCs w:val="20"/>
              </w:rPr>
            </w:pPr>
          </w:p>
        </w:tc>
        <w:tc>
          <w:tcPr>
            <w:tcW w:w="362" w:type="pct"/>
          </w:tcPr>
          <w:p w:rsidR="00DA0667" w:rsidRPr="006E39B7" w:rsidRDefault="00DA0667" w:rsidP="00CF6127">
            <w:pPr>
              <w:spacing w:line="276" w:lineRule="auto"/>
              <w:jc w:val="both"/>
              <w:rPr>
                <w:sz w:val="20"/>
                <w:szCs w:val="20"/>
              </w:rPr>
            </w:pPr>
          </w:p>
        </w:tc>
        <w:tc>
          <w:tcPr>
            <w:tcW w:w="365" w:type="pct"/>
          </w:tcPr>
          <w:p w:rsidR="00DA0667" w:rsidRPr="006E39B7" w:rsidRDefault="00DA0667" w:rsidP="00CF6127">
            <w:pPr>
              <w:spacing w:line="276" w:lineRule="auto"/>
              <w:jc w:val="both"/>
              <w:rPr>
                <w:sz w:val="20"/>
                <w:szCs w:val="20"/>
              </w:rPr>
            </w:pPr>
          </w:p>
        </w:tc>
        <w:tc>
          <w:tcPr>
            <w:tcW w:w="502" w:type="pct"/>
          </w:tcPr>
          <w:p w:rsidR="00DA0667" w:rsidRPr="006E39B7" w:rsidRDefault="00DA0667" w:rsidP="00CF6127">
            <w:pPr>
              <w:spacing w:line="276" w:lineRule="auto"/>
              <w:jc w:val="both"/>
              <w:rPr>
                <w:sz w:val="20"/>
                <w:szCs w:val="20"/>
              </w:rPr>
            </w:pPr>
          </w:p>
        </w:tc>
      </w:tr>
      <w:tr w:rsidR="00DA0667" w:rsidRPr="006E39B7" w:rsidTr="00FD6DC8">
        <w:tc>
          <w:tcPr>
            <w:tcW w:w="4498" w:type="pct"/>
            <w:gridSpan w:val="7"/>
          </w:tcPr>
          <w:p w:rsidR="00DA0667" w:rsidRPr="006E39B7" w:rsidRDefault="00DA0667" w:rsidP="00CF6127">
            <w:pPr>
              <w:spacing w:line="276" w:lineRule="auto"/>
              <w:jc w:val="both"/>
              <w:rPr>
                <w:b/>
                <w:sz w:val="20"/>
                <w:szCs w:val="20"/>
              </w:rPr>
            </w:pPr>
            <w:r w:rsidRPr="006E39B7">
              <w:rPr>
                <w:b/>
                <w:sz w:val="20"/>
                <w:szCs w:val="20"/>
              </w:rPr>
              <w:t>B. Indicatori care reflectă integrarea producției de energie electrică din surse regenerabile și a serviciilor de flexibilitate:</w:t>
            </w:r>
          </w:p>
        </w:tc>
        <w:tc>
          <w:tcPr>
            <w:tcW w:w="502" w:type="pct"/>
            <w:vAlign w:val="center"/>
          </w:tcPr>
          <w:p w:rsidR="00DA0667" w:rsidRPr="0019401A" w:rsidRDefault="00DA0667" w:rsidP="00CF6127">
            <w:pPr>
              <w:spacing w:line="276" w:lineRule="auto"/>
              <w:jc w:val="center"/>
              <w:rPr>
                <w:b/>
                <w:sz w:val="18"/>
                <w:szCs w:val="18"/>
                <w:vertAlign w:val="subscript"/>
              </w:rPr>
            </w:pPr>
            <w:r w:rsidRPr="0019401A">
              <w:rPr>
                <w:b/>
                <w:sz w:val="18"/>
                <w:szCs w:val="18"/>
              </w:rPr>
              <w:t>I</w:t>
            </w:r>
            <w:r w:rsidRPr="0019401A">
              <w:rPr>
                <w:b/>
                <w:sz w:val="18"/>
                <w:szCs w:val="18"/>
                <w:vertAlign w:val="subscript"/>
              </w:rPr>
              <w:t xml:space="preserve">Bd </w:t>
            </w:r>
          </w:p>
          <w:p w:rsidR="00DA0667" w:rsidRPr="0019401A" w:rsidRDefault="00DA0667" w:rsidP="00CF6127">
            <w:pPr>
              <w:spacing w:line="276" w:lineRule="auto"/>
              <w:jc w:val="center"/>
              <w:rPr>
                <w:b/>
                <w:sz w:val="18"/>
                <w:szCs w:val="18"/>
              </w:rPr>
            </w:pPr>
            <w:r w:rsidRPr="0019401A">
              <w:rPr>
                <w:b/>
                <w:sz w:val="18"/>
                <w:szCs w:val="18"/>
              </w:rPr>
              <w:t>(art. 1</w:t>
            </w:r>
            <w:r w:rsidR="00DF19D2">
              <w:rPr>
                <w:b/>
                <w:sz w:val="18"/>
                <w:szCs w:val="18"/>
              </w:rPr>
              <w:t>1</w:t>
            </w:r>
            <w:r w:rsidRPr="0019401A">
              <w:rPr>
                <w:b/>
                <w:sz w:val="18"/>
                <w:szCs w:val="18"/>
              </w:rPr>
              <w:t xml:space="preserve"> alin. (3))</w:t>
            </w:r>
          </w:p>
        </w:tc>
      </w:tr>
      <w:tr w:rsidR="00B72E4D" w:rsidRPr="005F4FCF" w:rsidTr="00FD6DC8">
        <w:tc>
          <w:tcPr>
            <w:tcW w:w="364" w:type="pct"/>
          </w:tcPr>
          <w:p w:rsidR="00B72E4D" w:rsidRPr="005F4FCF" w:rsidRDefault="00B72E4D" w:rsidP="00B72E4D">
            <w:pPr>
              <w:pStyle w:val="ListParagraph"/>
              <w:numPr>
                <w:ilvl w:val="0"/>
                <w:numId w:val="28"/>
              </w:numPr>
              <w:spacing w:line="276" w:lineRule="auto"/>
              <w:ind w:left="340" w:hanging="170"/>
              <w:jc w:val="both"/>
              <w:rPr>
                <w:sz w:val="20"/>
                <w:szCs w:val="20"/>
              </w:rPr>
            </w:pPr>
            <w:bookmarkStart w:id="46" w:name="_Hlk177541244"/>
          </w:p>
        </w:tc>
        <w:tc>
          <w:tcPr>
            <w:tcW w:w="2320" w:type="pct"/>
          </w:tcPr>
          <w:p w:rsidR="00B72E4D" w:rsidRPr="005F4FCF" w:rsidRDefault="00B72E4D" w:rsidP="00B72E4D">
            <w:pPr>
              <w:rPr>
                <w:sz w:val="20"/>
                <w:szCs w:val="20"/>
              </w:rPr>
            </w:pPr>
            <w:r w:rsidRPr="005F4FCF">
              <w:rPr>
                <w:sz w:val="20"/>
                <w:szCs w:val="20"/>
              </w:rPr>
              <w:t xml:space="preserve">NPd  - </w:t>
            </w:r>
            <w:r w:rsidR="00FD6DC8" w:rsidRPr="005F4FCF">
              <w:rPr>
                <w:sz w:val="20"/>
                <w:szCs w:val="20"/>
              </w:rPr>
              <w:t>Ponderea numărului de ATR emise pentru racordarea la rețelele electrice de distribuție de medie şi înaltă tensiune de noi locuri de producere cu unități de producere energie electrică din surse regenerabile (altele decât cele aparținând prosumatorilor), raportat la numărul cererilor de racordare de acest tip înregistrate de OD</w:t>
            </w:r>
            <w:r w:rsidRPr="005F4FCF">
              <w:rPr>
                <w:sz w:val="20"/>
                <w:szCs w:val="20"/>
              </w:rPr>
              <w:t xml:space="preserve"> [%]</w:t>
            </w:r>
          </w:p>
        </w:tc>
        <w:tc>
          <w:tcPr>
            <w:tcW w:w="364" w:type="pct"/>
          </w:tcPr>
          <w:p w:rsidR="00B72E4D" w:rsidRPr="005F4FCF" w:rsidRDefault="00B72E4D" w:rsidP="00B72E4D">
            <w:pPr>
              <w:spacing w:line="276" w:lineRule="auto"/>
              <w:jc w:val="both"/>
              <w:rPr>
                <w:sz w:val="20"/>
                <w:szCs w:val="20"/>
              </w:rPr>
            </w:pPr>
          </w:p>
        </w:tc>
        <w:tc>
          <w:tcPr>
            <w:tcW w:w="363" w:type="pct"/>
          </w:tcPr>
          <w:p w:rsidR="00B72E4D" w:rsidRPr="005F4FCF" w:rsidRDefault="00B72E4D" w:rsidP="00B72E4D">
            <w:pPr>
              <w:spacing w:line="276" w:lineRule="auto"/>
              <w:jc w:val="both"/>
              <w:rPr>
                <w:sz w:val="20"/>
                <w:szCs w:val="20"/>
              </w:rPr>
            </w:pPr>
          </w:p>
        </w:tc>
        <w:tc>
          <w:tcPr>
            <w:tcW w:w="361" w:type="pct"/>
          </w:tcPr>
          <w:p w:rsidR="00B72E4D" w:rsidRPr="005F4FCF" w:rsidRDefault="00B72E4D" w:rsidP="00B72E4D">
            <w:pPr>
              <w:spacing w:line="276" w:lineRule="auto"/>
              <w:jc w:val="both"/>
              <w:rPr>
                <w:sz w:val="20"/>
                <w:szCs w:val="20"/>
              </w:rPr>
            </w:pPr>
          </w:p>
        </w:tc>
        <w:tc>
          <w:tcPr>
            <w:tcW w:w="362" w:type="pct"/>
          </w:tcPr>
          <w:p w:rsidR="00B72E4D" w:rsidRPr="005F4FCF" w:rsidRDefault="00B72E4D" w:rsidP="00B72E4D">
            <w:pPr>
              <w:spacing w:line="276" w:lineRule="auto"/>
              <w:jc w:val="both"/>
              <w:rPr>
                <w:sz w:val="20"/>
                <w:szCs w:val="20"/>
              </w:rPr>
            </w:pPr>
          </w:p>
        </w:tc>
        <w:tc>
          <w:tcPr>
            <w:tcW w:w="365" w:type="pct"/>
          </w:tcPr>
          <w:p w:rsidR="00B72E4D" w:rsidRPr="005F4FCF" w:rsidRDefault="00B72E4D" w:rsidP="00B72E4D">
            <w:pPr>
              <w:spacing w:line="276" w:lineRule="auto"/>
              <w:jc w:val="both"/>
              <w:rPr>
                <w:sz w:val="20"/>
                <w:szCs w:val="20"/>
              </w:rPr>
            </w:pPr>
          </w:p>
        </w:tc>
        <w:tc>
          <w:tcPr>
            <w:tcW w:w="502" w:type="pct"/>
          </w:tcPr>
          <w:p w:rsidR="00B72E4D" w:rsidRPr="005F4FCF" w:rsidRDefault="00B72E4D" w:rsidP="00B72E4D">
            <w:pPr>
              <w:spacing w:line="276" w:lineRule="auto"/>
              <w:jc w:val="both"/>
              <w:rPr>
                <w:sz w:val="20"/>
                <w:szCs w:val="20"/>
              </w:rPr>
            </w:pPr>
          </w:p>
        </w:tc>
      </w:tr>
      <w:bookmarkEnd w:id="46"/>
      <w:tr w:rsidR="00B72E4D" w:rsidRPr="005F4FCF" w:rsidTr="00FD6DC8">
        <w:trPr>
          <w:trHeight w:val="1334"/>
        </w:trPr>
        <w:tc>
          <w:tcPr>
            <w:tcW w:w="364" w:type="pct"/>
          </w:tcPr>
          <w:p w:rsidR="00B72E4D" w:rsidRPr="005F4FCF" w:rsidRDefault="00B72E4D" w:rsidP="00B72E4D">
            <w:pPr>
              <w:pStyle w:val="ListParagraph"/>
              <w:numPr>
                <w:ilvl w:val="0"/>
                <w:numId w:val="28"/>
              </w:numPr>
              <w:spacing w:line="276" w:lineRule="auto"/>
              <w:ind w:left="340" w:hanging="170"/>
              <w:jc w:val="both"/>
              <w:rPr>
                <w:sz w:val="20"/>
                <w:szCs w:val="20"/>
              </w:rPr>
            </w:pPr>
          </w:p>
        </w:tc>
        <w:tc>
          <w:tcPr>
            <w:tcW w:w="2320" w:type="pct"/>
          </w:tcPr>
          <w:p w:rsidR="00B72E4D" w:rsidRPr="005F4FCF" w:rsidRDefault="00B72E4D" w:rsidP="00B72E4D">
            <w:pPr>
              <w:rPr>
                <w:sz w:val="20"/>
                <w:szCs w:val="20"/>
              </w:rPr>
            </w:pPr>
            <w:r w:rsidRPr="005F4FCF">
              <w:rPr>
                <w:sz w:val="20"/>
                <w:szCs w:val="20"/>
              </w:rPr>
              <w:t xml:space="preserve">PPd - </w:t>
            </w:r>
            <w:r w:rsidR="00FD6DC8" w:rsidRPr="005F4FCF">
              <w:rPr>
                <w:sz w:val="20"/>
                <w:szCs w:val="20"/>
              </w:rPr>
              <w:t>Ponderea puterii totale aprobate pentru evacuare prin ATR emise pentru racordarea la rețelele electrice de distribuție de medie şi înaltă tensiune de noi locuri de producere cu unități de producere energie electrică din surse regenerabile (altele decât cele aparținând prosumatorilor), raportată la puterea totală solicitată prin cererile de racordare de acest tip înregistrate de OD</w:t>
            </w:r>
            <w:r w:rsidRPr="005F4FCF">
              <w:rPr>
                <w:sz w:val="20"/>
                <w:szCs w:val="20"/>
              </w:rPr>
              <w:t xml:space="preserve"> [%]</w:t>
            </w:r>
          </w:p>
        </w:tc>
        <w:tc>
          <w:tcPr>
            <w:tcW w:w="364" w:type="pct"/>
          </w:tcPr>
          <w:p w:rsidR="00B72E4D" w:rsidRPr="005F4FCF" w:rsidRDefault="00B72E4D" w:rsidP="00B72E4D">
            <w:pPr>
              <w:spacing w:line="276" w:lineRule="auto"/>
              <w:jc w:val="both"/>
              <w:rPr>
                <w:sz w:val="20"/>
                <w:szCs w:val="20"/>
              </w:rPr>
            </w:pPr>
          </w:p>
        </w:tc>
        <w:tc>
          <w:tcPr>
            <w:tcW w:w="363" w:type="pct"/>
          </w:tcPr>
          <w:p w:rsidR="00B72E4D" w:rsidRPr="005F4FCF" w:rsidRDefault="00B72E4D" w:rsidP="00B72E4D">
            <w:pPr>
              <w:spacing w:line="276" w:lineRule="auto"/>
              <w:jc w:val="both"/>
              <w:rPr>
                <w:sz w:val="20"/>
                <w:szCs w:val="20"/>
              </w:rPr>
            </w:pPr>
          </w:p>
        </w:tc>
        <w:tc>
          <w:tcPr>
            <w:tcW w:w="361" w:type="pct"/>
          </w:tcPr>
          <w:p w:rsidR="00B72E4D" w:rsidRPr="005F4FCF" w:rsidRDefault="00B72E4D" w:rsidP="00B72E4D">
            <w:pPr>
              <w:spacing w:line="276" w:lineRule="auto"/>
              <w:jc w:val="both"/>
              <w:rPr>
                <w:sz w:val="20"/>
                <w:szCs w:val="20"/>
              </w:rPr>
            </w:pPr>
          </w:p>
        </w:tc>
        <w:tc>
          <w:tcPr>
            <w:tcW w:w="362" w:type="pct"/>
          </w:tcPr>
          <w:p w:rsidR="00B72E4D" w:rsidRPr="005F4FCF" w:rsidRDefault="00B72E4D" w:rsidP="00B72E4D">
            <w:pPr>
              <w:spacing w:line="276" w:lineRule="auto"/>
              <w:jc w:val="both"/>
              <w:rPr>
                <w:sz w:val="20"/>
                <w:szCs w:val="20"/>
              </w:rPr>
            </w:pPr>
          </w:p>
        </w:tc>
        <w:tc>
          <w:tcPr>
            <w:tcW w:w="365" w:type="pct"/>
          </w:tcPr>
          <w:p w:rsidR="00B72E4D" w:rsidRPr="005F4FCF" w:rsidRDefault="00B72E4D" w:rsidP="00B72E4D">
            <w:pPr>
              <w:spacing w:line="276" w:lineRule="auto"/>
              <w:jc w:val="both"/>
              <w:rPr>
                <w:sz w:val="20"/>
                <w:szCs w:val="20"/>
              </w:rPr>
            </w:pPr>
          </w:p>
        </w:tc>
        <w:tc>
          <w:tcPr>
            <w:tcW w:w="502" w:type="pct"/>
          </w:tcPr>
          <w:p w:rsidR="00B72E4D" w:rsidRPr="005F4FCF" w:rsidRDefault="00B72E4D" w:rsidP="00B72E4D">
            <w:pPr>
              <w:rPr>
                <w:sz w:val="20"/>
                <w:szCs w:val="20"/>
              </w:rPr>
            </w:pPr>
          </w:p>
        </w:tc>
      </w:tr>
      <w:tr w:rsidR="00B72E4D" w:rsidRPr="005F4FCF" w:rsidTr="00FD6DC8">
        <w:tc>
          <w:tcPr>
            <w:tcW w:w="364" w:type="pct"/>
          </w:tcPr>
          <w:p w:rsidR="00B72E4D" w:rsidRPr="005F4FCF" w:rsidRDefault="00B72E4D" w:rsidP="00B72E4D">
            <w:pPr>
              <w:pStyle w:val="ListParagraph"/>
              <w:numPr>
                <w:ilvl w:val="0"/>
                <w:numId w:val="28"/>
              </w:numPr>
              <w:spacing w:line="276" w:lineRule="auto"/>
              <w:ind w:left="340" w:hanging="170"/>
              <w:jc w:val="both"/>
              <w:rPr>
                <w:sz w:val="20"/>
                <w:szCs w:val="20"/>
              </w:rPr>
            </w:pPr>
          </w:p>
        </w:tc>
        <w:tc>
          <w:tcPr>
            <w:tcW w:w="2320" w:type="pct"/>
          </w:tcPr>
          <w:p w:rsidR="00B72E4D" w:rsidRPr="005F4FCF" w:rsidRDefault="00B72E4D" w:rsidP="00B72E4D">
            <w:pPr>
              <w:rPr>
                <w:sz w:val="20"/>
                <w:szCs w:val="20"/>
              </w:rPr>
            </w:pPr>
            <w:r w:rsidRPr="005F4FCF">
              <w:rPr>
                <w:sz w:val="20"/>
                <w:szCs w:val="20"/>
              </w:rPr>
              <w:t xml:space="preserve">NStoc - </w:t>
            </w:r>
            <w:r w:rsidR="005F4FCF" w:rsidRPr="005F4FCF">
              <w:rPr>
                <w:sz w:val="20"/>
                <w:szCs w:val="20"/>
              </w:rPr>
              <w:t>Ponderea numărului de ATR emise pentru racordarea la rețelele electrice de distribuție de noi unități de stocare energie, raportat la numărul cererilor de racordare de acest tip înregistrate de OD</w:t>
            </w:r>
            <w:r w:rsidRPr="005F4FCF">
              <w:rPr>
                <w:sz w:val="20"/>
                <w:szCs w:val="20"/>
              </w:rPr>
              <w:t xml:space="preserve"> [%]</w:t>
            </w:r>
          </w:p>
        </w:tc>
        <w:tc>
          <w:tcPr>
            <w:tcW w:w="364" w:type="pct"/>
          </w:tcPr>
          <w:p w:rsidR="00B72E4D" w:rsidRPr="005F4FCF" w:rsidRDefault="00B72E4D" w:rsidP="00B72E4D">
            <w:pPr>
              <w:spacing w:line="276" w:lineRule="auto"/>
              <w:jc w:val="both"/>
              <w:rPr>
                <w:sz w:val="20"/>
                <w:szCs w:val="20"/>
              </w:rPr>
            </w:pPr>
          </w:p>
        </w:tc>
        <w:tc>
          <w:tcPr>
            <w:tcW w:w="363" w:type="pct"/>
          </w:tcPr>
          <w:p w:rsidR="00B72E4D" w:rsidRPr="005F4FCF" w:rsidRDefault="00B72E4D" w:rsidP="00B72E4D">
            <w:pPr>
              <w:spacing w:line="276" w:lineRule="auto"/>
              <w:jc w:val="both"/>
              <w:rPr>
                <w:sz w:val="20"/>
                <w:szCs w:val="20"/>
              </w:rPr>
            </w:pPr>
          </w:p>
        </w:tc>
        <w:tc>
          <w:tcPr>
            <w:tcW w:w="361" w:type="pct"/>
          </w:tcPr>
          <w:p w:rsidR="00B72E4D" w:rsidRPr="005F4FCF" w:rsidRDefault="00B72E4D" w:rsidP="00B72E4D">
            <w:pPr>
              <w:spacing w:line="276" w:lineRule="auto"/>
              <w:jc w:val="both"/>
              <w:rPr>
                <w:sz w:val="20"/>
                <w:szCs w:val="20"/>
              </w:rPr>
            </w:pPr>
          </w:p>
        </w:tc>
        <w:tc>
          <w:tcPr>
            <w:tcW w:w="362" w:type="pct"/>
          </w:tcPr>
          <w:p w:rsidR="00B72E4D" w:rsidRPr="005F4FCF" w:rsidRDefault="00B72E4D" w:rsidP="00B72E4D">
            <w:pPr>
              <w:spacing w:line="276" w:lineRule="auto"/>
              <w:jc w:val="both"/>
              <w:rPr>
                <w:sz w:val="20"/>
                <w:szCs w:val="20"/>
              </w:rPr>
            </w:pPr>
          </w:p>
        </w:tc>
        <w:tc>
          <w:tcPr>
            <w:tcW w:w="365" w:type="pct"/>
          </w:tcPr>
          <w:p w:rsidR="00B72E4D" w:rsidRPr="005F4FCF" w:rsidRDefault="00B72E4D" w:rsidP="00B72E4D">
            <w:pPr>
              <w:spacing w:line="276" w:lineRule="auto"/>
              <w:jc w:val="both"/>
              <w:rPr>
                <w:sz w:val="20"/>
                <w:szCs w:val="20"/>
              </w:rPr>
            </w:pPr>
          </w:p>
        </w:tc>
        <w:tc>
          <w:tcPr>
            <w:tcW w:w="502" w:type="pct"/>
          </w:tcPr>
          <w:p w:rsidR="00B72E4D" w:rsidRPr="005F4FCF" w:rsidRDefault="00B72E4D" w:rsidP="00B72E4D">
            <w:pPr>
              <w:spacing w:line="276" w:lineRule="auto"/>
              <w:jc w:val="both"/>
              <w:rPr>
                <w:sz w:val="20"/>
                <w:szCs w:val="20"/>
              </w:rPr>
            </w:pPr>
          </w:p>
        </w:tc>
      </w:tr>
      <w:tr w:rsidR="00B72E4D" w:rsidRPr="005F4FCF" w:rsidTr="00FD6DC8">
        <w:tc>
          <w:tcPr>
            <w:tcW w:w="364" w:type="pct"/>
          </w:tcPr>
          <w:p w:rsidR="00B72E4D" w:rsidRPr="005F4FCF" w:rsidRDefault="00B72E4D" w:rsidP="00B72E4D">
            <w:pPr>
              <w:pStyle w:val="ListParagraph"/>
              <w:numPr>
                <w:ilvl w:val="0"/>
                <w:numId w:val="28"/>
              </w:numPr>
              <w:spacing w:line="276" w:lineRule="auto"/>
              <w:ind w:left="340" w:hanging="170"/>
              <w:jc w:val="both"/>
              <w:rPr>
                <w:sz w:val="20"/>
                <w:szCs w:val="20"/>
              </w:rPr>
            </w:pPr>
          </w:p>
        </w:tc>
        <w:tc>
          <w:tcPr>
            <w:tcW w:w="2320" w:type="pct"/>
          </w:tcPr>
          <w:p w:rsidR="00B72E4D" w:rsidRPr="005F4FCF" w:rsidRDefault="00B72E4D" w:rsidP="00B72E4D">
            <w:pPr>
              <w:rPr>
                <w:sz w:val="20"/>
                <w:szCs w:val="20"/>
              </w:rPr>
            </w:pPr>
            <w:r w:rsidRPr="005F4FCF">
              <w:rPr>
                <w:sz w:val="20"/>
                <w:szCs w:val="20"/>
              </w:rPr>
              <w:t xml:space="preserve">PStoc - </w:t>
            </w:r>
            <w:r w:rsidR="005F4FCF" w:rsidRPr="005F4FCF">
              <w:rPr>
                <w:sz w:val="20"/>
                <w:szCs w:val="20"/>
              </w:rPr>
              <w:t>Ponderea puterii totale aprobate pentru evacuare prin ATR emise pentru racordarea la rețelele electrice de distribuție a unităților de stocare energie, raportată la puterea totală solicitată prin cererile de racordare de acest tip înregistrate de OD</w:t>
            </w:r>
            <w:r w:rsidRPr="005F4FCF">
              <w:rPr>
                <w:sz w:val="20"/>
                <w:szCs w:val="20"/>
              </w:rPr>
              <w:t xml:space="preserve"> [%]</w:t>
            </w:r>
          </w:p>
        </w:tc>
        <w:tc>
          <w:tcPr>
            <w:tcW w:w="364" w:type="pct"/>
          </w:tcPr>
          <w:p w:rsidR="00B72E4D" w:rsidRPr="005F4FCF" w:rsidRDefault="00B72E4D" w:rsidP="00B72E4D">
            <w:pPr>
              <w:spacing w:line="276" w:lineRule="auto"/>
              <w:jc w:val="both"/>
              <w:rPr>
                <w:sz w:val="20"/>
                <w:szCs w:val="20"/>
              </w:rPr>
            </w:pPr>
          </w:p>
        </w:tc>
        <w:tc>
          <w:tcPr>
            <w:tcW w:w="363" w:type="pct"/>
          </w:tcPr>
          <w:p w:rsidR="00B72E4D" w:rsidRPr="005F4FCF" w:rsidRDefault="00B72E4D" w:rsidP="00B72E4D">
            <w:pPr>
              <w:spacing w:line="276" w:lineRule="auto"/>
              <w:jc w:val="both"/>
              <w:rPr>
                <w:sz w:val="20"/>
                <w:szCs w:val="20"/>
              </w:rPr>
            </w:pPr>
          </w:p>
        </w:tc>
        <w:tc>
          <w:tcPr>
            <w:tcW w:w="361" w:type="pct"/>
          </w:tcPr>
          <w:p w:rsidR="00B72E4D" w:rsidRPr="005F4FCF" w:rsidRDefault="00B72E4D" w:rsidP="00B72E4D">
            <w:pPr>
              <w:spacing w:line="276" w:lineRule="auto"/>
              <w:jc w:val="both"/>
              <w:rPr>
                <w:sz w:val="20"/>
                <w:szCs w:val="20"/>
              </w:rPr>
            </w:pPr>
          </w:p>
        </w:tc>
        <w:tc>
          <w:tcPr>
            <w:tcW w:w="362" w:type="pct"/>
          </w:tcPr>
          <w:p w:rsidR="00B72E4D" w:rsidRPr="005F4FCF" w:rsidRDefault="00B72E4D" w:rsidP="00B72E4D">
            <w:pPr>
              <w:spacing w:line="276" w:lineRule="auto"/>
              <w:jc w:val="both"/>
              <w:rPr>
                <w:sz w:val="20"/>
                <w:szCs w:val="20"/>
              </w:rPr>
            </w:pPr>
          </w:p>
        </w:tc>
        <w:tc>
          <w:tcPr>
            <w:tcW w:w="365" w:type="pct"/>
          </w:tcPr>
          <w:p w:rsidR="00B72E4D" w:rsidRPr="005F4FCF" w:rsidRDefault="00B72E4D" w:rsidP="00B72E4D">
            <w:pPr>
              <w:spacing w:line="276" w:lineRule="auto"/>
              <w:jc w:val="both"/>
              <w:rPr>
                <w:sz w:val="20"/>
                <w:szCs w:val="20"/>
              </w:rPr>
            </w:pPr>
          </w:p>
        </w:tc>
        <w:tc>
          <w:tcPr>
            <w:tcW w:w="502" w:type="pct"/>
          </w:tcPr>
          <w:p w:rsidR="00B72E4D" w:rsidRPr="005F4FCF" w:rsidRDefault="00B72E4D" w:rsidP="00B72E4D">
            <w:pPr>
              <w:spacing w:line="276" w:lineRule="auto"/>
              <w:jc w:val="both"/>
              <w:rPr>
                <w:sz w:val="20"/>
                <w:szCs w:val="20"/>
              </w:rPr>
            </w:pPr>
          </w:p>
        </w:tc>
      </w:tr>
      <w:tr w:rsidR="00FD6DC8" w:rsidRPr="005F4FCF" w:rsidTr="00FD6DC8">
        <w:tc>
          <w:tcPr>
            <w:tcW w:w="364" w:type="pct"/>
          </w:tcPr>
          <w:p w:rsidR="00FD6DC8" w:rsidRPr="005F4FCF" w:rsidRDefault="00FD6DC8" w:rsidP="00FD6DC8">
            <w:pPr>
              <w:spacing w:line="276" w:lineRule="auto"/>
              <w:jc w:val="both"/>
              <w:rPr>
                <w:sz w:val="20"/>
                <w:szCs w:val="20"/>
              </w:rPr>
            </w:pPr>
            <w:r w:rsidRPr="005F4FCF">
              <w:rPr>
                <w:sz w:val="20"/>
                <w:szCs w:val="20"/>
              </w:rPr>
              <w:t>5.</w:t>
            </w:r>
          </w:p>
        </w:tc>
        <w:tc>
          <w:tcPr>
            <w:tcW w:w="2319" w:type="pct"/>
          </w:tcPr>
          <w:p w:rsidR="00FD6DC8" w:rsidRPr="005F4FCF" w:rsidRDefault="00FD6DC8" w:rsidP="00437444">
            <w:pPr>
              <w:rPr>
                <w:sz w:val="20"/>
                <w:szCs w:val="20"/>
              </w:rPr>
            </w:pPr>
            <w:r w:rsidRPr="005F4FCF">
              <w:rPr>
                <w:sz w:val="20"/>
                <w:szCs w:val="20"/>
              </w:rPr>
              <w:t xml:space="preserve">NPros - </w:t>
            </w:r>
            <w:r w:rsidR="005F4FCF" w:rsidRPr="005F4FCF">
              <w:rPr>
                <w:sz w:val="20"/>
                <w:szCs w:val="20"/>
              </w:rPr>
              <w:t xml:space="preserve">Ponderea numărului de prosumatori nou racordaţi în rețelele electrice de distribuție din zona </w:t>
            </w:r>
            <w:r w:rsidR="005F4FCF" w:rsidRPr="005F4FCF">
              <w:rPr>
                <w:sz w:val="20"/>
                <w:szCs w:val="20"/>
              </w:rPr>
              <w:lastRenderedPageBreak/>
              <w:t xml:space="preserve">de concesiune, raportat la numărul cererilor de racordare de acest tip înregistrate de OD </w:t>
            </w:r>
            <w:r w:rsidRPr="005F4FCF">
              <w:rPr>
                <w:sz w:val="20"/>
                <w:szCs w:val="20"/>
              </w:rPr>
              <w:t>[%]</w:t>
            </w:r>
          </w:p>
        </w:tc>
        <w:tc>
          <w:tcPr>
            <w:tcW w:w="364" w:type="pct"/>
          </w:tcPr>
          <w:p w:rsidR="00FD6DC8" w:rsidRPr="005F4FCF" w:rsidRDefault="00FD6DC8" w:rsidP="00437444">
            <w:pPr>
              <w:spacing w:line="276" w:lineRule="auto"/>
              <w:jc w:val="both"/>
              <w:rPr>
                <w:sz w:val="20"/>
                <w:szCs w:val="20"/>
              </w:rPr>
            </w:pPr>
          </w:p>
        </w:tc>
        <w:tc>
          <w:tcPr>
            <w:tcW w:w="363" w:type="pct"/>
          </w:tcPr>
          <w:p w:rsidR="00FD6DC8" w:rsidRPr="005F4FCF" w:rsidRDefault="00FD6DC8" w:rsidP="00437444">
            <w:pPr>
              <w:spacing w:line="276" w:lineRule="auto"/>
              <w:jc w:val="both"/>
              <w:rPr>
                <w:sz w:val="20"/>
                <w:szCs w:val="20"/>
              </w:rPr>
            </w:pPr>
          </w:p>
        </w:tc>
        <w:tc>
          <w:tcPr>
            <w:tcW w:w="361" w:type="pct"/>
          </w:tcPr>
          <w:p w:rsidR="00FD6DC8" w:rsidRPr="005F4FCF" w:rsidRDefault="00FD6DC8" w:rsidP="00437444">
            <w:pPr>
              <w:spacing w:line="276" w:lineRule="auto"/>
              <w:jc w:val="both"/>
              <w:rPr>
                <w:sz w:val="20"/>
                <w:szCs w:val="20"/>
              </w:rPr>
            </w:pPr>
          </w:p>
        </w:tc>
        <w:tc>
          <w:tcPr>
            <w:tcW w:w="362" w:type="pct"/>
          </w:tcPr>
          <w:p w:rsidR="00FD6DC8" w:rsidRPr="005F4FCF" w:rsidRDefault="00FD6DC8" w:rsidP="00437444">
            <w:pPr>
              <w:spacing w:line="276" w:lineRule="auto"/>
              <w:jc w:val="both"/>
              <w:rPr>
                <w:sz w:val="20"/>
                <w:szCs w:val="20"/>
              </w:rPr>
            </w:pPr>
          </w:p>
        </w:tc>
        <w:tc>
          <w:tcPr>
            <w:tcW w:w="365" w:type="pct"/>
          </w:tcPr>
          <w:p w:rsidR="00FD6DC8" w:rsidRPr="005F4FCF" w:rsidRDefault="00FD6DC8" w:rsidP="00437444">
            <w:pPr>
              <w:spacing w:line="276" w:lineRule="auto"/>
              <w:jc w:val="both"/>
              <w:rPr>
                <w:sz w:val="20"/>
                <w:szCs w:val="20"/>
              </w:rPr>
            </w:pPr>
          </w:p>
        </w:tc>
        <w:tc>
          <w:tcPr>
            <w:tcW w:w="503" w:type="pct"/>
          </w:tcPr>
          <w:p w:rsidR="00FD6DC8" w:rsidRPr="005F4FCF" w:rsidRDefault="00FD6DC8" w:rsidP="00437444">
            <w:pPr>
              <w:spacing w:line="276" w:lineRule="auto"/>
              <w:jc w:val="both"/>
              <w:rPr>
                <w:sz w:val="20"/>
                <w:szCs w:val="20"/>
              </w:rPr>
            </w:pPr>
          </w:p>
        </w:tc>
      </w:tr>
      <w:tr w:rsidR="00FD6DC8" w:rsidRPr="005F4FCF" w:rsidTr="00FD6DC8">
        <w:tc>
          <w:tcPr>
            <w:tcW w:w="364" w:type="pct"/>
          </w:tcPr>
          <w:p w:rsidR="00FD6DC8" w:rsidRPr="005F4FCF" w:rsidRDefault="00FD6DC8" w:rsidP="00FD6DC8">
            <w:pPr>
              <w:spacing w:line="276" w:lineRule="auto"/>
              <w:jc w:val="both"/>
              <w:rPr>
                <w:sz w:val="20"/>
                <w:szCs w:val="20"/>
              </w:rPr>
            </w:pPr>
            <w:r w:rsidRPr="005F4FCF">
              <w:rPr>
                <w:sz w:val="20"/>
                <w:szCs w:val="20"/>
              </w:rPr>
              <w:t>6.</w:t>
            </w:r>
          </w:p>
        </w:tc>
        <w:tc>
          <w:tcPr>
            <w:tcW w:w="2319" w:type="pct"/>
          </w:tcPr>
          <w:p w:rsidR="00FD6DC8" w:rsidRPr="005F4FCF" w:rsidRDefault="00FD6DC8" w:rsidP="00437444">
            <w:pPr>
              <w:rPr>
                <w:sz w:val="20"/>
                <w:szCs w:val="20"/>
              </w:rPr>
            </w:pPr>
            <w:r w:rsidRPr="005F4FCF">
              <w:rPr>
                <w:sz w:val="20"/>
                <w:szCs w:val="20"/>
              </w:rPr>
              <w:t xml:space="preserve">PPros - </w:t>
            </w:r>
            <w:r w:rsidR="005F4FCF" w:rsidRPr="005F4FCF">
              <w:rPr>
                <w:sz w:val="20"/>
                <w:szCs w:val="20"/>
              </w:rPr>
              <w:t xml:space="preserve">Ponderea puterii totale aprobate pentru evacuare prosumatorilor nou racordaţi în rețelele electrice de distribuție din zona de concesiune, raportată la puterea totală solicitată prin cererile de racordare de acest tip înregistrate de OD </w:t>
            </w:r>
            <w:r w:rsidRPr="005F4FCF">
              <w:rPr>
                <w:sz w:val="20"/>
                <w:szCs w:val="20"/>
              </w:rPr>
              <w:t>[%]</w:t>
            </w:r>
          </w:p>
        </w:tc>
        <w:tc>
          <w:tcPr>
            <w:tcW w:w="364" w:type="pct"/>
          </w:tcPr>
          <w:p w:rsidR="00FD6DC8" w:rsidRPr="005F4FCF" w:rsidRDefault="00FD6DC8" w:rsidP="00437444">
            <w:pPr>
              <w:spacing w:line="276" w:lineRule="auto"/>
              <w:jc w:val="both"/>
              <w:rPr>
                <w:sz w:val="20"/>
                <w:szCs w:val="20"/>
              </w:rPr>
            </w:pPr>
          </w:p>
        </w:tc>
        <w:tc>
          <w:tcPr>
            <w:tcW w:w="363" w:type="pct"/>
          </w:tcPr>
          <w:p w:rsidR="00FD6DC8" w:rsidRPr="005F4FCF" w:rsidRDefault="00FD6DC8" w:rsidP="00437444">
            <w:pPr>
              <w:spacing w:line="276" w:lineRule="auto"/>
              <w:jc w:val="both"/>
              <w:rPr>
                <w:sz w:val="20"/>
                <w:szCs w:val="20"/>
              </w:rPr>
            </w:pPr>
          </w:p>
        </w:tc>
        <w:tc>
          <w:tcPr>
            <w:tcW w:w="361" w:type="pct"/>
          </w:tcPr>
          <w:p w:rsidR="00FD6DC8" w:rsidRPr="005F4FCF" w:rsidRDefault="00FD6DC8" w:rsidP="00437444">
            <w:pPr>
              <w:spacing w:line="276" w:lineRule="auto"/>
              <w:jc w:val="both"/>
              <w:rPr>
                <w:sz w:val="20"/>
                <w:szCs w:val="20"/>
              </w:rPr>
            </w:pPr>
          </w:p>
        </w:tc>
        <w:tc>
          <w:tcPr>
            <w:tcW w:w="362" w:type="pct"/>
          </w:tcPr>
          <w:p w:rsidR="00FD6DC8" w:rsidRPr="005F4FCF" w:rsidRDefault="00FD6DC8" w:rsidP="00437444">
            <w:pPr>
              <w:spacing w:line="276" w:lineRule="auto"/>
              <w:jc w:val="both"/>
              <w:rPr>
                <w:sz w:val="20"/>
                <w:szCs w:val="20"/>
              </w:rPr>
            </w:pPr>
          </w:p>
        </w:tc>
        <w:tc>
          <w:tcPr>
            <w:tcW w:w="365" w:type="pct"/>
          </w:tcPr>
          <w:p w:rsidR="00FD6DC8" w:rsidRPr="005F4FCF" w:rsidRDefault="00FD6DC8" w:rsidP="00437444">
            <w:pPr>
              <w:spacing w:line="276" w:lineRule="auto"/>
              <w:jc w:val="both"/>
              <w:rPr>
                <w:sz w:val="20"/>
                <w:szCs w:val="20"/>
              </w:rPr>
            </w:pPr>
          </w:p>
        </w:tc>
        <w:tc>
          <w:tcPr>
            <w:tcW w:w="503" w:type="pct"/>
          </w:tcPr>
          <w:p w:rsidR="00FD6DC8" w:rsidRPr="005F4FCF" w:rsidRDefault="00FD6DC8" w:rsidP="00437444">
            <w:pPr>
              <w:spacing w:line="276" w:lineRule="auto"/>
              <w:jc w:val="both"/>
              <w:rPr>
                <w:sz w:val="20"/>
                <w:szCs w:val="20"/>
              </w:rPr>
            </w:pPr>
          </w:p>
        </w:tc>
      </w:tr>
      <w:tr w:rsidR="00B72E4D" w:rsidRPr="000A5B63" w:rsidTr="00FD6DC8">
        <w:tc>
          <w:tcPr>
            <w:tcW w:w="364" w:type="pct"/>
          </w:tcPr>
          <w:p w:rsidR="00B72E4D" w:rsidRPr="00FD6DC8" w:rsidRDefault="00FD6DC8" w:rsidP="00FD6DC8">
            <w:pPr>
              <w:spacing w:line="276" w:lineRule="auto"/>
              <w:jc w:val="both"/>
              <w:rPr>
                <w:sz w:val="20"/>
                <w:szCs w:val="20"/>
              </w:rPr>
            </w:pPr>
            <w:r>
              <w:rPr>
                <w:sz w:val="20"/>
                <w:szCs w:val="20"/>
              </w:rPr>
              <w:t>7.</w:t>
            </w:r>
          </w:p>
        </w:tc>
        <w:tc>
          <w:tcPr>
            <w:tcW w:w="2320" w:type="pct"/>
          </w:tcPr>
          <w:p w:rsidR="00B72E4D" w:rsidRPr="00B72E4D" w:rsidRDefault="00B72E4D" w:rsidP="00B72E4D">
            <w:pPr>
              <w:rPr>
                <w:sz w:val="20"/>
                <w:szCs w:val="20"/>
              </w:rPr>
            </w:pPr>
            <w:r w:rsidRPr="00B72E4D">
              <w:rPr>
                <w:sz w:val="20"/>
                <w:szCs w:val="20"/>
              </w:rPr>
              <w:t>NFlexi - Numărul de produse de servicii de flexibilitate achiziţionate în anul t de OD de la producători, consumatori dispecerizabili, agregatori, alte entități care furnizează servicii de flexibilitate</w:t>
            </w:r>
          </w:p>
        </w:tc>
        <w:tc>
          <w:tcPr>
            <w:tcW w:w="364" w:type="pct"/>
          </w:tcPr>
          <w:p w:rsidR="00B72E4D" w:rsidRPr="000A5B63" w:rsidRDefault="00B72E4D" w:rsidP="00B72E4D">
            <w:pPr>
              <w:spacing w:line="276" w:lineRule="auto"/>
              <w:jc w:val="both"/>
              <w:rPr>
                <w:sz w:val="20"/>
                <w:szCs w:val="20"/>
              </w:rPr>
            </w:pPr>
          </w:p>
        </w:tc>
        <w:tc>
          <w:tcPr>
            <w:tcW w:w="363" w:type="pct"/>
          </w:tcPr>
          <w:p w:rsidR="00B72E4D" w:rsidRPr="000A5B63" w:rsidRDefault="00B72E4D" w:rsidP="00B72E4D">
            <w:pPr>
              <w:spacing w:line="276" w:lineRule="auto"/>
              <w:jc w:val="both"/>
              <w:rPr>
                <w:sz w:val="20"/>
                <w:szCs w:val="20"/>
              </w:rPr>
            </w:pPr>
          </w:p>
        </w:tc>
        <w:tc>
          <w:tcPr>
            <w:tcW w:w="361" w:type="pct"/>
          </w:tcPr>
          <w:p w:rsidR="00B72E4D" w:rsidRPr="000A5B63" w:rsidRDefault="00B72E4D" w:rsidP="00B72E4D">
            <w:pPr>
              <w:spacing w:line="276" w:lineRule="auto"/>
              <w:jc w:val="both"/>
              <w:rPr>
                <w:sz w:val="20"/>
                <w:szCs w:val="20"/>
              </w:rPr>
            </w:pPr>
          </w:p>
        </w:tc>
        <w:tc>
          <w:tcPr>
            <w:tcW w:w="362" w:type="pct"/>
          </w:tcPr>
          <w:p w:rsidR="00B72E4D" w:rsidRPr="000A5B63" w:rsidRDefault="00B72E4D" w:rsidP="00B72E4D">
            <w:pPr>
              <w:spacing w:line="276" w:lineRule="auto"/>
              <w:jc w:val="both"/>
              <w:rPr>
                <w:sz w:val="20"/>
                <w:szCs w:val="20"/>
              </w:rPr>
            </w:pPr>
          </w:p>
        </w:tc>
        <w:tc>
          <w:tcPr>
            <w:tcW w:w="365" w:type="pct"/>
          </w:tcPr>
          <w:p w:rsidR="00B72E4D" w:rsidRPr="000A5B63" w:rsidRDefault="00B72E4D" w:rsidP="00B72E4D">
            <w:pPr>
              <w:spacing w:line="276" w:lineRule="auto"/>
              <w:jc w:val="both"/>
              <w:rPr>
                <w:sz w:val="20"/>
                <w:szCs w:val="20"/>
              </w:rPr>
            </w:pPr>
          </w:p>
        </w:tc>
        <w:tc>
          <w:tcPr>
            <w:tcW w:w="502" w:type="pct"/>
          </w:tcPr>
          <w:p w:rsidR="00B72E4D" w:rsidRPr="000A5B63" w:rsidRDefault="00B72E4D" w:rsidP="00B72E4D">
            <w:pPr>
              <w:spacing w:line="276" w:lineRule="auto"/>
              <w:jc w:val="both"/>
              <w:rPr>
                <w:sz w:val="20"/>
                <w:szCs w:val="20"/>
              </w:rPr>
            </w:pPr>
          </w:p>
        </w:tc>
      </w:tr>
    </w:tbl>
    <w:p w:rsidR="00DA0667" w:rsidRPr="006E39B7" w:rsidRDefault="00DA0667" w:rsidP="00DA0667">
      <w:pPr>
        <w:spacing w:line="276" w:lineRule="auto"/>
        <w:jc w:val="right"/>
        <w:rPr>
          <w:b/>
        </w:rPr>
      </w:pPr>
      <w:bookmarkStart w:id="47" w:name="_Hlk177648564"/>
      <w:bookmarkEnd w:id="45"/>
    </w:p>
    <w:tbl>
      <w:tblPr>
        <w:tblStyle w:val="TableGrid"/>
        <w:tblW w:w="5000" w:type="pct"/>
        <w:tblCellMar>
          <w:left w:w="113" w:type="dxa"/>
          <w:right w:w="113" w:type="dxa"/>
        </w:tblCellMar>
        <w:tblLook w:val="04A0" w:firstRow="1" w:lastRow="0" w:firstColumn="1" w:lastColumn="0" w:noHBand="0" w:noVBand="1"/>
      </w:tblPr>
      <w:tblGrid>
        <w:gridCol w:w="526"/>
        <w:gridCol w:w="3699"/>
        <w:gridCol w:w="661"/>
        <w:gridCol w:w="661"/>
        <w:gridCol w:w="662"/>
        <w:gridCol w:w="661"/>
        <w:gridCol w:w="664"/>
        <w:gridCol w:w="926"/>
        <w:gridCol w:w="1311"/>
      </w:tblGrid>
      <w:tr w:rsidR="00DA0667" w:rsidRPr="006E39B7" w:rsidTr="00B72E4D">
        <w:trPr>
          <w:tblHeader/>
        </w:trPr>
        <w:tc>
          <w:tcPr>
            <w:tcW w:w="269" w:type="pct"/>
            <w:vMerge w:val="restart"/>
            <w:vAlign w:val="center"/>
          </w:tcPr>
          <w:p w:rsidR="00DA0667" w:rsidRPr="006E39B7" w:rsidRDefault="00DA0667" w:rsidP="00CF6127">
            <w:pPr>
              <w:spacing w:line="276" w:lineRule="auto"/>
              <w:jc w:val="center"/>
              <w:rPr>
                <w:b/>
                <w:sz w:val="20"/>
                <w:szCs w:val="20"/>
              </w:rPr>
            </w:pPr>
            <w:r w:rsidRPr="006E39B7">
              <w:rPr>
                <w:b/>
                <w:sz w:val="20"/>
                <w:szCs w:val="20"/>
              </w:rPr>
              <w:t>Nr. crt.</w:t>
            </w:r>
          </w:p>
        </w:tc>
        <w:tc>
          <w:tcPr>
            <w:tcW w:w="1893" w:type="pct"/>
            <w:vMerge w:val="restart"/>
            <w:vAlign w:val="center"/>
          </w:tcPr>
          <w:p w:rsidR="00DA0667" w:rsidRPr="006E39B7" w:rsidRDefault="00DA0667" w:rsidP="00CF6127">
            <w:pPr>
              <w:spacing w:line="276" w:lineRule="auto"/>
              <w:jc w:val="center"/>
              <w:rPr>
                <w:b/>
                <w:sz w:val="20"/>
                <w:szCs w:val="20"/>
              </w:rPr>
            </w:pPr>
            <w:r w:rsidRPr="006E39B7">
              <w:rPr>
                <w:b/>
                <w:sz w:val="20"/>
                <w:szCs w:val="20"/>
              </w:rPr>
              <w:t>Denumire indicator</w:t>
            </w:r>
          </w:p>
        </w:tc>
        <w:tc>
          <w:tcPr>
            <w:tcW w:w="1693" w:type="pct"/>
            <w:gridSpan w:val="5"/>
            <w:vAlign w:val="center"/>
          </w:tcPr>
          <w:p w:rsidR="00DA0667" w:rsidRPr="006E39B7" w:rsidRDefault="00DA0667" w:rsidP="00CF6127">
            <w:pPr>
              <w:spacing w:line="276" w:lineRule="auto"/>
              <w:jc w:val="center"/>
              <w:rPr>
                <w:b/>
                <w:sz w:val="20"/>
                <w:szCs w:val="20"/>
              </w:rPr>
            </w:pPr>
            <w:r w:rsidRPr="006E39B7">
              <w:rPr>
                <w:b/>
                <w:sz w:val="20"/>
                <w:szCs w:val="20"/>
              </w:rPr>
              <w:t>Valoare anuală indicator</w:t>
            </w:r>
          </w:p>
        </w:tc>
        <w:tc>
          <w:tcPr>
            <w:tcW w:w="474" w:type="pct"/>
            <w:vMerge w:val="restart"/>
            <w:vAlign w:val="center"/>
          </w:tcPr>
          <w:p w:rsidR="00DA0667" w:rsidRPr="00C2218A" w:rsidRDefault="00DA0667" w:rsidP="00CF6127">
            <w:pPr>
              <w:spacing w:line="276" w:lineRule="auto"/>
              <w:jc w:val="center"/>
              <w:rPr>
                <w:b/>
                <w:sz w:val="18"/>
                <w:szCs w:val="18"/>
                <w:vertAlign w:val="subscript"/>
              </w:rPr>
            </w:pPr>
            <w:r w:rsidRPr="00C2218A">
              <w:rPr>
                <w:b/>
                <w:sz w:val="18"/>
                <w:szCs w:val="18"/>
              </w:rPr>
              <w:t>I</w:t>
            </w:r>
            <w:r w:rsidRPr="00C2218A">
              <w:rPr>
                <w:b/>
                <w:sz w:val="18"/>
                <w:szCs w:val="18"/>
                <w:vertAlign w:val="subscript"/>
              </w:rPr>
              <w:t>Cd</w:t>
            </w:r>
          </w:p>
          <w:p w:rsidR="00DA0667" w:rsidRPr="00C2218A" w:rsidRDefault="00DA0667" w:rsidP="00CF6127">
            <w:pPr>
              <w:spacing w:line="276" w:lineRule="auto"/>
              <w:jc w:val="center"/>
              <w:rPr>
                <w:b/>
                <w:sz w:val="18"/>
                <w:szCs w:val="18"/>
              </w:rPr>
            </w:pPr>
            <w:r w:rsidRPr="00C2218A">
              <w:rPr>
                <w:b/>
                <w:sz w:val="18"/>
                <w:szCs w:val="18"/>
              </w:rPr>
              <w:t>(art. 1</w:t>
            </w:r>
            <w:r w:rsidR="00DF19D2">
              <w:rPr>
                <w:b/>
                <w:sz w:val="18"/>
                <w:szCs w:val="18"/>
              </w:rPr>
              <w:t>2</w:t>
            </w:r>
            <w:r w:rsidRPr="00C2218A">
              <w:rPr>
                <w:b/>
                <w:sz w:val="18"/>
                <w:szCs w:val="18"/>
              </w:rPr>
              <w:t xml:space="preserve"> alin. (3))</w:t>
            </w:r>
          </w:p>
        </w:tc>
        <w:tc>
          <w:tcPr>
            <w:tcW w:w="671" w:type="pct"/>
            <w:vMerge w:val="restart"/>
            <w:vAlign w:val="center"/>
          </w:tcPr>
          <w:p w:rsidR="00DA0667" w:rsidRPr="00C2218A" w:rsidRDefault="00DA0667" w:rsidP="00CF6127">
            <w:pPr>
              <w:spacing w:line="276" w:lineRule="auto"/>
              <w:jc w:val="center"/>
              <w:rPr>
                <w:b/>
                <w:sz w:val="18"/>
                <w:szCs w:val="18"/>
              </w:rPr>
            </w:pPr>
            <w:r w:rsidRPr="00C2218A">
              <w:rPr>
                <w:b/>
                <w:sz w:val="18"/>
                <w:szCs w:val="18"/>
              </w:rPr>
              <w:t>Valoare țintă aferentă perioadei</w:t>
            </w:r>
          </w:p>
          <w:p w:rsidR="00DA0667" w:rsidRPr="00C2218A" w:rsidRDefault="00DA0667" w:rsidP="00CF6127">
            <w:pPr>
              <w:spacing w:line="276" w:lineRule="auto"/>
              <w:jc w:val="center"/>
              <w:rPr>
                <w:b/>
                <w:sz w:val="18"/>
                <w:szCs w:val="18"/>
              </w:rPr>
            </w:pPr>
            <w:r w:rsidRPr="00C2218A">
              <w:rPr>
                <w:b/>
                <w:sz w:val="18"/>
                <w:szCs w:val="18"/>
              </w:rPr>
              <w:t>V</w:t>
            </w:r>
            <w:r w:rsidRPr="00C2218A">
              <w:rPr>
                <w:b/>
                <w:sz w:val="18"/>
                <w:szCs w:val="18"/>
                <w:vertAlign w:val="subscript"/>
              </w:rPr>
              <w:t>țintă</w:t>
            </w:r>
            <w:r w:rsidRPr="00C2218A">
              <w:rPr>
                <w:b/>
                <w:sz w:val="18"/>
                <w:szCs w:val="18"/>
              </w:rPr>
              <w:t xml:space="preserve"> [%]</w:t>
            </w:r>
          </w:p>
        </w:tc>
      </w:tr>
      <w:tr w:rsidR="00DA0667" w:rsidRPr="006E39B7" w:rsidTr="00B72E4D">
        <w:trPr>
          <w:tblHeader/>
        </w:trPr>
        <w:tc>
          <w:tcPr>
            <w:tcW w:w="269" w:type="pct"/>
            <w:vMerge/>
          </w:tcPr>
          <w:p w:rsidR="00DA0667" w:rsidRPr="006E39B7" w:rsidRDefault="00DA0667" w:rsidP="00CF6127">
            <w:pPr>
              <w:spacing w:line="276" w:lineRule="auto"/>
              <w:jc w:val="both"/>
              <w:rPr>
                <w:b/>
                <w:sz w:val="20"/>
                <w:szCs w:val="20"/>
              </w:rPr>
            </w:pPr>
          </w:p>
        </w:tc>
        <w:tc>
          <w:tcPr>
            <w:tcW w:w="1893" w:type="pct"/>
            <w:vMerge/>
          </w:tcPr>
          <w:p w:rsidR="00DA0667" w:rsidRPr="006E39B7" w:rsidRDefault="00DA0667" w:rsidP="00CF6127">
            <w:pPr>
              <w:spacing w:line="276" w:lineRule="auto"/>
              <w:jc w:val="both"/>
              <w:rPr>
                <w:b/>
                <w:sz w:val="20"/>
                <w:szCs w:val="20"/>
              </w:rPr>
            </w:pPr>
          </w:p>
        </w:tc>
        <w:tc>
          <w:tcPr>
            <w:tcW w:w="338" w:type="pct"/>
            <w:vAlign w:val="center"/>
          </w:tcPr>
          <w:p w:rsidR="00DA0667" w:rsidRPr="006E39B7" w:rsidRDefault="00DA0667" w:rsidP="00CF6127">
            <w:pPr>
              <w:spacing w:line="276" w:lineRule="auto"/>
              <w:jc w:val="center"/>
              <w:rPr>
                <w:b/>
                <w:sz w:val="20"/>
                <w:szCs w:val="20"/>
              </w:rPr>
            </w:pPr>
            <w:r w:rsidRPr="006E39B7">
              <w:rPr>
                <w:b/>
                <w:sz w:val="20"/>
                <w:szCs w:val="20"/>
              </w:rPr>
              <w:t>An</w:t>
            </w:r>
            <w:r w:rsidRPr="006E39B7">
              <w:rPr>
                <w:b/>
                <w:sz w:val="20"/>
                <w:szCs w:val="20"/>
                <w:vertAlign w:val="subscript"/>
              </w:rPr>
              <w:t>t-4</w:t>
            </w:r>
          </w:p>
        </w:tc>
        <w:tc>
          <w:tcPr>
            <w:tcW w:w="338" w:type="pct"/>
            <w:vAlign w:val="center"/>
          </w:tcPr>
          <w:p w:rsidR="00DA0667" w:rsidRPr="006E39B7" w:rsidRDefault="00DA0667" w:rsidP="00CF6127">
            <w:pPr>
              <w:spacing w:line="276" w:lineRule="auto"/>
              <w:jc w:val="center"/>
              <w:rPr>
                <w:b/>
                <w:sz w:val="20"/>
                <w:szCs w:val="20"/>
              </w:rPr>
            </w:pPr>
            <w:r w:rsidRPr="006E39B7">
              <w:rPr>
                <w:b/>
                <w:sz w:val="20"/>
                <w:szCs w:val="20"/>
              </w:rPr>
              <w:t>An</w:t>
            </w:r>
            <w:r w:rsidRPr="006E39B7">
              <w:rPr>
                <w:b/>
                <w:sz w:val="20"/>
                <w:szCs w:val="20"/>
                <w:vertAlign w:val="subscript"/>
              </w:rPr>
              <w:t>t-3</w:t>
            </w:r>
          </w:p>
        </w:tc>
        <w:tc>
          <w:tcPr>
            <w:tcW w:w="339" w:type="pct"/>
            <w:vAlign w:val="center"/>
          </w:tcPr>
          <w:p w:rsidR="00DA0667" w:rsidRPr="006E39B7" w:rsidRDefault="00DA0667" w:rsidP="00CF6127">
            <w:pPr>
              <w:spacing w:line="276" w:lineRule="auto"/>
              <w:jc w:val="center"/>
              <w:rPr>
                <w:b/>
                <w:sz w:val="20"/>
                <w:szCs w:val="20"/>
              </w:rPr>
            </w:pPr>
            <w:r w:rsidRPr="006E39B7">
              <w:rPr>
                <w:b/>
                <w:sz w:val="20"/>
                <w:szCs w:val="20"/>
              </w:rPr>
              <w:t>An</w:t>
            </w:r>
            <w:r w:rsidRPr="006E39B7">
              <w:rPr>
                <w:b/>
                <w:sz w:val="20"/>
                <w:szCs w:val="20"/>
                <w:vertAlign w:val="subscript"/>
              </w:rPr>
              <w:t>t-2</w:t>
            </w:r>
          </w:p>
        </w:tc>
        <w:tc>
          <w:tcPr>
            <w:tcW w:w="338" w:type="pct"/>
            <w:vAlign w:val="center"/>
          </w:tcPr>
          <w:p w:rsidR="00DA0667" w:rsidRPr="006E39B7" w:rsidRDefault="00DA0667" w:rsidP="00CF6127">
            <w:pPr>
              <w:spacing w:line="276" w:lineRule="auto"/>
              <w:jc w:val="center"/>
              <w:rPr>
                <w:b/>
                <w:sz w:val="20"/>
                <w:szCs w:val="20"/>
              </w:rPr>
            </w:pPr>
            <w:r w:rsidRPr="006E39B7">
              <w:rPr>
                <w:b/>
                <w:sz w:val="20"/>
                <w:szCs w:val="20"/>
              </w:rPr>
              <w:t>An</w:t>
            </w:r>
            <w:r w:rsidRPr="006E39B7">
              <w:rPr>
                <w:b/>
                <w:sz w:val="20"/>
                <w:szCs w:val="20"/>
                <w:vertAlign w:val="subscript"/>
              </w:rPr>
              <w:t>t-1</w:t>
            </w:r>
          </w:p>
        </w:tc>
        <w:tc>
          <w:tcPr>
            <w:tcW w:w="340" w:type="pct"/>
            <w:vAlign w:val="center"/>
          </w:tcPr>
          <w:p w:rsidR="00DA0667" w:rsidRPr="006E39B7" w:rsidRDefault="00DA0667" w:rsidP="00CF6127">
            <w:pPr>
              <w:spacing w:line="276" w:lineRule="auto"/>
              <w:jc w:val="center"/>
              <w:rPr>
                <w:b/>
                <w:sz w:val="20"/>
                <w:szCs w:val="20"/>
              </w:rPr>
            </w:pPr>
            <w:r w:rsidRPr="006E39B7">
              <w:rPr>
                <w:b/>
                <w:sz w:val="20"/>
                <w:szCs w:val="20"/>
              </w:rPr>
              <w:t>An</w:t>
            </w:r>
            <w:r w:rsidRPr="006E39B7">
              <w:rPr>
                <w:b/>
                <w:sz w:val="20"/>
                <w:szCs w:val="20"/>
                <w:vertAlign w:val="subscript"/>
              </w:rPr>
              <w:t>t</w:t>
            </w:r>
          </w:p>
        </w:tc>
        <w:tc>
          <w:tcPr>
            <w:tcW w:w="474" w:type="pct"/>
            <w:vMerge/>
          </w:tcPr>
          <w:p w:rsidR="00DA0667" w:rsidRPr="006E39B7" w:rsidRDefault="00DA0667" w:rsidP="00CF6127">
            <w:pPr>
              <w:spacing w:line="276" w:lineRule="auto"/>
              <w:jc w:val="both"/>
              <w:rPr>
                <w:b/>
                <w:sz w:val="20"/>
                <w:szCs w:val="20"/>
              </w:rPr>
            </w:pPr>
          </w:p>
        </w:tc>
        <w:tc>
          <w:tcPr>
            <w:tcW w:w="671" w:type="pct"/>
            <w:vMerge/>
          </w:tcPr>
          <w:p w:rsidR="00DA0667" w:rsidRPr="006E39B7" w:rsidRDefault="00DA0667" w:rsidP="00CF6127">
            <w:pPr>
              <w:spacing w:line="276" w:lineRule="auto"/>
              <w:jc w:val="both"/>
              <w:rPr>
                <w:b/>
                <w:sz w:val="20"/>
                <w:szCs w:val="20"/>
              </w:rPr>
            </w:pPr>
          </w:p>
        </w:tc>
      </w:tr>
      <w:tr w:rsidR="00A4562F" w:rsidRPr="006E39B7" w:rsidTr="00A4562F">
        <w:trPr>
          <w:tblHeader/>
        </w:trPr>
        <w:tc>
          <w:tcPr>
            <w:tcW w:w="269" w:type="pct"/>
            <w:vAlign w:val="center"/>
          </w:tcPr>
          <w:p w:rsidR="00A4562F" w:rsidRPr="006E39B7" w:rsidRDefault="00A4562F" w:rsidP="00A4562F">
            <w:pPr>
              <w:spacing w:line="276" w:lineRule="auto"/>
              <w:jc w:val="center"/>
              <w:rPr>
                <w:b/>
                <w:sz w:val="20"/>
                <w:szCs w:val="20"/>
              </w:rPr>
            </w:pPr>
            <w:r>
              <w:rPr>
                <w:b/>
                <w:sz w:val="20"/>
                <w:szCs w:val="20"/>
              </w:rPr>
              <w:t>1</w:t>
            </w:r>
          </w:p>
        </w:tc>
        <w:tc>
          <w:tcPr>
            <w:tcW w:w="1893" w:type="pct"/>
            <w:vAlign w:val="center"/>
          </w:tcPr>
          <w:p w:rsidR="00A4562F" w:rsidRPr="006E39B7" w:rsidRDefault="00A4562F" w:rsidP="00A4562F">
            <w:pPr>
              <w:spacing w:line="276" w:lineRule="auto"/>
              <w:jc w:val="center"/>
              <w:rPr>
                <w:b/>
                <w:sz w:val="20"/>
                <w:szCs w:val="20"/>
              </w:rPr>
            </w:pPr>
            <w:r>
              <w:rPr>
                <w:b/>
                <w:sz w:val="20"/>
                <w:szCs w:val="20"/>
              </w:rPr>
              <w:t>2</w:t>
            </w:r>
          </w:p>
        </w:tc>
        <w:tc>
          <w:tcPr>
            <w:tcW w:w="338" w:type="pct"/>
            <w:vAlign w:val="center"/>
          </w:tcPr>
          <w:p w:rsidR="00A4562F" w:rsidRPr="006E39B7" w:rsidRDefault="00A4562F" w:rsidP="00A4562F">
            <w:pPr>
              <w:spacing w:line="276" w:lineRule="auto"/>
              <w:jc w:val="center"/>
              <w:rPr>
                <w:b/>
                <w:sz w:val="20"/>
                <w:szCs w:val="20"/>
              </w:rPr>
            </w:pPr>
            <w:r>
              <w:rPr>
                <w:b/>
                <w:sz w:val="20"/>
                <w:szCs w:val="20"/>
              </w:rPr>
              <w:t>3</w:t>
            </w:r>
          </w:p>
        </w:tc>
        <w:tc>
          <w:tcPr>
            <w:tcW w:w="338" w:type="pct"/>
            <w:vAlign w:val="center"/>
          </w:tcPr>
          <w:p w:rsidR="00A4562F" w:rsidRPr="006E39B7" w:rsidRDefault="00A4562F" w:rsidP="00A4562F">
            <w:pPr>
              <w:spacing w:line="276" w:lineRule="auto"/>
              <w:jc w:val="center"/>
              <w:rPr>
                <w:b/>
                <w:sz w:val="20"/>
                <w:szCs w:val="20"/>
              </w:rPr>
            </w:pPr>
            <w:r>
              <w:rPr>
                <w:b/>
                <w:sz w:val="20"/>
                <w:szCs w:val="20"/>
              </w:rPr>
              <w:t>4</w:t>
            </w:r>
          </w:p>
        </w:tc>
        <w:tc>
          <w:tcPr>
            <w:tcW w:w="339" w:type="pct"/>
            <w:vAlign w:val="center"/>
          </w:tcPr>
          <w:p w:rsidR="00A4562F" w:rsidRPr="006E39B7" w:rsidRDefault="00A4562F" w:rsidP="00A4562F">
            <w:pPr>
              <w:spacing w:line="276" w:lineRule="auto"/>
              <w:jc w:val="center"/>
              <w:rPr>
                <w:b/>
                <w:sz w:val="20"/>
                <w:szCs w:val="20"/>
              </w:rPr>
            </w:pPr>
            <w:r>
              <w:rPr>
                <w:b/>
                <w:sz w:val="20"/>
                <w:szCs w:val="20"/>
              </w:rPr>
              <w:t>5</w:t>
            </w:r>
          </w:p>
        </w:tc>
        <w:tc>
          <w:tcPr>
            <w:tcW w:w="338" w:type="pct"/>
            <w:vAlign w:val="center"/>
          </w:tcPr>
          <w:p w:rsidR="00A4562F" w:rsidRPr="006E39B7" w:rsidRDefault="00A4562F" w:rsidP="00A4562F">
            <w:pPr>
              <w:spacing w:line="276" w:lineRule="auto"/>
              <w:jc w:val="center"/>
              <w:rPr>
                <w:b/>
                <w:sz w:val="20"/>
                <w:szCs w:val="20"/>
              </w:rPr>
            </w:pPr>
            <w:r>
              <w:rPr>
                <w:b/>
                <w:sz w:val="20"/>
                <w:szCs w:val="20"/>
              </w:rPr>
              <w:t>6</w:t>
            </w:r>
          </w:p>
        </w:tc>
        <w:tc>
          <w:tcPr>
            <w:tcW w:w="340" w:type="pct"/>
            <w:vAlign w:val="center"/>
          </w:tcPr>
          <w:p w:rsidR="00A4562F" w:rsidRPr="006E39B7" w:rsidRDefault="00A4562F" w:rsidP="00A4562F">
            <w:pPr>
              <w:spacing w:line="276" w:lineRule="auto"/>
              <w:jc w:val="center"/>
              <w:rPr>
                <w:b/>
                <w:sz w:val="20"/>
                <w:szCs w:val="20"/>
              </w:rPr>
            </w:pPr>
            <w:r>
              <w:rPr>
                <w:b/>
                <w:sz w:val="20"/>
                <w:szCs w:val="20"/>
              </w:rPr>
              <w:t>7</w:t>
            </w:r>
          </w:p>
        </w:tc>
        <w:tc>
          <w:tcPr>
            <w:tcW w:w="474" w:type="pct"/>
            <w:vAlign w:val="center"/>
          </w:tcPr>
          <w:p w:rsidR="00A4562F" w:rsidRPr="006E39B7" w:rsidRDefault="00A4562F" w:rsidP="00A4562F">
            <w:pPr>
              <w:spacing w:line="276" w:lineRule="auto"/>
              <w:jc w:val="center"/>
              <w:rPr>
                <w:b/>
                <w:sz w:val="20"/>
                <w:szCs w:val="20"/>
              </w:rPr>
            </w:pPr>
            <w:r>
              <w:rPr>
                <w:b/>
                <w:sz w:val="20"/>
                <w:szCs w:val="20"/>
              </w:rPr>
              <w:t>8</w:t>
            </w:r>
          </w:p>
        </w:tc>
        <w:tc>
          <w:tcPr>
            <w:tcW w:w="671" w:type="pct"/>
            <w:vAlign w:val="center"/>
          </w:tcPr>
          <w:p w:rsidR="00A4562F" w:rsidRPr="006E39B7" w:rsidRDefault="00A4562F" w:rsidP="00A4562F">
            <w:pPr>
              <w:spacing w:line="276" w:lineRule="auto"/>
              <w:jc w:val="center"/>
              <w:rPr>
                <w:b/>
                <w:sz w:val="20"/>
                <w:szCs w:val="20"/>
              </w:rPr>
            </w:pPr>
            <w:r>
              <w:rPr>
                <w:b/>
                <w:sz w:val="20"/>
                <w:szCs w:val="20"/>
              </w:rPr>
              <w:t>9</w:t>
            </w:r>
          </w:p>
        </w:tc>
      </w:tr>
      <w:tr w:rsidR="00DA0667" w:rsidRPr="006E39B7" w:rsidTr="00CA3075">
        <w:tc>
          <w:tcPr>
            <w:tcW w:w="269" w:type="pct"/>
          </w:tcPr>
          <w:p w:rsidR="00DA0667" w:rsidRPr="006E39B7" w:rsidRDefault="00DA0667" w:rsidP="00CF6127">
            <w:pPr>
              <w:spacing w:line="276" w:lineRule="auto"/>
              <w:jc w:val="both"/>
              <w:rPr>
                <w:b/>
                <w:sz w:val="20"/>
                <w:szCs w:val="20"/>
              </w:rPr>
            </w:pPr>
          </w:p>
        </w:tc>
        <w:tc>
          <w:tcPr>
            <w:tcW w:w="4731" w:type="pct"/>
            <w:gridSpan w:val="8"/>
          </w:tcPr>
          <w:p w:rsidR="00DA0667" w:rsidRPr="006E39B7" w:rsidRDefault="00DA0667" w:rsidP="00CF6127">
            <w:pPr>
              <w:spacing w:line="276" w:lineRule="auto"/>
              <w:jc w:val="both"/>
              <w:rPr>
                <w:b/>
                <w:sz w:val="20"/>
                <w:szCs w:val="20"/>
              </w:rPr>
            </w:pPr>
            <w:r w:rsidRPr="006E39B7">
              <w:rPr>
                <w:b/>
                <w:sz w:val="20"/>
                <w:szCs w:val="20"/>
              </w:rPr>
              <w:t>C. Indicatori care reflectă nivelul de digitalizare a rețelelor de distribuție a energiei electrice:</w:t>
            </w:r>
          </w:p>
        </w:tc>
      </w:tr>
      <w:tr w:rsidR="00B72E4D" w:rsidRPr="006E39B7" w:rsidTr="00B72E4D">
        <w:tc>
          <w:tcPr>
            <w:tcW w:w="269" w:type="pct"/>
          </w:tcPr>
          <w:p w:rsidR="00B72E4D" w:rsidRPr="006E39B7" w:rsidRDefault="00B72E4D" w:rsidP="00B72E4D">
            <w:pPr>
              <w:pStyle w:val="ListParagraph"/>
              <w:numPr>
                <w:ilvl w:val="0"/>
                <w:numId w:val="29"/>
              </w:numPr>
              <w:tabs>
                <w:tab w:val="left" w:pos="396"/>
              </w:tabs>
              <w:spacing w:line="276" w:lineRule="auto"/>
              <w:ind w:left="226" w:hanging="113"/>
              <w:jc w:val="both"/>
              <w:rPr>
                <w:sz w:val="20"/>
                <w:szCs w:val="20"/>
              </w:rPr>
            </w:pPr>
          </w:p>
        </w:tc>
        <w:tc>
          <w:tcPr>
            <w:tcW w:w="1893" w:type="pct"/>
          </w:tcPr>
          <w:p w:rsidR="00B72E4D" w:rsidRPr="00B72E4D" w:rsidRDefault="00B72E4D" w:rsidP="00B72E4D">
            <w:pPr>
              <w:rPr>
                <w:sz w:val="20"/>
                <w:szCs w:val="20"/>
              </w:rPr>
            </w:pPr>
            <w:r w:rsidRPr="00B72E4D">
              <w:rPr>
                <w:sz w:val="20"/>
                <w:szCs w:val="20"/>
              </w:rPr>
              <w:t>GrSMI [%] - Gradul de implementare a SMI în zona de concesiune</w:t>
            </w:r>
          </w:p>
        </w:tc>
        <w:tc>
          <w:tcPr>
            <w:tcW w:w="338" w:type="pct"/>
          </w:tcPr>
          <w:p w:rsidR="00B72E4D" w:rsidRPr="006E39B7" w:rsidRDefault="00B72E4D" w:rsidP="00B72E4D">
            <w:pPr>
              <w:spacing w:line="276" w:lineRule="auto"/>
              <w:jc w:val="both"/>
              <w:rPr>
                <w:sz w:val="20"/>
                <w:szCs w:val="20"/>
              </w:rPr>
            </w:pPr>
          </w:p>
        </w:tc>
        <w:tc>
          <w:tcPr>
            <w:tcW w:w="338" w:type="pct"/>
          </w:tcPr>
          <w:p w:rsidR="00B72E4D" w:rsidRPr="006E39B7" w:rsidRDefault="00B72E4D" w:rsidP="00B72E4D">
            <w:pPr>
              <w:spacing w:line="276" w:lineRule="auto"/>
              <w:jc w:val="both"/>
              <w:rPr>
                <w:sz w:val="20"/>
                <w:szCs w:val="20"/>
              </w:rPr>
            </w:pPr>
          </w:p>
        </w:tc>
        <w:tc>
          <w:tcPr>
            <w:tcW w:w="339" w:type="pct"/>
          </w:tcPr>
          <w:p w:rsidR="00B72E4D" w:rsidRPr="006E39B7" w:rsidRDefault="00B72E4D" w:rsidP="00B72E4D">
            <w:pPr>
              <w:spacing w:line="276" w:lineRule="auto"/>
              <w:jc w:val="both"/>
              <w:rPr>
                <w:sz w:val="20"/>
                <w:szCs w:val="20"/>
              </w:rPr>
            </w:pPr>
          </w:p>
        </w:tc>
        <w:tc>
          <w:tcPr>
            <w:tcW w:w="338" w:type="pct"/>
          </w:tcPr>
          <w:p w:rsidR="00B72E4D" w:rsidRPr="006E39B7" w:rsidRDefault="00B72E4D" w:rsidP="00B72E4D">
            <w:pPr>
              <w:spacing w:line="276" w:lineRule="auto"/>
              <w:jc w:val="both"/>
              <w:rPr>
                <w:sz w:val="20"/>
                <w:szCs w:val="20"/>
              </w:rPr>
            </w:pPr>
          </w:p>
        </w:tc>
        <w:tc>
          <w:tcPr>
            <w:tcW w:w="340" w:type="pct"/>
          </w:tcPr>
          <w:p w:rsidR="00B72E4D" w:rsidRPr="006E39B7" w:rsidRDefault="00B72E4D" w:rsidP="00B72E4D">
            <w:pPr>
              <w:spacing w:line="276" w:lineRule="auto"/>
              <w:jc w:val="both"/>
              <w:rPr>
                <w:sz w:val="20"/>
                <w:szCs w:val="20"/>
              </w:rPr>
            </w:pPr>
          </w:p>
        </w:tc>
        <w:tc>
          <w:tcPr>
            <w:tcW w:w="474" w:type="pct"/>
          </w:tcPr>
          <w:p w:rsidR="00B72E4D" w:rsidRPr="006E39B7" w:rsidRDefault="00B72E4D" w:rsidP="00B72E4D">
            <w:pPr>
              <w:spacing w:line="276" w:lineRule="auto"/>
              <w:jc w:val="both"/>
              <w:rPr>
                <w:sz w:val="20"/>
                <w:szCs w:val="20"/>
              </w:rPr>
            </w:pPr>
          </w:p>
        </w:tc>
        <w:tc>
          <w:tcPr>
            <w:tcW w:w="671" w:type="pct"/>
          </w:tcPr>
          <w:p w:rsidR="00B72E4D" w:rsidRPr="006E39B7" w:rsidRDefault="00B72E4D" w:rsidP="00B72E4D">
            <w:pPr>
              <w:spacing w:line="276" w:lineRule="auto"/>
              <w:jc w:val="both"/>
              <w:rPr>
                <w:sz w:val="20"/>
                <w:szCs w:val="20"/>
              </w:rPr>
            </w:pPr>
          </w:p>
        </w:tc>
      </w:tr>
      <w:tr w:rsidR="00B72E4D" w:rsidRPr="006E39B7" w:rsidTr="00B72E4D">
        <w:tc>
          <w:tcPr>
            <w:tcW w:w="269" w:type="pct"/>
          </w:tcPr>
          <w:p w:rsidR="00B72E4D" w:rsidRPr="006E39B7" w:rsidRDefault="00B72E4D" w:rsidP="00B72E4D">
            <w:pPr>
              <w:pStyle w:val="ListParagraph"/>
              <w:numPr>
                <w:ilvl w:val="0"/>
                <w:numId w:val="29"/>
              </w:numPr>
              <w:tabs>
                <w:tab w:val="left" w:pos="396"/>
              </w:tabs>
              <w:spacing w:line="276" w:lineRule="auto"/>
              <w:ind w:left="226" w:hanging="113"/>
              <w:jc w:val="both"/>
              <w:rPr>
                <w:sz w:val="20"/>
                <w:szCs w:val="20"/>
              </w:rPr>
            </w:pPr>
          </w:p>
        </w:tc>
        <w:tc>
          <w:tcPr>
            <w:tcW w:w="1893" w:type="pct"/>
          </w:tcPr>
          <w:p w:rsidR="00B72E4D" w:rsidRPr="00B72E4D" w:rsidRDefault="00B72E4D" w:rsidP="00B72E4D">
            <w:pPr>
              <w:rPr>
                <w:sz w:val="20"/>
                <w:szCs w:val="20"/>
              </w:rPr>
            </w:pPr>
            <w:r w:rsidRPr="00B72E4D">
              <w:rPr>
                <w:sz w:val="20"/>
                <w:szCs w:val="20"/>
              </w:rPr>
              <w:t>ST - Ponderea numărului de stații de transformare sau de conexiune automatizate, aflate în gestiunea OD, care sunt monitorizate de la distanță și/sau care permit acționarea de la distanță a unor echipamente, raportat la numărul total al staţiilor de transformare sau de conexiune din zona de concesiune a OD [%]</w:t>
            </w:r>
          </w:p>
        </w:tc>
        <w:tc>
          <w:tcPr>
            <w:tcW w:w="338" w:type="pct"/>
          </w:tcPr>
          <w:p w:rsidR="00B72E4D" w:rsidRPr="006E39B7" w:rsidRDefault="00B72E4D" w:rsidP="00B72E4D">
            <w:pPr>
              <w:spacing w:line="276" w:lineRule="auto"/>
              <w:jc w:val="both"/>
              <w:rPr>
                <w:sz w:val="20"/>
                <w:szCs w:val="20"/>
              </w:rPr>
            </w:pPr>
          </w:p>
        </w:tc>
        <w:tc>
          <w:tcPr>
            <w:tcW w:w="338" w:type="pct"/>
          </w:tcPr>
          <w:p w:rsidR="00B72E4D" w:rsidRPr="006E39B7" w:rsidRDefault="00B72E4D" w:rsidP="00B72E4D">
            <w:pPr>
              <w:spacing w:line="276" w:lineRule="auto"/>
              <w:jc w:val="both"/>
              <w:rPr>
                <w:sz w:val="20"/>
                <w:szCs w:val="20"/>
              </w:rPr>
            </w:pPr>
          </w:p>
        </w:tc>
        <w:tc>
          <w:tcPr>
            <w:tcW w:w="339" w:type="pct"/>
          </w:tcPr>
          <w:p w:rsidR="00B72E4D" w:rsidRPr="006E39B7" w:rsidRDefault="00B72E4D" w:rsidP="00B72E4D">
            <w:pPr>
              <w:spacing w:line="276" w:lineRule="auto"/>
              <w:jc w:val="both"/>
              <w:rPr>
                <w:sz w:val="20"/>
                <w:szCs w:val="20"/>
              </w:rPr>
            </w:pPr>
          </w:p>
        </w:tc>
        <w:tc>
          <w:tcPr>
            <w:tcW w:w="338" w:type="pct"/>
          </w:tcPr>
          <w:p w:rsidR="00B72E4D" w:rsidRPr="006E39B7" w:rsidRDefault="00B72E4D" w:rsidP="00B72E4D">
            <w:pPr>
              <w:spacing w:line="276" w:lineRule="auto"/>
              <w:jc w:val="both"/>
              <w:rPr>
                <w:sz w:val="20"/>
                <w:szCs w:val="20"/>
              </w:rPr>
            </w:pPr>
          </w:p>
        </w:tc>
        <w:tc>
          <w:tcPr>
            <w:tcW w:w="340" w:type="pct"/>
          </w:tcPr>
          <w:p w:rsidR="00B72E4D" w:rsidRPr="006E39B7" w:rsidRDefault="00B72E4D" w:rsidP="00B72E4D">
            <w:pPr>
              <w:spacing w:line="276" w:lineRule="auto"/>
              <w:jc w:val="both"/>
              <w:rPr>
                <w:sz w:val="20"/>
                <w:szCs w:val="20"/>
              </w:rPr>
            </w:pPr>
          </w:p>
        </w:tc>
        <w:tc>
          <w:tcPr>
            <w:tcW w:w="474" w:type="pct"/>
          </w:tcPr>
          <w:p w:rsidR="00B72E4D" w:rsidRPr="006E39B7" w:rsidRDefault="00B72E4D" w:rsidP="00B72E4D">
            <w:pPr>
              <w:spacing w:line="276" w:lineRule="auto"/>
              <w:jc w:val="both"/>
              <w:rPr>
                <w:sz w:val="20"/>
                <w:szCs w:val="20"/>
              </w:rPr>
            </w:pPr>
          </w:p>
        </w:tc>
        <w:tc>
          <w:tcPr>
            <w:tcW w:w="671" w:type="pct"/>
          </w:tcPr>
          <w:p w:rsidR="00B72E4D" w:rsidRPr="006E39B7" w:rsidRDefault="00B72E4D" w:rsidP="00B72E4D">
            <w:pPr>
              <w:spacing w:line="276" w:lineRule="auto"/>
              <w:jc w:val="both"/>
              <w:rPr>
                <w:sz w:val="20"/>
                <w:szCs w:val="20"/>
              </w:rPr>
            </w:pPr>
          </w:p>
        </w:tc>
      </w:tr>
      <w:tr w:rsidR="00B72E4D" w:rsidRPr="006E39B7" w:rsidTr="00B72E4D">
        <w:tc>
          <w:tcPr>
            <w:tcW w:w="269" w:type="pct"/>
          </w:tcPr>
          <w:p w:rsidR="00B72E4D" w:rsidRPr="006E39B7" w:rsidRDefault="00B72E4D" w:rsidP="00B72E4D">
            <w:pPr>
              <w:pStyle w:val="ListParagraph"/>
              <w:numPr>
                <w:ilvl w:val="0"/>
                <w:numId w:val="29"/>
              </w:numPr>
              <w:tabs>
                <w:tab w:val="left" w:pos="396"/>
              </w:tabs>
              <w:spacing w:line="276" w:lineRule="auto"/>
              <w:ind w:left="226" w:hanging="113"/>
              <w:jc w:val="both"/>
              <w:rPr>
                <w:sz w:val="20"/>
                <w:szCs w:val="20"/>
              </w:rPr>
            </w:pPr>
          </w:p>
        </w:tc>
        <w:tc>
          <w:tcPr>
            <w:tcW w:w="1893" w:type="pct"/>
          </w:tcPr>
          <w:p w:rsidR="00B72E4D" w:rsidRPr="00B72E4D" w:rsidRDefault="00B72E4D" w:rsidP="00B72E4D">
            <w:pPr>
              <w:rPr>
                <w:sz w:val="20"/>
                <w:szCs w:val="20"/>
              </w:rPr>
            </w:pPr>
            <w:r w:rsidRPr="00B72E4D">
              <w:rPr>
                <w:sz w:val="20"/>
                <w:szCs w:val="20"/>
              </w:rPr>
              <w:t>PA - Ponderea numărului de puncte de alimentare automatizate, aflate în gestiunea OD, care sunt monitorizate de la distanță și/sau care permit acționarea de la distanță a unor echipamente, raportat la numărul total al punctelor de alimentare din zona de concesiune a OD [%]</w:t>
            </w:r>
          </w:p>
        </w:tc>
        <w:tc>
          <w:tcPr>
            <w:tcW w:w="338" w:type="pct"/>
          </w:tcPr>
          <w:p w:rsidR="00B72E4D" w:rsidRPr="006E39B7" w:rsidRDefault="00B72E4D" w:rsidP="00B72E4D">
            <w:pPr>
              <w:spacing w:line="276" w:lineRule="auto"/>
              <w:jc w:val="both"/>
              <w:rPr>
                <w:sz w:val="20"/>
                <w:szCs w:val="20"/>
              </w:rPr>
            </w:pPr>
          </w:p>
        </w:tc>
        <w:tc>
          <w:tcPr>
            <w:tcW w:w="338" w:type="pct"/>
          </w:tcPr>
          <w:p w:rsidR="00B72E4D" w:rsidRPr="006E39B7" w:rsidRDefault="00B72E4D" w:rsidP="00B72E4D">
            <w:pPr>
              <w:spacing w:line="276" w:lineRule="auto"/>
              <w:jc w:val="both"/>
              <w:rPr>
                <w:sz w:val="20"/>
                <w:szCs w:val="20"/>
              </w:rPr>
            </w:pPr>
          </w:p>
        </w:tc>
        <w:tc>
          <w:tcPr>
            <w:tcW w:w="339" w:type="pct"/>
          </w:tcPr>
          <w:p w:rsidR="00B72E4D" w:rsidRPr="006E39B7" w:rsidRDefault="00B72E4D" w:rsidP="00B72E4D">
            <w:pPr>
              <w:spacing w:line="276" w:lineRule="auto"/>
              <w:jc w:val="both"/>
              <w:rPr>
                <w:sz w:val="20"/>
                <w:szCs w:val="20"/>
              </w:rPr>
            </w:pPr>
          </w:p>
        </w:tc>
        <w:tc>
          <w:tcPr>
            <w:tcW w:w="338" w:type="pct"/>
          </w:tcPr>
          <w:p w:rsidR="00B72E4D" w:rsidRPr="006E39B7" w:rsidRDefault="00B72E4D" w:rsidP="00B72E4D">
            <w:pPr>
              <w:spacing w:line="276" w:lineRule="auto"/>
              <w:jc w:val="both"/>
              <w:rPr>
                <w:sz w:val="20"/>
                <w:szCs w:val="20"/>
              </w:rPr>
            </w:pPr>
          </w:p>
        </w:tc>
        <w:tc>
          <w:tcPr>
            <w:tcW w:w="340" w:type="pct"/>
          </w:tcPr>
          <w:p w:rsidR="00B72E4D" w:rsidRPr="006E39B7" w:rsidRDefault="00B72E4D" w:rsidP="00B72E4D">
            <w:pPr>
              <w:spacing w:line="276" w:lineRule="auto"/>
              <w:jc w:val="both"/>
              <w:rPr>
                <w:sz w:val="20"/>
                <w:szCs w:val="20"/>
              </w:rPr>
            </w:pPr>
          </w:p>
        </w:tc>
        <w:tc>
          <w:tcPr>
            <w:tcW w:w="474" w:type="pct"/>
          </w:tcPr>
          <w:p w:rsidR="00B72E4D" w:rsidRPr="006E39B7" w:rsidRDefault="00B72E4D" w:rsidP="00B72E4D">
            <w:pPr>
              <w:spacing w:line="276" w:lineRule="auto"/>
              <w:jc w:val="both"/>
              <w:rPr>
                <w:sz w:val="20"/>
                <w:szCs w:val="20"/>
              </w:rPr>
            </w:pPr>
          </w:p>
        </w:tc>
        <w:tc>
          <w:tcPr>
            <w:tcW w:w="671" w:type="pct"/>
          </w:tcPr>
          <w:p w:rsidR="00B72E4D" w:rsidRPr="006E39B7" w:rsidRDefault="00B72E4D" w:rsidP="00B72E4D">
            <w:pPr>
              <w:spacing w:line="276" w:lineRule="auto"/>
              <w:jc w:val="both"/>
              <w:rPr>
                <w:sz w:val="20"/>
                <w:szCs w:val="20"/>
              </w:rPr>
            </w:pPr>
          </w:p>
        </w:tc>
      </w:tr>
      <w:tr w:rsidR="00B72E4D" w:rsidRPr="006E39B7" w:rsidTr="00B72E4D">
        <w:tc>
          <w:tcPr>
            <w:tcW w:w="269" w:type="pct"/>
          </w:tcPr>
          <w:p w:rsidR="00B72E4D" w:rsidRPr="006E39B7" w:rsidRDefault="00B72E4D" w:rsidP="00B72E4D">
            <w:pPr>
              <w:pStyle w:val="ListParagraph"/>
              <w:numPr>
                <w:ilvl w:val="0"/>
                <w:numId w:val="29"/>
              </w:numPr>
              <w:tabs>
                <w:tab w:val="left" w:pos="396"/>
              </w:tabs>
              <w:spacing w:line="276" w:lineRule="auto"/>
              <w:ind w:left="226" w:hanging="113"/>
              <w:jc w:val="both"/>
              <w:rPr>
                <w:sz w:val="20"/>
                <w:szCs w:val="20"/>
              </w:rPr>
            </w:pPr>
          </w:p>
        </w:tc>
        <w:tc>
          <w:tcPr>
            <w:tcW w:w="1893" w:type="pct"/>
          </w:tcPr>
          <w:p w:rsidR="00B72E4D" w:rsidRPr="00B72E4D" w:rsidRDefault="00B72E4D" w:rsidP="00B72E4D">
            <w:pPr>
              <w:rPr>
                <w:sz w:val="20"/>
                <w:szCs w:val="20"/>
              </w:rPr>
            </w:pPr>
            <w:r w:rsidRPr="00B72E4D">
              <w:rPr>
                <w:sz w:val="20"/>
                <w:szCs w:val="20"/>
              </w:rPr>
              <w:t>PT - Ponderea numărului de posturi de transformare, aflate în gestiunea OD, care sunt monitorizate de la distanță și/sau care permit acționarea de la distanță a unor echipamente, raportat la numărul total al posturilor de transformare din zona de concesiune a OD [%]</w:t>
            </w:r>
          </w:p>
        </w:tc>
        <w:tc>
          <w:tcPr>
            <w:tcW w:w="338" w:type="pct"/>
          </w:tcPr>
          <w:p w:rsidR="00B72E4D" w:rsidRPr="006E39B7" w:rsidRDefault="00B72E4D" w:rsidP="00B72E4D">
            <w:pPr>
              <w:spacing w:line="276" w:lineRule="auto"/>
              <w:jc w:val="both"/>
              <w:rPr>
                <w:sz w:val="20"/>
                <w:szCs w:val="20"/>
              </w:rPr>
            </w:pPr>
          </w:p>
        </w:tc>
        <w:tc>
          <w:tcPr>
            <w:tcW w:w="338" w:type="pct"/>
          </w:tcPr>
          <w:p w:rsidR="00B72E4D" w:rsidRPr="006E39B7" w:rsidRDefault="00B72E4D" w:rsidP="00B72E4D">
            <w:pPr>
              <w:spacing w:line="276" w:lineRule="auto"/>
              <w:jc w:val="both"/>
              <w:rPr>
                <w:sz w:val="20"/>
                <w:szCs w:val="20"/>
              </w:rPr>
            </w:pPr>
          </w:p>
        </w:tc>
        <w:tc>
          <w:tcPr>
            <w:tcW w:w="339" w:type="pct"/>
          </w:tcPr>
          <w:p w:rsidR="00B72E4D" w:rsidRPr="006E39B7" w:rsidRDefault="00B72E4D" w:rsidP="00B72E4D">
            <w:pPr>
              <w:spacing w:line="276" w:lineRule="auto"/>
              <w:jc w:val="both"/>
              <w:rPr>
                <w:sz w:val="20"/>
                <w:szCs w:val="20"/>
              </w:rPr>
            </w:pPr>
          </w:p>
        </w:tc>
        <w:tc>
          <w:tcPr>
            <w:tcW w:w="338" w:type="pct"/>
          </w:tcPr>
          <w:p w:rsidR="00B72E4D" w:rsidRPr="006E39B7" w:rsidRDefault="00B72E4D" w:rsidP="00B72E4D">
            <w:pPr>
              <w:spacing w:line="276" w:lineRule="auto"/>
              <w:jc w:val="both"/>
              <w:rPr>
                <w:sz w:val="20"/>
                <w:szCs w:val="20"/>
              </w:rPr>
            </w:pPr>
          </w:p>
        </w:tc>
        <w:tc>
          <w:tcPr>
            <w:tcW w:w="340" w:type="pct"/>
          </w:tcPr>
          <w:p w:rsidR="00B72E4D" w:rsidRPr="006E39B7" w:rsidRDefault="00B72E4D" w:rsidP="00B72E4D">
            <w:pPr>
              <w:spacing w:line="276" w:lineRule="auto"/>
              <w:jc w:val="both"/>
              <w:rPr>
                <w:sz w:val="20"/>
                <w:szCs w:val="20"/>
              </w:rPr>
            </w:pPr>
          </w:p>
        </w:tc>
        <w:tc>
          <w:tcPr>
            <w:tcW w:w="474" w:type="pct"/>
          </w:tcPr>
          <w:p w:rsidR="00B72E4D" w:rsidRPr="006E39B7" w:rsidRDefault="00B72E4D" w:rsidP="00B72E4D">
            <w:pPr>
              <w:spacing w:line="276" w:lineRule="auto"/>
              <w:jc w:val="both"/>
              <w:rPr>
                <w:sz w:val="20"/>
                <w:szCs w:val="20"/>
              </w:rPr>
            </w:pPr>
          </w:p>
        </w:tc>
        <w:tc>
          <w:tcPr>
            <w:tcW w:w="671" w:type="pct"/>
          </w:tcPr>
          <w:p w:rsidR="00B72E4D" w:rsidRPr="006E39B7" w:rsidRDefault="00B72E4D" w:rsidP="00B72E4D">
            <w:pPr>
              <w:spacing w:line="276" w:lineRule="auto"/>
              <w:jc w:val="both"/>
              <w:rPr>
                <w:sz w:val="20"/>
                <w:szCs w:val="20"/>
              </w:rPr>
            </w:pPr>
          </w:p>
        </w:tc>
      </w:tr>
      <w:tr w:rsidR="00B72E4D" w:rsidRPr="006E39B7" w:rsidTr="00B72E4D">
        <w:tc>
          <w:tcPr>
            <w:tcW w:w="269" w:type="pct"/>
          </w:tcPr>
          <w:p w:rsidR="00B72E4D" w:rsidRPr="006E39B7" w:rsidRDefault="00B72E4D" w:rsidP="00B72E4D">
            <w:pPr>
              <w:pStyle w:val="ListParagraph"/>
              <w:numPr>
                <w:ilvl w:val="0"/>
                <w:numId w:val="29"/>
              </w:numPr>
              <w:tabs>
                <w:tab w:val="left" w:pos="396"/>
              </w:tabs>
              <w:spacing w:line="276" w:lineRule="auto"/>
              <w:ind w:left="226" w:hanging="113"/>
              <w:jc w:val="both"/>
              <w:rPr>
                <w:sz w:val="20"/>
                <w:szCs w:val="20"/>
              </w:rPr>
            </w:pPr>
          </w:p>
        </w:tc>
        <w:tc>
          <w:tcPr>
            <w:tcW w:w="1893" w:type="pct"/>
          </w:tcPr>
          <w:p w:rsidR="00B72E4D" w:rsidRPr="00B72E4D" w:rsidRDefault="00B72E4D" w:rsidP="00B72E4D">
            <w:pPr>
              <w:rPr>
                <w:sz w:val="20"/>
                <w:szCs w:val="20"/>
              </w:rPr>
            </w:pPr>
            <w:r w:rsidRPr="00B72E4D">
              <w:rPr>
                <w:sz w:val="20"/>
                <w:szCs w:val="20"/>
              </w:rPr>
              <w:t>TrafoIT/MT - Ponderea numărului de transformatoare IT/MT automatizate și/sau care permit acționarea de la distanță, raportat la numărul total al transformatoarelor IT/MT din zona de concesiune a OD [%]</w:t>
            </w:r>
          </w:p>
        </w:tc>
        <w:tc>
          <w:tcPr>
            <w:tcW w:w="338" w:type="pct"/>
          </w:tcPr>
          <w:p w:rsidR="00B72E4D" w:rsidRPr="006E39B7" w:rsidRDefault="00B72E4D" w:rsidP="00B72E4D">
            <w:pPr>
              <w:spacing w:line="276" w:lineRule="auto"/>
              <w:jc w:val="both"/>
              <w:rPr>
                <w:sz w:val="20"/>
                <w:szCs w:val="20"/>
              </w:rPr>
            </w:pPr>
          </w:p>
        </w:tc>
        <w:tc>
          <w:tcPr>
            <w:tcW w:w="338" w:type="pct"/>
          </w:tcPr>
          <w:p w:rsidR="00B72E4D" w:rsidRPr="006E39B7" w:rsidRDefault="00B72E4D" w:rsidP="00B72E4D">
            <w:pPr>
              <w:spacing w:line="276" w:lineRule="auto"/>
              <w:jc w:val="both"/>
              <w:rPr>
                <w:sz w:val="20"/>
                <w:szCs w:val="20"/>
              </w:rPr>
            </w:pPr>
          </w:p>
        </w:tc>
        <w:tc>
          <w:tcPr>
            <w:tcW w:w="339" w:type="pct"/>
          </w:tcPr>
          <w:p w:rsidR="00B72E4D" w:rsidRPr="006E39B7" w:rsidRDefault="00B72E4D" w:rsidP="00B72E4D">
            <w:pPr>
              <w:spacing w:line="276" w:lineRule="auto"/>
              <w:jc w:val="both"/>
              <w:rPr>
                <w:sz w:val="20"/>
                <w:szCs w:val="20"/>
              </w:rPr>
            </w:pPr>
          </w:p>
        </w:tc>
        <w:tc>
          <w:tcPr>
            <w:tcW w:w="338" w:type="pct"/>
          </w:tcPr>
          <w:p w:rsidR="00B72E4D" w:rsidRPr="006E39B7" w:rsidRDefault="00B72E4D" w:rsidP="00B72E4D">
            <w:pPr>
              <w:spacing w:line="276" w:lineRule="auto"/>
              <w:jc w:val="both"/>
              <w:rPr>
                <w:sz w:val="20"/>
                <w:szCs w:val="20"/>
              </w:rPr>
            </w:pPr>
          </w:p>
        </w:tc>
        <w:tc>
          <w:tcPr>
            <w:tcW w:w="340" w:type="pct"/>
          </w:tcPr>
          <w:p w:rsidR="00B72E4D" w:rsidRPr="006E39B7" w:rsidRDefault="00B72E4D" w:rsidP="00B72E4D">
            <w:pPr>
              <w:spacing w:line="276" w:lineRule="auto"/>
              <w:jc w:val="both"/>
              <w:rPr>
                <w:sz w:val="20"/>
                <w:szCs w:val="20"/>
              </w:rPr>
            </w:pPr>
          </w:p>
        </w:tc>
        <w:tc>
          <w:tcPr>
            <w:tcW w:w="474" w:type="pct"/>
          </w:tcPr>
          <w:p w:rsidR="00B72E4D" w:rsidRPr="006E39B7" w:rsidRDefault="00B72E4D" w:rsidP="00B72E4D">
            <w:pPr>
              <w:spacing w:line="276" w:lineRule="auto"/>
              <w:jc w:val="both"/>
              <w:rPr>
                <w:sz w:val="20"/>
                <w:szCs w:val="20"/>
              </w:rPr>
            </w:pPr>
          </w:p>
        </w:tc>
        <w:tc>
          <w:tcPr>
            <w:tcW w:w="671" w:type="pct"/>
          </w:tcPr>
          <w:p w:rsidR="00B72E4D" w:rsidRPr="006E39B7" w:rsidRDefault="00B72E4D" w:rsidP="00B72E4D">
            <w:pPr>
              <w:spacing w:line="276" w:lineRule="auto"/>
              <w:jc w:val="both"/>
              <w:rPr>
                <w:sz w:val="20"/>
                <w:szCs w:val="20"/>
              </w:rPr>
            </w:pPr>
          </w:p>
        </w:tc>
      </w:tr>
      <w:tr w:rsidR="00B72E4D" w:rsidRPr="006E39B7" w:rsidTr="00B72E4D">
        <w:tc>
          <w:tcPr>
            <w:tcW w:w="269" w:type="pct"/>
          </w:tcPr>
          <w:p w:rsidR="00B72E4D" w:rsidRPr="006E39B7" w:rsidRDefault="00B72E4D" w:rsidP="00B72E4D">
            <w:pPr>
              <w:pStyle w:val="ListParagraph"/>
              <w:numPr>
                <w:ilvl w:val="0"/>
                <w:numId w:val="29"/>
              </w:numPr>
              <w:tabs>
                <w:tab w:val="left" w:pos="396"/>
              </w:tabs>
              <w:spacing w:line="276" w:lineRule="auto"/>
              <w:ind w:left="226" w:hanging="113"/>
              <w:jc w:val="both"/>
              <w:rPr>
                <w:sz w:val="20"/>
                <w:szCs w:val="20"/>
              </w:rPr>
            </w:pPr>
          </w:p>
        </w:tc>
        <w:tc>
          <w:tcPr>
            <w:tcW w:w="1893" w:type="pct"/>
          </w:tcPr>
          <w:p w:rsidR="00B72E4D" w:rsidRPr="00B72E4D" w:rsidRDefault="00B72E4D" w:rsidP="00B72E4D">
            <w:pPr>
              <w:rPr>
                <w:sz w:val="20"/>
                <w:szCs w:val="20"/>
              </w:rPr>
            </w:pPr>
            <w:r w:rsidRPr="00B72E4D">
              <w:rPr>
                <w:sz w:val="20"/>
                <w:szCs w:val="20"/>
              </w:rPr>
              <w:t>TrafoMT/JT - Ponderea numărului de transformatoare MT/JT automatizate și/sau care permit acționarea de la distanță, raportat la numărul total al transformatoarelor MT/JT din zona de concesiune a OD [%]</w:t>
            </w:r>
          </w:p>
        </w:tc>
        <w:tc>
          <w:tcPr>
            <w:tcW w:w="338" w:type="pct"/>
          </w:tcPr>
          <w:p w:rsidR="00B72E4D" w:rsidRPr="006E39B7" w:rsidRDefault="00B72E4D" w:rsidP="00B72E4D">
            <w:pPr>
              <w:spacing w:line="276" w:lineRule="auto"/>
              <w:jc w:val="both"/>
              <w:rPr>
                <w:sz w:val="20"/>
                <w:szCs w:val="20"/>
              </w:rPr>
            </w:pPr>
          </w:p>
        </w:tc>
        <w:tc>
          <w:tcPr>
            <w:tcW w:w="338" w:type="pct"/>
          </w:tcPr>
          <w:p w:rsidR="00B72E4D" w:rsidRPr="006E39B7" w:rsidRDefault="00B72E4D" w:rsidP="00B72E4D">
            <w:pPr>
              <w:spacing w:line="276" w:lineRule="auto"/>
              <w:jc w:val="both"/>
              <w:rPr>
                <w:sz w:val="20"/>
                <w:szCs w:val="20"/>
              </w:rPr>
            </w:pPr>
          </w:p>
        </w:tc>
        <w:tc>
          <w:tcPr>
            <w:tcW w:w="339" w:type="pct"/>
          </w:tcPr>
          <w:p w:rsidR="00B72E4D" w:rsidRPr="006E39B7" w:rsidRDefault="00B72E4D" w:rsidP="00B72E4D">
            <w:pPr>
              <w:spacing w:line="276" w:lineRule="auto"/>
              <w:jc w:val="both"/>
              <w:rPr>
                <w:sz w:val="20"/>
                <w:szCs w:val="20"/>
              </w:rPr>
            </w:pPr>
          </w:p>
        </w:tc>
        <w:tc>
          <w:tcPr>
            <w:tcW w:w="338" w:type="pct"/>
          </w:tcPr>
          <w:p w:rsidR="00B72E4D" w:rsidRPr="006E39B7" w:rsidRDefault="00B72E4D" w:rsidP="00B72E4D">
            <w:pPr>
              <w:spacing w:line="276" w:lineRule="auto"/>
              <w:jc w:val="both"/>
              <w:rPr>
                <w:sz w:val="20"/>
                <w:szCs w:val="20"/>
              </w:rPr>
            </w:pPr>
          </w:p>
        </w:tc>
        <w:tc>
          <w:tcPr>
            <w:tcW w:w="340" w:type="pct"/>
          </w:tcPr>
          <w:p w:rsidR="00B72E4D" w:rsidRPr="006E39B7" w:rsidRDefault="00B72E4D" w:rsidP="00B72E4D">
            <w:pPr>
              <w:spacing w:line="276" w:lineRule="auto"/>
              <w:jc w:val="both"/>
              <w:rPr>
                <w:sz w:val="20"/>
                <w:szCs w:val="20"/>
              </w:rPr>
            </w:pPr>
          </w:p>
        </w:tc>
        <w:tc>
          <w:tcPr>
            <w:tcW w:w="474" w:type="pct"/>
          </w:tcPr>
          <w:p w:rsidR="00B72E4D" w:rsidRPr="006E39B7" w:rsidRDefault="00B72E4D" w:rsidP="00B72E4D">
            <w:pPr>
              <w:spacing w:line="276" w:lineRule="auto"/>
              <w:jc w:val="both"/>
              <w:rPr>
                <w:sz w:val="20"/>
                <w:szCs w:val="20"/>
              </w:rPr>
            </w:pPr>
          </w:p>
        </w:tc>
        <w:tc>
          <w:tcPr>
            <w:tcW w:w="671" w:type="pct"/>
          </w:tcPr>
          <w:p w:rsidR="00B72E4D" w:rsidRPr="006E39B7" w:rsidRDefault="00B72E4D" w:rsidP="00B72E4D">
            <w:pPr>
              <w:spacing w:line="276" w:lineRule="auto"/>
              <w:jc w:val="both"/>
              <w:rPr>
                <w:sz w:val="20"/>
                <w:szCs w:val="20"/>
              </w:rPr>
            </w:pPr>
          </w:p>
        </w:tc>
      </w:tr>
      <w:bookmarkEnd w:id="47"/>
    </w:tbl>
    <w:p w:rsidR="00DA0667" w:rsidRPr="006E39B7" w:rsidRDefault="00DA0667" w:rsidP="00DA0667">
      <w:pPr>
        <w:spacing w:line="276" w:lineRule="auto"/>
        <w:jc w:val="both"/>
        <w:rPr>
          <w:sz w:val="20"/>
          <w:szCs w:val="20"/>
        </w:rPr>
      </w:pPr>
    </w:p>
    <w:p w:rsidR="008A028E" w:rsidRDefault="008A028E" w:rsidP="008A028E">
      <w:pPr>
        <w:spacing w:line="276" w:lineRule="auto"/>
        <w:jc w:val="right"/>
        <w:rPr>
          <w:b/>
        </w:rPr>
      </w:pPr>
      <w:r w:rsidRPr="00661F0E">
        <w:rPr>
          <w:b/>
        </w:rPr>
        <w:t>ANEXA nr. 2</w:t>
      </w:r>
      <w:r>
        <w:rPr>
          <w:b/>
        </w:rPr>
        <w:t>.2</w:t>
      </w:r>
    </w:p>
    <w:p w:rsidR="00DA0667" w:rsidRPr="006E39B7" w:rsidRDefault="00DA0667" w:rsidP="00DA0667">
      <w:pPr>
        <w:spacing w:line="276" w:lineRule="auto"/>
        <w:jc w:val="center"/>
        <w:rPr>
          <w:b/>
        </w:rPr>
      </w:pPr>
      <w:r w:rsidRPr="006E39B7">
        <w:rPr>
          <w:b/>
        </w:rPr>
        <w:t xml:space="preserve">Indicatori de performanță </w:t>
      </w:r>
      <w:r w:rsidR="00723DBD" w:rsidRPr="00723DBD">
        <w:rPr>
          <w:b/>
        </w:rPr>
        <w:t xml:space="preserve">în legătură cu dezvoltarea unei reţele electrice </w:t>
      </w:r>
      <w:r w:rsidR="00723DBD">
        <w:rPr>
          <w:b/>
        </w:rPr>
        <w:t xml:space="preserve">de transport </w:t>
      </w:r>
      <w:r w:rsidR="00E56539">
        <w:rPr>
          <w:b/>
        </w:rPr>
        <w:t xml:space="preserve">inteligente </w:t>
      </w:r>
      <w:r w:rsidR="00723DBD" w:rsidRPr="00723DBD">
        <w:rPr>
          <w:b/>
        </w:rPr>
        <w:t>care să promoveze eficienţa energetică şi integrarea energiei electrice produse din surse regenerabile</w:t>
      </w:r>
    </w:p>
    <w:p w:rsidR="00DA0667" w:rsidRPr="006E39B7" w:rsidRDefault="00DA0667" w:rsidP="00DA0667">
      <w:pPr>
        <w:spacing w:line="276" w:lineRule="auto"/>
        <w:jc w:val="right"/>
        <w:rPr>
          <w:b/>
        </w:rPr>
      </w:pPr>
    </w:p>
    <w:tbl>
      <w:tblPr>
        <w:tblStyle w:val="TableGrid"/>
        <w:tblW w:w="5000" w:type="pct"/>
        <w:tblCellMar>
          <w:left w:w="113" w:type="dxa"/>
          <w:right w:w="113" w:type="dxa"/>
        </w:tblCellMar>
        <w:tblLook w:val="04A0" w:firstRow="1" w:lastRow="0" w:firstColumn="1" w:lastColumn="0" w:noHBand="0" w:noVBand="1"/>
      </w:tblPr>
      <w:tblGrid>
        <w:gridCol w:w="561"/>
        <w:gridCol w:w="4850"/>
        <w:gridCol w:w="688"/>
        <w:gridCol w:w="688"/>
        <w:gridCol w:w="688"/>
        <w:gridCol w:w="686"/>
        <w:gridCol w:w="645"/>
        <w:gridCol w:w="965"/>
      </w:tblGrid>
      <w:tr w:rsidR="00DA0667" w:rsidRPr="006E39B7" w:rsidTr="00CA3075">
        <w:trPr>
          <w:tblHeader/>
        </w:trPr>
        <w:tc>
          <w:tcPr>
            <w:tcW w:w="287" w:type="pct"/>
            <w:vMerge w:val="restart"/>
            <w:vAlign w:val="center"/>
          </w:tcPr>
          <w:p w:rsidR="00DA0667" w:rsidRPr="006E39B7" w:rsidRDefault="00DA0667" w:rsidP="00CF6127">
            <w:pPr>
              <w:spacing w:line="276" w:lineRule="auto"/>
              <w:jc w:val="center"/>
              <w:rPr>
                <w:b/>
                <w:sz w:val="20"/>
                <w:szCs w:val="20"/>
              </w:rPr>
            </w:pPr>
            <w:r w:rsidRPr="006E39B7">
              <w:rPr>
                <w:b/>
                <w:sz w:val="20"/>
                <w:szCs w:val="20"/>
              </w:rPr>
              <w:t>Nr. crt.</w:t>
            </w:r>
          </w:p>
        </w:tc>
        <w:tc>
          <w:tcPr>
            <w:tcW w:w="2482" w:type="pct"/>
            <w:vMerge w:val="restart"/>
            <w:vAlign w:val="center"/>
          </w:tcPr>
          <w:p w:rsidR="00DA0667" w:rsidRPr="006E39B7" w:rsidRDefault="00DA0667" w:rsidP="00CF6127">
            <w:pPr>
              <w:spacing w:line="276" w:lineRule="auto"/>
              <w:jc w:val="center"/>
              <w:rPr>
                <w:b/>
                <w:sz w:val="20"/>
                <w:szCs w:val="20"/>
              </w:rPr>
            </w:pPr>
            <w:r w:rsidRPr="006E39B7">
              <w:rPr>
                <w:b/>
                <w:sz w:val="20"/>
                <w:szCs w:val="20"/>
              </w:rPr>
              <w:t>Denumire indicator</w:t>
            </w:r>
          </w:p>
        </w:tc>
        <w:tc>
          <w:tcPr>
            <w:tcW w:w="1737" w:type="pct"/>
            <w:gridSpan w:val="5"/>
            <w:vAlign w:val="center"/>
          </w:tcPr>
          <w:p w:rsidR="00DA0667" w:rsidRPr="006E39B7" w:rsidRDefault="00DA0667" w:rsidP="00CF6127">
            <w:pPr>
              <w:spacing w:line="276" w:lineRule="auto"/>
              <w:jc w:val="center"/>
              <w:rPr>
                <w:b/>
                <w:sz w:val="20"/>
                <w:szCs w:val="20"/>
              </w:rPr>
            </w:pPr>
            <w:r w:rsidRPr="006E39B7">
              <w:rPr>
                <w:b/>
                <w:sz w:val="20"/>
                <w:szCs w:val="20"/>
              </w:rPr>
              <w:t>Valoare anuală indicator</w:t>
            </w:r>
          </w:p>
        </w:tc>
        <w:tc>
          <w:tcPr>
            <w:tcW w:w="494" w:type="pct"/>
            <w:vMerge w:val="restart"/>
            <w:vAlign w:val="center"/>
          </w:tcPr>
          <w:p w:rsidR="00DA0667" w:rsidRPr="006E39B7" w:rsidRDefault="00DA0667" w:rsidP="00CF6127">
            <w:pPr>
              <w:spacing w:line="276" w:lineRule="auto"/>
              <w:jc w:val="center"/>
              <w:rPr>
                <w:b/>
                <w:sz w:val="20"/>
                <w:szCs w:val="20"/>
              </w:rPr>
            </w:pPr>
            <w:r w:rsidRPr="000879AC">
              <w:rPr>
                <w:b/>
                <w:sz w:val="20"/>
                <w:szCs w:val="20"/>
              </w:rPr>
              <w:t>Valoare ind. perf.</w:t>
            </w:r>
          </w:p>
        </w:tc>
      </w:tr>
      <w:tr w:rsidR="00DA0667" w:rsidRPr="006E39B7" w:rsidTr="00CA3075">
        <w:trPr>
          <w:tblHeader/>
        </w:trPr>
        <w:tc>
          <w:tcPr>
            <w:tcW w:w="287" w:type="pct"/>
            <w:vMerge/>
          </w:tcPr>
          <w:p w:rsidR="00DA0667" w:rsidRPr="006E39B7" w:rsidRDefault="00DA0667" w:rsidP="00CF6127">
            <w:pPr>
              <w:spacing w:line="276" w:lineRule="auto"/>
              <w:jc w:val="both"/>
              <w:rPr>
                <w:b/>
                <w:sz w:val="20"/>
                <w:szCs w:val="20"/>
              </w:rPr>
            </w:pPr>
          </w:p>
        </w:tc>
        <w:tc>
          <w:tcPr>
            <w:tcW w:w="2482" w:type="pct"/>
            <w:vMerge/>
          </w:tcPr>
          <w:p w:rsidR="00DA0667" w:rsidRPr="006E39B7" w:rsidRDefault="00DA0667" w:rsidP="00CF6127">
            <w:pPr>
              <w:spacing w:line="276" w:lineRule="auto"/>
              <w:jc w:val="both"/>
              <w:rPr>
                <w:b/>
                <w:sz w:val="20"/>
                <w:szCs w:val="20"/>
              </w:rPr>
            </w:pPr>
          </w:p>
        </w:tc>
        <w:tc>
          <w:tcPr>
            <w:tcW w:w="352" w:type="pct"/>
            <w:vAlign w:val="center"/>
          </w:tcPr>
          <w:p w:rsidR="00DA0667" w:rsidRPr="006E39B7" w:rsidRDefault="00DA0667" w:rsidP="00CF6127">
            <w:pPr>
              <w:spacing w:line="276" w:lineRule="auto"/>
              <w:jc w:val="center"/>
              <w:rPr>
                <w:b/>
                <w:sz w:val="20"/>
                <w:szCs w:val="20"/>
              </w:rPr>
            </w:pPr>
            <w:r w:rsidRPr="006E39B7">
              <w:rPr>
                <w:b/>
                <w:sz w:val="20"/>
                <w:szCs w:val="20"/>
              </w:rPr>
              <w:t>An</w:t>
            </w:r>
            <w:r w:rsidRPr="006E39B7">
              <w:rPr>
                <w:b/>
                <w:sz w:val="20"/>
                <w:szCs w:val="20"/>
                <w:vertAlign w:val="subscript"/>
              </w:rPr>
              <w:t>t-4</w:t>
            </w:r>
          </w:p>
        </w:tc>
        <w:tc>
          <w:tcPr>
            <w:tcW w:w="352" w:type="pct"/>
            <w:vAlign w:val="center"/>
          </w:tcPr>
          <w:p w:rsidR="00DA0667" w:rsidRPr="006E39B7" w:rsidRDefault="00DA0667" w:rsidP="00CF6127">
            <w:pPr>
              <w:spacing w:line="276" w:lineRule="auto"/>
              <w:jc w:val="center"/>
              <w:rPr>
                <w:b/>
                <w:sz w:val="20"/>
                <w:szCs w:val="20"/>
              </w:rPr>
            </w:pPr>
            <w:r w:rsidRPr="006E39B7">
              <w:rPr>
                <w:b/>
                <w:sz w:val="20"/>
                <w:szCs w:val="20"/>
              </w:rPr>
              <w:t>An</w:t>
            </w:r>
            <w:r w:rsidRPr="006E39B7">
              <w:rPr>
                <w:b/>
                <w:sz w:val="20"/>
                <w:szCs w:val="20"/>
                <w:vertAlign w:val="subscript"/>
              </w:rPr>
              <w:t>t-3</w:t>
            </w:r>
          </w:p>
        </w:tc>
        <w:tc>
          <w:tcPr>
            <w:tcW w:w="352" w:type="pct"/>
            <w:vAlign w:val="center"/>
          </w:tcPr>
          <w:p w:rsidR="00DA0667" w:rsidRPr="006E39B7" w:rsidRDefault="00DA0667" w:rsidP="00CF6127">
            <w:pPr>
              <w:spacing w:line="276" w:lineRule="auto"/>
              <w:jc w:val="center"/>
              <w:rPr>
                <w:b/>
                <w:sz w:val="20"/>
                <w:szCs w:val="20"/>
              </w:rPr>
            </w:pPr>
            <w:r w:rsidRPr="006E39B7">
              <w:rPr>
                <w:b/>
                <w:sz w:val="20"/>
                <w:szCs w:val="20"/>
              </w:rPr>
              <w:t>An</w:t>
            </w:r>
            <w:r w:rsidRPr="006E39B7">
              <w:rPr>
                <w:b/>
                <w:sz w:val="20"/>
                <w:szCs w:val="20"/>
                <w:vertAlign w:val="subscript"/>
              </w:rPr>
              <w:t>t-2</w:t>
            </w:r>
          </w:p>
        </w:tc>
        <w:tc>
          <w:tcPr>
            <w:tcW w:w="351" w:type="pct"/>
            <w:vAlign w:val="center"/>
          </w:tcPr>
          <w:p w:rsidR="00DA0667" w:rsidRPr="006E39B7" w:rsidRDefault="00DA0667" w:rsidP="00CF6127">
            <w:pPr>
              <w:spacing w:line="276" w:lineRule="auto"/>
              <w:jc w:val="center"/>
              <w:rPr>
                <w:b/>
                <w:sz w:val="20"/>
                <w:szCs w:val="20"/>
              </w:rPr>
            </w:pPr>
            <w:r w:rsidRPr="006E39B7">
              <w:rPr>
                <w:b/>
                <w:sz w:val="20"/>
                <w:szCs w:val="20"/>
              </w:rPr>
              <w:t>An</w:t>
            </w:r>
            <w:r w:rsidRPr="006E39B7">
              <w:rPr>
                <w:b/>
                <w:sz w:val="20"/>
                <w:szCs w:val="20"/>
                <w:vertAlign w:val="subscript"/>
              </w:rPr>
              <w:t>t-1</w:t>
            </w:r>
          </w:p>
        </w:tc>
        <w:tc>
          <w:tcPr>
            <w:tcW w:w="330" w:type="pct"/>
            <w:vAlign w:val="center"/>
          </w:tcPr>
          <w:p w:rsidR="00DA0667" w:rsidRPr="006E39B7" w:rsidRDefault="00DA0667" w:rsidP="00CF6127">
            <w:pPr>
              <w:spacing w:line="276" w:lineRule="auto"/>
              <w:jc w:val="center"/>
              <w:rPr>
                <w:b/>
                <w:sz w:val="20"/>
                <w:szCs w:val="20"/>
              </w:rPr>
            </w:pPr>
            <w:r w:rsidRPr="006E39B7">
              <w:rPr>
                <w:b/>
                <w:sz w:val="20"/>
                <w:szCs w:val="20"/>
              </w:rPr>
              <w:t>An</w:t>
            </w:r>
            <w:r w:rsidRPr="006E39B7">
              <w:rPr>
                <w:b/>
                <w:sz w:val="20"/>
                <w:szCs w:val="20"/>
                <w:vertAlign w:val="subscript"/>
              </w:rPr>
              <w:t>t</w:t>
            </w:r>
          </w:p>
        </w:tc>
        <w:tc>
          <w:tcPr>
            <w:tcW w:w="494" w:type="pct"/>
            <w:vMerge/>
          </w:tcPr>
          <w:p w:rsidR="00DA0667" w:rsidRPr="006E39B7" w:rsidRDefault="00DA0667" w:rsidP="00CF6127">
            <w:pPr>
              <w:spacing w:line="276" w:lineRule="auto"/>
              <w:jc w:val="center"/>
              <w:rPr>
                <w:b/>
                <w:sz w:val="20"/>
                <w:szCs w:val="20"/>
              </w:rPr>
            </w:pPr>
          </w:p>
        </w:tc>
      </w:tr>
      <w:tr w:rsidR="00145A08" w:rsidRPr="006E39B7" w:rsidTr="00145A08">
        <w:trPr>
          <w:tblHeader/>
        </w:trPr>
        <w:tc>
          <w:tcPr>
            <w:tcW w:w="287" w:type="pct"/>
            <w:vAlign w:val="center"/>
          </w:tcPr>
          <w:p w:rsidR="00145A08" w:rsidRPr="006E39B7" w:rsidRDefault="00145A08" w:rsidP="00145A08">
            <w:pPr>
              <w:spacing w:line="276" w:lineRule="auto"/>
              <w:jc w:val="center"/>
              <w:rPr>
                <w:b/>
                <w:sz w:val="20"/>
                <w:szCs w:val="20"/>
              </w:rPr>
            </w:pPr>
            <w:r>
              <w:rPr>
                <w:b/>
                <w:sz w:val="20"/>
                <w:szCs w:val="20"/>
              </w:rPr>
              <w:t>1</w:t>
            </w:r>
          </w:p>
        </w:tc>
        <w:tc>
          <w:tcPr>
            <w:tcW w:w="2482" w:type="pct"/>
            <w:vAlign w:val="center"/>
          </w:tcPr>
          <w:p w:rsidR="00145A08" w:rsidRPr="006E39B7" w:rsidRDefault="00145A08" w:rsidP="00145A08">
            <w:pPr>
              <w:spacing w:line="276" w:lineRule="auto"/>
              <w:jc w:val="center"/>
              <w:rPr>
                <w:b/>
                <w:sz w:val="20"/>
                <w:szCs w:val="20"/>
              </w:rPr>
            </w:pPr>
            <w:r>
              <w:rPr>
                <w:b/>
                <w:sz w:val="20"/>
                <w:szCs w:val="20"/>
              </w:rPr>
              <w:t>2</w:t>
            </w:r>
          </w:p>
        </w:tc>
        <w:tc>
          <w:tcPr>
            <w:tcW w:w="352" w:type="pct"/>
            <w:vAlign w:val="center"/>
          </w:tcPr>
          <w:p w:rsidR="00145A08" w:rsidRPr="006E39B7" w:rsidRDefault="00145A08" w:rsidP="00145A08">
            <w:pPr>
              <w:spacing w:line="276" w:lineRule="auto"/>
              <w:jc w:val="center"/>
              <w:rPr>
                <w:b/>
                <w:sz w:val="20"/>
                <w:szCs w:val="20"/>
              </w:rPr>
            </w:pPr>
            <w:r>
              <w:rPr>
                <w:b/>
                <w:sz w:val="20"/>
                <w:szCs w:val="20"/>
              </w:rPr>
              <w:t>3</w:t>
            </w:r>
          </w:p>
        </w:tc>
        <w:tc>
          <w:tcPr>
            <w:tcW w:w="352" w:type="pct"/>
            <w:vAlign w:val="center"/>
          </w:tcPr>
          <w:p w:rsidR="00145A08" w:rsidRPr="006E39B7" w:rsidRDefault="00145A08" w:rsidP="00145A08">
            <w:pPr>
              <w:spacing w:line="276" w:lineRule="auto"/>
              <w:jc w:val="center"/>
              <w:rPr>
                <w:b/>
                <w:sz w:val="20"/>
                <w:szCs w:val="20"/>
              </w:rPr>
            </w:pPr>
            <w:r>
              <w:rPr>
                <w:b/>
                <w:sz w:val="20"/>
                <w:szCs w:val="20"/>
              </w:rPr>
              <w:t>4</w:t>
            </w:r>
          </w:p>
        </w:tc>
        <w:tc>
          <w:tcPr>
            <w:tcW w:w="352" w:type="pct"/>
            <w:vAlign w:val="center"/>
          </w:tcPr>
          <w:p w:rsidR="00145A08" w:rsidRPr="006E39B7" w:rsidRDefault="00145A08" w:rsidP="00145A08">
            <w:pPr>
              <w:spacing w:line="276" w:lineRule="auto"/>
              <w:jc w:val="center"/>
              <w:rPr>
                <w:b/>
                <w:sz w:val="20"/>
                <w:szCs w:val="20"/>
              </w:rPr>
            </w:pPr>
            <w:r>
              <w:rPr>
                <w:b/>
                <w:sz w:val="20"/>
                <w:szCs w:val="20"/>
              </w:rPr>
              <w:t>5</w:t>
            </w:r>
          </w:p>
        </w:tc>
        <w:tc>
          <w:tcPr>
            <w:tcW w:w="351" w:type="pct"/>
            <w:vAlign w:val="center"/>
          </w:tcPr>
          <w:p w:rsidR="00145A08" w:rsidRPr="006E39B7" w:rsidRDefault="00145A08" w:rsidP="00145A08">
            <w:pPr>
              <w:spacing w:line="276" w:lineRule="auto"/>
              <w:jc w:val="center"/>
              <w:rPr>
                <w:b/>
                <w:sz w:val="20"/>
                <w:szCs w:val="20"/>
              </w:rPr>
            </w:pPr>
            <w:r>
              <w:rPr>
                <w:b/>
                <w:sz w:val="20"/>
                <w:szCs w:val="20"/>
              </w:rPr>
              <w:t>6</w:t>
            </w:r>
          </w:p>
        </w:tc>
        <w:tc>
          <w:tcPr>
            <w:tcW w:w="330" w:type="pct"/>
            <w:vAlign w:val="center"/>
          </w:tcPr>
          <w:p w:rsidR="00145A08" w:rsidRPr="006E39B7" w:rsidRDefault="00145A08" w:rsidP="00145A08">
            <w:pPr>
              <w:spacing w:line="276" w:lineRule="auto"/>
              <w:jc w:val="center"/>
              <w:rPr>
                <w:b/>
                <w:sz w:val="20"/>
                <w:szCs w:val="20"/>
              </w:rPr>
            </w:pPr>
            <w:r>
              <w:rPr>
                <w:b/>
                <w:sz w:val="20"/>
                <w:szCs w:val="20"/>
              </w:rPr>
              <w:t>7</w:t>
            </w:r>
          </w:p>
        </w:tc>
        <w:tc>
          <w:tcPr>
            <w:tcW w:w="494" w:type="pct"/>
            <w:vAlign w:val="center"/>
          </w:tcPr>
          <w:p w:rsidR="00145A08" w:rsidRPr="006E39B7" w:rsidRDefault="00145A08" w:rsidP="00145A08">
            <w:pPr>
              <w:spacing w:line="276" w:lineRule="auto"/>
              <w:jc w:val="center"/>
              <w:rPr>
                <w:b/>
                <w:sz w:val="20"/>
                <w:szCs w:val="20"/>
              </w:rPr>
            </w:pPr>
            <w:r>
              <w:rPr>
                <w:b/>
                <w:sz w:val="20"/>
                <w:szCs w:val="20"/>
              </w:rPr>
              <w:t>8</w:t>
            </w:r>
          </w:p>
        </w:tc>
      </w:tr>
      <w:tr w:rsidR="00DA0667" w:rsidRPr="006E39B7" w:rsidTr="00CA3075">
        <w:tc>
          <w:tcPr>
            <w:tcW w:w="4506" w:type="pct"/>
            <w:gridSpan w:val="7"/>
          </w:tcPr>
          <w:p w:rsidR="00DA0667" w:rsidRPr="006E39B7" w:rsidRDefault="00DA0667" w:rsidP="00CF6127">
            <w:pPr>
              <w:spacing w:line="276" w:lineRule="auto"/>
              <w:jc w:val="both"/>
              <w:rPr>
                <w:b/>
                <w:sz w:val="20"/>
                <w:szCs w:val="20"/>
              </w:rPr>
            </w:pPr>
            <w:r w:rsidRPr="006E39B7">
              <w:rPr>
                <w:b/>
                <w:sz w:val="20"/>
                <w:szCs w:val="20"/>
              </w:rPr>
              <w:t>A. Indicatori care reflectă calitatea serviciului de transport al energiei electrice:</w:t>
            </w:r>
          </w:p>
        </w:tc>
        <w:tc>
          <w:tcPr>
            <w:tcW w:w="494" w:type="pct"/>
            <w:vAlign w:val="center"/>
          </w:tcPr>
          <w:p w:rsidR="00DA0667" w:rsidRDefault="00DA0667" w:rsidP="00CF6127">
            <w:pPr>
              <w:spacing w:line="276" w:lineRule="auto"/>
              <w:jc w:val="center"/>
              <w:rPr>
                <w:b/>
                <w:sz w:val="20"/>
                <w:szCs w:val="20"/>
                <w:vertAlign w:val="subscript"/>
              </w:rPr>
            </w:pPr>
            <w:r>
              <w:rPr>
                <w:b/>
                <w:sz w:val="20"/>
                <w:szCs w:val="20"/>
              </w:rPr>
              <w:t>I</w:t>
            </w:r>
            <w:r w:rsidRPr="000879AC">
              <w:rPr>
                <w:b/>
                <w:sz w:val="20"/>
                <w:szCs w:val="20"/>
                <w:vertAlign w:val="subscript"/>
              </w:rPr>
              <w:t>A</w:t>
            </w:r>
            <w:r>
              <w:rPr>
                <w:b/>
                <w:sz w:val="20"/>
                <w:szCs w:val="20"/>
                <w:vertAlign w:val="subscript"/>
              </w:rPr>
              <w:t>t</w:t>
            </w:r>
          </w:p>
          <w:p w:rsidR="00DA0667" w:rsidRPr="006E39B7" w:rsidRDefault="00DA0667" w:rsidP="00CF6127">
            <w:pPr>
              <w:spacing w:line="276" w:lineRule="auto"/>
              <w:jc w:val="center"/>
              <w:rPr>
                <w:b/>
                <w:sz w:val="20"/>
                <w:szCs w:val="20"/>
              </w:rPr>
            </w:pPr>
            <w:r w:rsidRPr="00C2218A">
              <w:rPr>
                <w:b/>
                <w:sz w:val="18"/>
                <w:szCs w:val="18"/>
              </w:rPr>
              <w:t>(art. 1</w:t>
            </w:r>
            <w:r w:rsidR="00DF19D2">
              <w:rPr>
                <w:b/>
                <w:sz w:val="18"/>
                <w:szCs w:val="18"/>
              </w:rPr>
              <w:t>3</w:t>
            </w:r>
            <w:r w:rsidRPr="00C2218A">
              <w:rPr>
                <w:b/>
                <w:sz w:val="18"/>
                <w:szCs w:val="18"/>
              </w:rPr>
              <w:t xml:space="preserve"> alin. (3))</w:t>
            </w:r>
          </w:p>
        </w:tc>
      </w:tr>
      <w:tr w:rsidR="00CA3075" w:rsidRPr="006E39B7" w:rsidTr="00CA3075">
        <w:tc>
          <w:tcPr>
            <w:tcW w:w="287" w:type="pct"/>
          </w:tcPr>
          <w:p w:rsidR="00CA3075" w:rsidRPr="006E39B7" w:rsidRDefault="00CA3075" w:rsidP="00CA3075">
            <w:pPr>
              <w:pStyle w:val="ListParagraph"/>
              <w:numPr>
                <w:ilvl w:val="0"/>
                <w:numId w:val="30"/>
              </w:numPr>
              <w:spacing w:line="276" w:lineRule="auto"/>
              <w:ind w:left="340" w:hanging="170"/>
              <w:jc w:val="both"/>
              <w:rPr>
                <w:sz w:val="20"/>
                <w:szCs w:val="20"/>
              </w:rPr>
            </w:pPr>
            <w:bookmarkStart w:id="48" w:name="_Hlk180068559"/>
          </w:p>
        </w:tc>
        <w:tc>
          <w:tcPr>
            <w:tcW w:w="2482" w:type="pct"/>
          </w:tcPr>
          <w:p w:rsidR="00CA3075" w:rsidRPr="00CA3075" w:rsidRDefault="00CA3075" w:rsidP="00CA3075">
            <w:pPr>
              <w:rPr>
                <w:sz w:val="20"/>
                <w:szCs w:val="20"/>
              </w:rPr>
            </w:pPr>
            <w:r w:rsidRPr="00CA3075">
              <w:rPr>
                <w:sz w:val="20"/>
                <w:szCs w:val="20"/>
              </w:rPr>
              <w:t>INDLIN - Indisponibilitatea medie a LEA, determinată de evenimentele neplanificate [ore/an]</w:t>
            </w:r>
          </w:p>
        </w:tc>
        <w:tc>
          <w:tcPr>
            <w:tcW w:w="352" w:type="pct"/>
          </w:tcPr>
          <w:p w:rsidR="00CA3075" w:rsidRPr="006E39B7" w:rsidRDefault="00CA3075" w:rsidP="00CA3075">
            <w:pPr>
              <w:spacing w:line="276" w:lineRule="auto"/>
              <w:jc w:val="both"/>
              <w:rPr>
                <w:sz w:val="20"/>
                <w:szCs w:val="20"/>
              </w:rPr>
            </w:pPr>
          </w:p>
        </w:tc>
        <w:tc>
          <w:tcPr>
            <w:tcW w:w="352" w:type="pct"/>
          </w:tcPr>
          <w:p w:rsidR="00CA3075" w:rsidRPr="006E39B7" w:rsidRDefault="00CA3075" w:rsidP="00CA3075">
            <w:pPr>
              <w:spacing w:line="276" w:lineRule="auto"/>
              <w:jc w:val="both"/>
              <w:rPr>
                <w:sz w:val="20"/>
                <w:szCs w:val="20"/>
              </w:rPr>
            </w:pPr>
          </w:p>
        </w:tc>
        <w:tc>
          <w:tcPr>
            <w:tcW w:w="352" w:type="pct"/>
          </w:tcPr>
          <w:p w:rsidR="00CA3075" w:rsidRPr="006E39B7" w:rsidRDefault="00CA3075" w:rsidP="00CA3075">
            <w:pPr>
              <w:spacing w:line="276" w:lineRule="auto"/>
              <w:jc w:val="both"/>
              <w:rPr>
                <w:sz w:val="20"/>
                <w:szCs w:val="20"/>
              </w:rPr>
            </w:pPr>
          </w:p>
        </w:tc>
        <w:tc>
          <w:tcPr>
            <w:tcW w:w="351" w:type="pct"/>
          </w:tcPr>
          <w:p w:rsidR="00CA3075" w:rsidRPr="006E39B7" w:rsidRDefault="00CA3075" w:rsidP="00CA3075">
            <w:pPr>
              <w:spacing w:line="276" w:lineRule="auto"/>
              <w:jc w:val="both"/>
              <w:rPr>
                <w:sz w:val="20"/>
                <w:szCs w:val="20"/>
              </w:rPr>
            </w:pPr>
          </w:p>
        </w:tc>
        <w:tc>
          <w:tcPr>
            <w:tcW w:w="330" w:type="pct"/>
          </w:tcPr>
          <w:p w:rsidR="00CA3075" w:rsidRPr="006E39B7" w:rsidRDefault="00CA3075" w:rsidP="00CA3075">
            <w:pPr>
              <w:spacing w:line="276" w:lineRule="auto"/>
              <w:jc w:val="both"/>
              <w:rPr>
                <w:sz w:val="20"/>
                <w:szCs w:val="20"/>
              </w:rPr>
            </w:pPr>
          </w:p>
        </w:tc>
        <w:tc>
          <w:tcPr>
            <w:tcW w:w="494" w:type="pct"/>
          </w:tcPr>
          <w:p w:rsidR="00CA3075" w:rsidRPr="006E39B7" w:rsidRDefault="00CA3075" w:rsidP="00CA3075">
            <w:pPr>
              <w:spacing w:line="276" w:lineRule="auto"/>
              <w:jc w:val="both"/>
              <w:rPr>
                <w:sz w:val="20"/>
                <w:szCs w:val="20"/>
              </w:rPr>
            </w:pPr>
          </w:p>
        </w:tc>
      </w:tr>
      <w:tr w:rsidR="00CA3075" w:rsidRPr="006E39B7" w:rsidTr="00CA3075">
        <w:tc>
          <w:tcPr>
            <w:tcW w:w="287" w:type="pct"/>
          </w:tcPr>
          <w:p w:rsidR="00CA3075" w:rsidRPr="006E39B7" w:rsidRDefault="00CA3075" w:rsidP="00CA3075">
            <w:pPr>
              <w:pStyle w:val="ListParagraph"/>
              <w:numPr>
                <w:ilvl w:val="0"/>
                <w:numId w:val="30"/>
              </w:numPr>
              <w:spacing w:line="276" w:lineRule="auto"/>
              <w:ind w:left="340" w:hanging="170"/>
              <w:jc w:val="both"/>
              <w:rPr>
                <w:sz w:val="20"/>
                <w:szCs w:val="20"/>
              </w:rPr>
            </w:pPr>
          </w:p>
        </w:tc>
        <w:tc>
          <w:tcPr>
            <w:tcW w:w="2482" w:type="pct"/>
          </w:tcPr>
          <w:p w:rsidR="00CA3075" w:rsidRPr="00CA3075" w:rsidRDefault="00CA3075" w:rsidP="00CA3075">
            <w:pPr>
              <w:rPr>
                <w:sz w:val="20"/>
                <w:szCs w:val="20"/>
              </w:rPr>
            </w:pPr>
            <w:r w:rsidRPr="00CA3075">
              <w:rPr>
                <w:sz w:val="20"/>
                <w:szCs w:val="20"/>
              </w:rPr>
              <w:t>INDTRA - indisponibilitatea medie a transformatoarelor şi autotransformatoarelor, determinată de evenimentele neplanificate [ore/an]</w:t>
            </w:r>
          </w:p>
        </w:tc>
        <w:tc>
          <w:tcPr>
            <w:tcW w:w="352" w:type="pct"/>
          </w:tcPr>
          <w:p w:rsidR="00CA3075" w:rsidRPr="006E39B7" w:rsidRDefault="00CA3075" w:rsidP="00CA3075">
            <w:pPr>
              <w:spacing w:line="276" w:lineRule="auto"/>
              <w:jc w:val="both"/>
              <w:rPr>
                <w:sz w:val="20"/>
                <w:szCs w:val="20"/>
              </w:rPr>
            </w:pPr>
          </w:p>
        </w:tc>
        <w:tc>
          <w:tcPr>
            <w:tcW w:w="352" w:type="pct"/>
          </w:tcPr>
          <w:p w:rsidR="00CA3075" w:rsidRPr="006E39B7" w:rsidRDefault="00CA3075" w:rsidP="00CA3075">
            <w:pPr>
              <w:spacing w:line="276" w:lineRule="auto"/>
              <w:jc w:val="both"/>
              <w:rPr>
                <w:sz w:val="20"/>
                <w:szCs w:val="20"/>
              </w:rPr>
            </w:pPr>
          </w:p>
        </w:tc>
        <w:tc>
          <w:tcPr>
            <w:tcW w:w="352" w:type="pct"/>
          </w:tcPr>
          <w:p w:rsidR="00CA3075" w:rsidRPr="006E39B7" w:rsidRDefault="00CA3075" w:rsidP="00CA3075">
            <w:pPr>
              <w:spacing w:line="276" w:lineRule="auto"/>
              <w:jc w:val="both"/>
              <w:rPr>
                <w:sz w:val="20"/>
                <w:szCs w:val="20"/>
              </w:rPr>
            </w:pPr>
          </w:p>
        </w:tc>
        <w:tc>
          <w:tcPr>
            <w:tcW w:w="351" w:type="pct"/>
          </w:tcPr>
          <w:p w:rsidR="00CA3075" w:rsidRPr="006E39B7" w:rsidRDefault="00CA3075" w:rsidP="00CA3075">
            <w:pPr>
              <w:spacing w:line="276" w:lineRule="auto"/>
              <w:jc w:val="both"/>
              <w:rPr>
                <w:sz w:val="20"/>
                <w:szCs w:val="20"/>
              </w:rPr>
            </w:pPr>
          </w:p>
        </w:tc>
        <w:tc>
          <w:tcPr>
            <w:tcW w:w="330" w:type="pct"/>
          </w:tcPr>
          <w:p w:rsidR="00CA3075" w:rsidRPr="006E39B7" w:rsidRDefault="00CA3075" w:rsidP="00CA3075">
            <w:pPr>
              <w:spacing w:line="276" w:lineRule="auto"/>
              <w:jc w:val="both"/>
              <w:rPr>
                <w:sz w:val="20"/>
                <w:szCs w:val="20"/>
              </w:rPr>
            </w:pPr>
          </w:p>
        </w:tc>
        <w:tc>
          <w:tcPr>
            <w:tcW w:w="494" w:type="pct"/>
          </w:tcPr>
          <w:p w:rsidR="00CA3075" w:rsidRPr="006E39B7" w:rsidRDefault="00CA3075" w:rsidP="00CA3075">
            <w:pPr>
              <w:spacing w:line="276" w:lineRule="auto"/>
              <w:jc w:val="both"/>
              <w:rPr>
                <w:sz w:val="20"/>
                <w:szCs w:val="20"/>
              </w:rPr>
            </w:pPr>
          </w:p>
        </w:tc>
      </w:tr>
      <w:tr w:rsidR="00CA3075" w:rsidRPr="006E39B7" w:rsidTr="00CA3075">
        <w:tc>
          <w:tcPr>
            <w:tcW w:w="287" w:type="pct"/>
          </w:tcPr>
          <w:p w:rsidR="00CA3075" w:rsidRPr="006E39B7" w:rsidRDefault="00CA3075" w:rsidP="00CA3075">
            <w:pPr>
              <w:pStyle w:val="ListParagraph"/>
              <w:numPr>
                <w:ilvl w:val="0"/>
                <w:numId w:val="30"/>
              </w:numPr>
              <w:spacing w:line="276" w:lineRule="auto"/>
              <w:ind w:left="340" w:hanging="170"/>
              <w:jc w:val="both"/>
              <w:rPr>
                <w:sz w:val="20"/>
                <w:szCs w:val="20"/>
              </w:rPr>
            </w:pPr>
          </w:p>
        </w:tc>
        <w:tc>
          <w:tcPr>
            <w:tcW w:w="2482" w:type="pct"/>
          </w:tcPr>
          <w:p w:rsidR="00CA3075" w:rsidRPr="00CA3075" w:rsidRDefault="00CA3075" w:rsidP="00CA3075">
            <w:pPr>
              <w:rPr>
                <w:sz w:val="20"/>
                <w:szCs w:val="20"/>
              </w:rPr>
            </w:pPr>
            <w:r w:rsidRPr="00CA3075">
              <w:rPr>
                <w:sz w:val="20"/>
                <w:szCs w:val="20"/>
              </w:rPr>
              <w:t>ENS - Energia nelivrată utilizatorilor sau neprodusă în centrale din cauza întreruperilor de lungă durată, apărute din cauze interne ale OTS [MWh]</w:t>
            </w:r>
          </w:p>
        </w:tc>
        <w:tc>
          <w:tcPr>
            <w:tcW w:w="352" w:type="pct"/>
          </w:tcPr>
          <w:p w:rsidR="00CA3075" w:rsidRPr="006E39B7" w:rsidRDefault="00CA3075" w:rsidP="00CA3075">
            <w:pPr>
              <w:spacing w:line="276" w:lineRule="auto"/>
              <w:jc w:val="both"/>
              <w:rPr>
                <w:sz w:val="20"/>
                <w:szCs w:val="20"/>
              </w:rPr>
            </w:pPr>
          </w:p>
        </w:tc>
        <w:tc>
          <w:tcPr>
            <w:tcW w:w="352" w:type="pct"/>
          </w:tcPr>
          <w:p w:rsidR="00CA3075" w:rsidRPr="006E39B7" w:rsidRDefault="00CA3075" w:rsidP="00CA3075">
            <w:pPr>
              <w:spacing w:line="276" w:lineRule="auto"/>
              <w:jc w:val="both"/>
              <w:rPr>
                <w:sz w:val="20"/>
                <w:szCs w:val="20"/>
              </w:rPr>
            </w:pPr>
          </w:p>
        </w:tc>
        <w:tc>
          <w:tcPr>
            <w:tcW w:w="352" w:type="pct"/>
          </w:tcPr>
          <w:p w:rsidR="00CA3075" w:rsidRPr="006E39B7" w:rsidRDefault="00CA3075" w:rsidP="00CA3075">
            <w:pPr>
              <w:spacing w:line="276" w:lineRule="auto"/>
              <w:jc w:val="both"/>
              <w:rPr>
                <w:sz w:val="20"/>
                <w:szCs w:val="20"/>
              </w:rPr>
            </w:pPr>
          </w:p>
        </w:tc>
        <w:tc>
          <w:tcPr>
            <w:tcW w:w="351" w:type="pct"/>
          </w:tcPr>
          <w:p w:rsidR="00CA3075" w:rsidRPr="006E39B7" w:rsidRDefault="00CA3075" w:rsidP="00CA3075">
            <w:pPr>
              <w:spacing w:line="276" w:lineRule="auto"/>
              <w:jc w:val="both"/>
              <w:rPr>
                <w:sz w:val="20"/>
                <w:szCs w:val="20"/>
              </w:rPr>
            </w:pPr>
          </w:p>
        </w:tc>
        <w:tc>
          <w:tcPr>
            <w:tcW w:w="330" w:type="pct"/>
          </w:tcPr>
          <w:p w:rsidR="00CA3075" w:rsidRPr="006E39B7" w:rsidRDefault="00CA3075" w:rsidP="00CA3075">
            <w:pPr>
              <w:spacing w:line="276" w:lineRule="auto"/>
              <w:jc w:val="both"/>
              <w:rPr>
                <w:sz w:val="20"/>
                <w:szCs w:val="20"/>
              </w:rPr>
            </w:pPr>
          </w:p>
        </w:tc>
        <w:tc>
          <w:tcPr>
            <w:tcW w:w="494" w:type="pct"/>
          </w:tcPr>
          <w:p w:rsidR="00CA3075" w:rsidRPr="006E39B7" w:rsidRDefault="00CA3075" w:rsidP="00CA3075">
            <w:pPr>
              <w:spacing w:line="276" w:lineRule="auto"/>
              <w:jc w:val="both"/>
              <w:rPr>
                <w:sz w:val="20"/>
                <w:szCs w:val="20"/>
              </w:rPr>
            </w:pPr>
          </w:p>
        </w:tc>
      </w:tr>
      <w:tr w:rsidR="00CA3075" w:rsidRPr="006E39B7" w:rsidTr="00CA3075">
        <w:tc>
          <w:tcPr>
            <w:tcW w:w="287" w:type="pct"/>
          </w:tcPr>
          <w:p w:rsidR="00CA3075" w:rsidRPr="006E39B7" w:rsidRDefault="00CA3075" w:rsidP="00CA3075">
            <w:pPr>
              <w:pStyle w:val="ListParagraph"/>
              <w:numPr>
                <w:ilvl w:val="0"/>
                <w:numId w:val="30"/>
              </w:numPr>
              <w:spacing w:line="276" w:lineRule="auto"/>
              <w:ind w:left="340" w:hanging="170"/>
              <w:jc w:val="both"/>
              <w:rPr>
                <w:sz w:val="20"/>
                <w:szCs w:val="20"/>
              </w:rPr>
            </w:pPr>
          </w:p>
        </w:tc>
        <w:tc>
          <w:tcPr>
            <w:tcW w:w="2482" w:type="pct"/>
          </w:tcPr>
          <w:p w:rsidR="00CA3075" w:rsidRPr="00CA3075" w:rsidRDefault="00CA3075" w:rsidP="00CA3075">
            <w:pPr>
              <w:rPr>
                <w:sz w:val="20"/>
                <w:szCs w:val="20"/>
              </w:rPr>
            </w:pPr>
            <w:r w:rsidRPr="00CA3075">
              <w:rPr>
                <w:sz w:val="20"/>
                <w:szCs w:val="20"/>
              </w:rPr>
              <w:t>N</w:t>
            </w:r>
            <w:r w:rsidRPr="00B72E4D">
              <w:rPr>
                <w:sz w:val="20"/>
                <w:szCs w:val="20"/>
                <w:vertAlign w:val="subscript"/>
              </w:rPr>
              <w:t>U</w:t>
            </w:r>
            <w:r w:rsidRPr="00CA3075">
              <w:rPr>
                <w:sz w:val="20"/>
                <w:szCs w:val="20"/>
              </w:rPr>
              <w:t xml:space="preserve"> – Numărul staţiilor electrice în care tensiunea de linie nu s-a încadrat în limitele normate de variaţie, raportat la numărul total al staţiilor electrice monitorizate [%]</w:t>
            </w:r>
          </w:p>
        </w:tc>
        <w:tc>
          <w:tcPr>
            <w:tcW w:w="352" w:type="pct"/>
          </w:tcPr>
          <w:p w:rsidR="00CA3075" w:rsidRPr="006E39B7" w:rsidRDefault="00CA3075" w:rsidP="00CA3075">
            <w:pPr>
              <w:spacing w:line="276" w:lineRule="auto"/>
              <w:jc w:val="both"/>
              <w:rPr>
                <w:sz w:val="20"/>
                <w:szCs w:val="20"/>
              </w:rPr>
            </w:pPr>
          </w:p>
        </w:tc>
        <w:tc>
          <w:tcPr>
            <w:tcW w:w="352" w:type="pct"/>
          </w:tcPr>
          <w:p w:rsidR="00CA3075" w:rsidRPr="006E39B7" w:rsidRDefault="00CA3075" w:rsidP="00CA3075">
            <w:pPr>
              <w:spacing w:line="276" w:lineRule="auto"/>
              <w:jc w:val="both"/>
              <w:rPr>
                <w:sz w:val="20"/>
                <w:szCs w:val="20"/>
              </w:rPr>
            </w:pPr>
          </w:p>
        </w:tc>
        <w:tc>
          <w:tcPr>
            <w:tcW w:w="352" w:type="pct"/>
          </w:tcPr>
          <w:p w:rsidR="00CA3075" w:rsidRPr="006E39B7" w:rsidRDefault="00CA3075" w:rsidP="00CA3075">
            <w:pPr>
              <w:spacing w:line="276" w:lineRule="auto"/>
              <w:jc w:val="both"/>
              <w:rPr>
                <w:sz w:val="20"/>
                <w:szCs w:val="20"/>
              </w:rPr>
            </w:pPr>
          </w:p>
        </w:tc>
        <w:tc>
          <w:tcPr>
            <w:tcW w:w="351" w:type="pct"/>
          </w:tcPr>
          <w:p w:rsidR="00CA3075" w:rsidRPr="006E39B7" w:rsidRDefault="00CA3075" w:rsidP="00CA3075">
            <w:pPr>
              <w:spacing w:line="276" w:lineRule="auto"/>
              <w:jc w:val="both"/>
              <w:rPr>
                <w:sz w:val="20"/>
                <w:szCs w:val="20"/>
              </w:rPr>
            </w:pPr>
          </w:p>
        </w:tc>
        <w:tc>
          <w:tcPr>
            <w:tcW w:w="330" w:type="pct"/>
          </w:tcPr>
          <w:p w:rsidR="00CA3075" w:rsidRPr="006E39B7" w:rsidRDefault="00CA3075" w:rsidP="00CA3075">
            <w:pPr>
              <w:spacing w:line="276" w:lineRule="auto"/>
              <w:jc w:val="both"/>
              <w:rPr>
                <w:sz w:val="20"/>
                <w:szCs w:val="20"/>
              </w:rPr>
            </w:pPr>
          </w:p>
        </w:tc>
        <w:tc>
          <w:tcPr>
            <w:tcW w:w="494" w:type="pct"/>
          </w:tcPr>
          <w:p w:rsidR="00CA3075" w:rsidRPr="006E39B7" w:rsidRDefault="00CA3075" w:rsidP="00CA3075">
            <w:pPr>
              <w:spacing w:line="276" w:lineRule="auto"/>
              <w:jc w:val="both"/>
              <w:rPr>
                <w:sz w:val="20"/>
                <w:szCs w:val="20"/>
              </w:rPr>
            </w:pPr>
          </w:p>
        </w:tc>
      </w:tr>
      <w:tr w:rsidR="00CA3075" w:rsidRPr="006E39B7" w:rsidTr="00CA3075">
        <w:tc>
          <w:tcPr>
            <w:tcW w:w="287" w:type="pct"/>
          </w:tcPr>
          <w:p w:rsidR="00CA3075" w:rsidRPr="006E39B7" w:rsidRDefault="00CA3075" w:rsidP="00CA3075">
            <w:pPr>
              <w:pStyle w:val="ListParagraph"/>
              <w:numPr>
                <w:ilvl w:val="0"/>
                <w:numId w:val="30"/>
              </w:numPr>
              <w:spacing w:line="276" w:lineRule="auto"/>
              <w:ind w:left="340" w:hanging="170"/>
              <w:jc w:val="both"/>
              <w:rPr>
                <w:sz w:val="20"/>
                <w:szCs w:val="20"/>
              </w:rPr>
            </w:pPr>
          </w:p>
        </w:tc>
        <w:tc>
          <w:tcPr>
            <w:tcW w:w="2482" w:type="pct"/>
          </w:tcPr>
          <w:p w:rsidR="00CA3075" w:rsidRPr="00CA3075" w:rsidRDefault="00CA3075" w:rsidP="00CA3075">
            <w:pPr>
              <w:rPr>
                <w:sz w:val="20"/>
                <w:szCs w:val="20"/>
              </w:rPr>
            </w:pPr>
            <w:r w:rsidRPr="00CA3075">
              <w:rPr>
                <w:sz w:val="20"/>
                <w:szCs w:val="20"/>
              </w:rPr>
              <w:t>N</w:t>
            </w:r>
            <w:r w:rsidRPr="00B72E4D">
              <w:rPr>
                <w:sz w:val="20"/>
                <w:szCs w:val="20"/>
                <w:vertAlign w:val="subscript"/>
              </w:rPr>
              <w:t>Q</w:t>
            </w:r>
            <w:r w:rsidRPr="00CA3075">
              <w:rPr>
                <w:sz w:val="20"/>
                <w:szCs w:val="20"/>
              </w:rPr>
              <w:t xml:space="preserve"> - Numărul staţiilor electrice în care cel puţin unul din parametrii normaţi de calitate a curbei de tensiune a fost depăşit pentru cel puţin o săptămână, raportat la numărul total al staţiilor electrice monitorizate [%]</w:t>
            </w:r>
          </w:p>
        </w:tc>
        <w:tc>
          <w:tcPr>
            <w:tcW w:w="352" w:type="pct"/>
          </w:tcPr>
          <w:p w:rsidR="00CA3075" w:rsidRPr="006E39B7" w:rsidRDefault="00CA3075" w:rsidP="00CA3075">
            <w:pPr>
              <w:spacing w:line="276" w:lineRule="auto"/>
              <w:jc w:val="both"/>
              <w:rPr>
                <w:sz w:val="20"/>
                <w:szCs w:val="20"/>
              </w:rPr>
            </w:pPr>
          </w:p>
        </w:tc>
        <w:tc>
          <w:tcPr>
            <w:tcW w:w="352" w:type="pct"/>
          </w:tcPr>
          <w:p w:rsidR="00CA3075" w:rsidRPr="006E39B7" w:rsidRDefault="00CA3075" w:rsidP="00CA3075">
            <w:pPr>
              <w:spacing w:line="276" w:lineRule="auto"/>
              <w:jc w:val="both"/>
              <w:rPr>
                <w:sz w:val="20"/>
                <w:szCs w:val="20"/>
              </w:rPr>
            </w:pPr>
          </w:p>
        </w:tc>
        <w:tc>
          <w:tcPr>
            <w:tcW w:w="352" w:type="pct"/>
          </w:tcPr>
          <w:p w:rsidR="00CA3075" w:rsidRPr="006E39B7" w:rsidRDefault="00CA3075" w:rsidP="00CA3075">
            <w:pPr>
              <w:spacing w:line="276" w:lineRule="auto"/>
              <w:jc w:val="both"/>
              <w:rPr>
                <w:sz w:val="20"/>
                <w:szCs w:val="20"/>
              </w:rPr>
            </w:pPr>
          </w:p>
        </w:tc>
        <w:tc>
          <w:tcPr>
            <w:tcW w:w="351" w:type="pct"/>
          </w:tcPr>
          <w:p w:rsidR="00CA3075" w:rsidRPr="006E39B7" w:rsidRDefault="00CA3075" w:rsidP="00CA3075">
            <w:pPr>
              <w:spacing w:line="276" w:lineRule="auto"/>
              <w:jc w:val="both"/>
              <w:rPr>
                <w:sz w:val="20"/>
                <w:szCs w:val="20"/>
              </w:rPr>
            </w:pPr>
          </w:p>
        </w:tc>
        <w:tc>
          <w:tcPr>
            <w:tcW w:w="330" w:type="pct"/>
          </w:tcPr>
          <w:p w:rsidR="00CA3075" w:rsidRPr="006E39B7" w:rsidRDefault="00CA3075" w:rsidP="00CA3075">
            <w:pPr>
              <w:spacing w:line="276" w:lineRule="auto"/>
              <w:jc w:val="both"/>
              <w:rPr>
                <w:sz w:val="20"/>
                <w:szCs w:val="20"/>
              </w:rPr>
            </w:pPr>
          </w:p>
        </w:tc>
        <w:tc>
          <w:tcPr>
            <w:tcW w:w="494" w:type="pct"/>
          </w:tcPr>
          <w:p w:rsidR="00CA3075" w:rsidRPr="006E39B7" w:rsidRDefault="00CA3075" w:rsidP="00CA3075">
            <w:pPr>
              <w:spacing w:line="276" w:lineRule="auto"/>
              <w:jc w:val="both"/>
              <w:rPr>
                <w:sz w:val="20"/>
                <w:szCs w:val="20"/>
              </w:rPr>
            </w:pPr>
          </w:p>
        </w:tc>
      </w:tr>
      <w:tr w:rsidR="00CA3075" w:rsidRPr="006E39B7" w:rsidTr="00CA3075">
        <w:tc>
          <w:tcPr>
            <w:tcW w:w="4506" w:type="pct"/>
            <w:gridSpan w:val="7"/>
            <w:vAlign w:val="center"/>
          </w:tcPr>
          <w:p w:rsidR="00CA3075" w:rsidRPr="006E39B7" w:rsidRDefault="00CA3075" w:rsidP="00CF6127">
            <w:pPr>
              <w:spacing w:line="276" w:lineRule="auto"/>
              <w:jc w:val="both"/>
              <w:rPr>
                <w:b/>
                <w:sz w:val="20"/>
                <w:szCs w:val="20"/>
              </w:rPr>
            </w:pPr>
            <w:bookmarkStart w:id="49" w:name="_Hlk180068576"/>
            <w:bookmarkEnd w:id="48"/>
            <w:r w:rsidRPr="006E39B7">
              <w:rPr>
                <w:b/>
                <w:sz w:val="20"/>
                <w:szCs w:val="20"/>
              </w:rPr>
              <w:t>B. Indicatori care reflectă integrarea producției de energie electrică din surse regenerabile și a unităților de stocare energie:</w:t>
            </w:r>
            <w:bookmarkEnd w:id="49"/>
          </w:p>
        </w:tc>
        <w:tc>
          <w:tcPr>
            <w:tcW w:w="494" w:type="pct"/>
            <w:vAlign w:val="center"/>
          </w:tcPr>
          <w:p w:rsidR="00CA3075" w:rsidRDefault="00CA3075" w:rsidP="00CF6127">
            <w:pPr>
              <w:spacing w:line="276" w:lineRule="auto"/>
              <w:jc w:val="center"/>
              <w:rPr>
                <w:b/>
                <w:sz w:val="20"/>
                <w:szCs w:val="20"/>
                <w:vertAlign w:val="subscript"/>
              </w:rPr>
            </w:pPr>
            <w:r>
              <w:rPr>
                <w:b/>
                <w:sz w:val="20"/>
                <w:szCs w:val="20"/>
              </w:rPr>
              <w:t>I</w:t>
            </w:r>
            <w:r w:rsidRPr="000879AC">
              <w:rPr>
                <w:b/>
                <w:sz w:val="20"/>
                <w:szCs w:val="20"/>
                <w:vertAlign w:val="subscript"/>
              </w:rPr>
              <w:t>Bt</w:t>
            </w:r>
          </w:p>
          <w:p w:rsidR="00CA3075" w:rsidRPr="006E39B7" w:rsidRDefault="00CA3075" w:rsidP="00CF6127">
            <w:pPr>
              <w:spacing w:line="276" w:lineRule="auto"/>
              <w:jc w:val="center"/>
              <w:rPr>
                <w:b/>
                <w:sz w:val="20"/>
                <w:szCs w:val="20"/>
              </w:rPr>
            </w:pPr>
            <w:r w:rsidRPr="00C2218A">
              <w:rPr>
                <w:b/>
                <w:sz w:val="18"/>
                <w:szCs w:val="18"/>
              </w:rPr>
              <w:t>(art. 1</w:t>
            </w:r>
            <w:r w:rsidR="00DF19D2">
              <w:rPr>
                <w:b/>
                <w:sz w:val="18"/>
                <w:szCs w:val="18"/>
              </w:rPr>
              <w:t>4</w:t>
            </w:r>
            <w:r w:rsidRPr="00C2218A">
              <w:rPr>
                <w:b/>
                <w:sz w:val="18"/>
                <w:szCs w:val="18"/>
              </w:rPr>
              <w:t xml:space="preserve"> alin. (3))</w:t>
            </w:r>
          </w:p>
        </w:tc>
      </w:tr>
      <w:tr w:rsidR="00B72E4D" w:rsidRPr="006E39B7" w:rsidTr="00CA3075">
        <w:tc>
          <w:tcPr>
            <w:tcW w:w="287" w:type="pct"/>
          </w:tcPr>
          <w:p w:rsidR="00B72E4D" w:rsidRPr="006E39B7" w:rsidRDefault="00B72E4D" w:rsidP="00B72E4D">
            <w:pPr>
              <w:pStyle w:val="ListParagraph"/>
              <w:numPr>
                <w:ilvl w:val="0"/>
                <w:numId w:val="31"/>
              </w:numPr>
              <w:spacing w:line="276" w:lineRule="auto"/>
              <w:ind w:left="226" w:hanging="113"/>
              <w:jc w:val="both"/>
              <w:rPr>
                <w:sz w:val="20"/>
                <w:szCs w:val="20"/>
              </w:rPr>
            </w:pPr>
            <w:bookmarkStart w:id="50" w:name="_Hlk180068602"/>
          </w:p>
        </w:tc>
        <w:tc>
          <w:tcPr>
            <w:tcW w:w="2482" w:type="pct"/>
          </w:tcPr>
          <w:p w:rsidR="00B72E4D" w:rsidRPr="00B72E4D" w:rsidRDefault="00B72E4D" w:rsidP="00B72E4D">
            <w:pPr>
              <w:rPr>
                <w:sz w:val="20"/>
                <w:szCs w:val="20"/>
              </w:rPr>
            </w:pPr>
            <w:r w:rsidRPr="00B72E4D">
              <w:rPr>
                <w:sz w:val="20"/>
                <w:szCs w:val="20"/>
              </w:rPr>
              <w:t>NPd  - Ponderea numărului de ATR emise de OTS pentru racordarea de noi locuri de producere cu unități de producere energie electrică din surse regenerabile, raportat la numărul cererilor de racordare de acest tip înregistrate de OTS [%]</w:t>
            </w:r>
          </w:p>
        </w:tc>
        <w:tc>
          <w:tcPr>
            <w:tcW w:w="352" w:type="pct"/>
          </w:tcPr>
          <w:p w:rsidR="00B72E4D" w:rsidRPr="006E39B7" w:rsidRDefault="00B72E4D" w:rsidP="00B72E4D">
            <w:pPr>
              <w:spacing w:line="276" w:lineRule="auto"/>
              <w:jc w:val="both"/>
              <w:rPr>
                <w:sz w:val="20"/>
                <w:szCs w:val="20"/>
              </w:rPr>
            </w:pPr>
          </w:p>
        </w:tc>
        <w:tc>
          <w:tcPr>
            <w:tcW w:w="352" w:type="pct"/>
          </w:tcPr>
          <w:p w:rsidR="00B72E4D" w:rsidRPr="006E39B7" w:rsidRDefault="00B72E4D" w:rsidP="00B72E4D">
            <w:pPr>
              <w:spacing w:line="276" w:lineRule="auto"/>
              <w:jc w:val="both"/>
              <w:rPr>
                <w:sz w:val="20"/>
                <w:szCs w:val="20"/>
              </w:rPr>
            </w:pPr>
          </w:p>
        </w:tc>
        <w:tc>
          <w:tcPr>
            <w:tcW w:w="352" w:type="pct"/>
          </w:tcPr>
          <w:p w:rsidR="00B72E4D" w:rsidRPr="006E39B7" w:rsidRDefault="00B72E4D" w:rsidP="00B72E4D">
            <w:pPr>
              <w:spacing w:line="276" w:lineRule="auto"/>
              <w:jc w:val="both"/>
              <w:rPr>
                <w:sz w:val="20"/>
                <w:szCs w:val="20"/>
              </w:rPr>
            </w:pPr>
          </w:p>
        </w:tc>
        <w:tc>
          <w:tcPr>
            <w:tcW w:w="351" w:type="pct"/>
          </w:tcPr>
          <w:p w:rsidR="00B72E4D" w:rsidRPr="006E39B7" w:rsidRDefault="00B72E4D" w:rsidP="00B72E4D">
            <w:pPr>
              <w:spacing w:line="276" w:lineRule="auto"/>
              <w:jc w:val="both"/>
              <w:rPr>
                <w:sz w:val="20"/>
                <w:szCs w:val="20"/>
              </w:rPr>
            </w:pPr>
          </w:p>
        </w:tc>
        <w:tc>
          <w:tcPr>
            <w:tcW w:w="330" w:type="pct"/>
          </w:tcPr>
          <w:p w:rsidR="00B72E4D" w:rsidRPr="006E39B7" w:rsidRDefault="00B72E4D" w:rsidP="00B72E4D">
            <w:pPr>
              <w:spacing w:line="276" w:lineRule="auto"/>
              <w:jc w:val="both"/>
              <w:rPr>
                <w:sz w:val="20"/>
                <w:szCs w:val="20"/>
              </w:rPr>
            </w:pPr>
          </w:p>
        </w:tc>
        <w:tc>
          <w:tcPr>
            <w:tcW w:w="494" w:type="pct"/>
          </w:tcPr>
          <w:p w:rsidR="00B72E4D" w:rsidRPr="006E39B7" w:rsidRDefault="00B72E4D" w:rsidP="00B72E4D">
            <w:pPr>
              <w:spacing w:line="276" w:lineRule="auto"/>
              <w:jc w:val="both"/>
              <w:rPr>
                <w:sz w:val="20"/>
                <w:szCs w:val="20"/>
              </w:rPr>
            </w:pPr>
          </w:p>
        </w:tc>
      </w:tr>
      <w:tr w:rsidR="00B72E4D" w:rsidRPr="006E39B7" w:rsidTr="00CA3075">
        <w:tc>
          <w:tcPr>
            <w:tcW w:w="287" w:type="pct"/>
          </w:tcPr>
          <w:p w:rsidR="00B72E4D" w:rsidRPr="006E39B7" w:rsidRDefault="00B72E4D" w:rsidP="00B72E4D">
            <w:pPr>
              <w:pStyle w:val="ListParagraph"/>
              <w:numPr>
                <w:ilvl w:val="0"/>
                <w:numId w:val="31"/>
              </w:numPr>
              <w:spacing w:line="276" w:lineRule="auto"/>
              <w:ind w:left="226" w:hanging="113"/>
              <w:jc w:val="both"/>
              <w:rPr>
                <w:sz w:val="20"/>
                <w:szCs w:val="20"/>
              </w:rPr>
            </w:pPr>
          </w:p>
        </w:tc>
        <w:tc>
          <w:tcPr>
            <w:tcW w:w="2482" w:type="pct"/>
          </w:tcPr>
          <w:p w:rsidR="00B72E4D" w:rsidRPr="00B72E4D" w:rsidRDefault="00B72E4D" w:rsidP="00B72E4D">
            <w:pPr>
              <w:rPr>
                <w:sz w:val="20"/>
                <w:szCs w:val="20"/>
              </w:rPr>
            </w:pPr>
            <w:r w:rsidRPr="00B72E4D">
              <w:rPr>
                <w:sz w:val="20"/>
                <w:szCs w:val="20"/>
              </w:rPr>
              <w:t>PPd - Ponderea puterii totale aprobate pentru evacuare prin ATR emise de OTS pentru racordarea de noi locuri de producere cu unități de producere energie electrică din surse regenerabile, raportată la puterea totală solicitată prin cererile de racordare de acest tip înregistrate de OTS [%]</w:t>
            </w:r>
          </w:p>
        </w:tc>
        <w:tc>
          <w:tcPr>
            <w:tcW w:w="352" w:type="pct"/>
          </w:tcPr>
          <w:p w:rsidR="00B72E4D" w:rsidRPr="006E39B7" w:rsidRDefault="00B72E4D" w:rsidP="00B72E4D">
            <w:pPr>
              <w:spacing w:line="276" w:lineRule="auto"/>
              <w:jc w:val="both"/>
              <w:rPr>
                <w:sz w:val="20"/>
                <w:szCs w:val="20"/>
              </w:rPr>
            </w:pPr>
          </w:p>
        </w:tc>
        <w:tc>
          <w:tcPr>
            <w:tcW w:w="352" w:type="pct"/>
          </w:tcPr>
          <w:p w:rsidR="00B72E4D" w:rsidRPr="006E39B7" w:rsidRDefault="00B72E4D" w:rsidP="00B72E4D">
            <w:pPr>
              <w:spacing w:line="276" w:lineRule="auto"/>
              <w:jc w:val="both"/>
              <w:rPr>
                <w:sz w:val="20"/>
                <w:szCs w:val="20"/>
              </w:rPr>
            </w:pPr>
          </w:p>
        </w:tc>
        <w:tc>
          <w:tcPr>
            <w:tcW w:w="352" w:type="pct"/>
          </w:tcPr>
          <w:p w:rsidR="00B72E4D" w:rsidRPr="006E39B7" w:rsidRDefault="00B72E4D" w:rsidP="00B72E4D">
            <w:pPr>
              <w:spacing w:line="276" w:lineRule="auto"/>
              <w:jc w:val="both"/>
              <w:rPr>
                <w:sz w:val="20"/>
                <w:szCs w:val="20"/>
              </w:rPr>
            </w:pPr>
          </w:p>
        </w:tc>
        <w:tc>
          <w:tcPr>
            <w:tcW w:w="351" w:type="pct"/>
          </w:tcPr>
          <w:p w:rsidR="00B72E4D" w:rsidRPr="006E39B7" w:rsidRDefault="00B72E4D" w:rsidP="00B72E4D">
            <w:pPr>
              <w:spacing w:line="276" w:lineRule="auto"/>
              <w:jc w:val="both"/>
              <w:rPr>
                <w:sz w:val="20"/>
                <w:szCs w:val="20"/>
              </w:rPr>
            </w:pPr>
          </w:p>
        </w:tc>
        <w:tc>
          <w:tcPr>
            <w:tcW w:w="330" w:type="pct"/>
          </w:tcPr>
          <w:p w:rsidR="00B72E4D" w:rsidRPr="006E39B7" w:rsidRDefault="00B72E4D" w:rsidP="00B72E4D">
            <w:pPr>
              <w:spacing w:line="276" w:lineRule="auto"/>
              <w:jc w:val="both"/>
              <w:rPr>
                <w:sz w:val="20"/>
                <w:szCs w:val="20"/>
              </w:rPr>
            </w:pPr>
          </w:p>
        </w:tc>
        <w:tc>
          <w:tcPr>
            <w:tcW w:w="494" w:type="pct"/>
          </w:tcPr>
          <w:p w:rsidR="00B72E4D" w:rsidRPr="006E39B7" w:rsidRDefault="00B72E4D" w:rsidP="00B72E4D">
            <w:pPr>
              <w:spacing w:line="276" w:lineRule="auto"/>
              <w:jc w:val="both"/>
              <w:rPr>
                <w:sz w:val="20"/>
                <w:szCs w:val="20"/>
              </w:rPr>
            </w:pPr>
          </w:p>
        </w:tc>
      </w:tr>
      <w:tr w:rsidR="00B72E4D" w:rsidRPr="006E39B7" w:rsidTr="00CA3075">
        <w:tc>
          <w:tcPr>
            <w:tcW w:w="287" w:type="pct"/>
          </w:tcPr>
          <w:p w:rsidR="00B72E4D" w:rsidRPr="006E39B7" w:rsidRDefault="00B72E4D" w:rsidP="00B72E4D">
            <w:pPr>
              <w:pStyle w:val="ListParagraph"/>
              <w:numPr>
                <w:ilvl w:val="0"/>
                <w:numId w:val="31"/>
              </w:numPr>
              <w:spacing w:line="276" w:lineRule="auto"/>
              <w:ind w:left="226" w:hanging="113"/>
              <w:jc w:val="both"/>
              <w:rPr>
                <w:sz w:val="20"/>
                <w:szCs w:val="20"/>
              </w:rPr>
            </w:pPr>
          </w:p>
        </w:tc>
        <w:tc>
          <w:tcPr>
            <w:tcW w:w="2482" w:type="pct"/>
          </w:tcPr>
          <w:p w:rsidR="00B72E4D" w:rsidRPr="00B72E4D" w:rsidRDefault="00B72E4D" w:rsidP="00B72E4D">
            <w:pPr>
              <w:rPr>
                <w:sz w:val="20"/>
                <w:szCs w:val="20"/>
              </w:rPr>
            </w:pPr>
            <w:r w:rsidRPr="00B72E4D">
              <w:rPr>
                <w:sz w:val="20"/>
                <w:szCs w:val="20"/>
              </w:rPr>
              <w:t>NStoc - Ponderea numărului de ATR emise de OTS pentru racordarea de noi unități de stocare energie, raportat la numărul cererilor de racordare de acest tip înregistrate de OTS [%]</w:t>
            </w:r>
          </w:p>
        </w:tc>
        <w:tc>
          <w:tcPr>
            <w:tcW w:w="352" w:type="pct"/>
          </w:tcPr>
          <w:p w:rsidR="00B72E4D" w:rsidRPr="006E39B7" w:rsidRDefault="00B72E4D" w:rsidP="00B72E4D">
            <w:pPr>
              <w:spacing w:line="276" w:lineRule="auto"/>
              <w:jc w:val="both"/>
              <w:rPr>
                <w:sz w:val="20"/>
                <w:szCs w:val="20"/>
              </w:rPr>
            </w:pPr>
          </w:p>
        </w:tc>
        <w:tc>
          <w:tcPr>
            <w:tcW w:w="352" w:type="pct"/>
          </w:tcPr>
          <w:p w:rsidR="00B72E4D" w:rsidRPr="006E39B7" w:rsidRDefault="00B72E4D" w:rsidP="00B72E4D">
            <w:pPr>
              <w:spacing w:line="276" w:lineRule="auto"/>
              <w:jc w:val="both"/>
              <w:rPr>
                <w:sz w:val="20"/>
                <w:szCs w:val="20"/>
              </w:rPr>
            </w:pPr>
          </w:p>
        </w:tc>
        <w:tc>
          <w:tcPr>
            <w:tcW w:w="352" w:type="pct"/>
          </w:tcPr>
          <w:p w:rsidR="00B72E4D" w:rsidRPr="006E39B7" w:rsidRDefault="00B72E4D" w:rsidP="00B72E4D">
            <w:pPr>
              <w:spacing w:line="276" w:lineRule="auto"/>
              <w:jc w:val="both"/>
              <w:rPr>
                <w:sz w:val="20"/>
                <w:szCs w:val="20"/>
              </w:rPr>
            </w:pPr>
          </w:p>
        </w:tc>
        <w:tc>
          <w:tcPr>
            <w:tcW w:w="351" w:type="pct"/>
          </w:tcPr>
          <w:p w:rsidR="00B72E4D" w:rsidRPr="006E39B7" w:rsidRDefault="00B72E4D" w:rsidP="00B72E4D">
            <w:pPr>
              <w:spacing w:line="276" w:lineRule="auto"/>
              <w:jc w:val="both"/>
              <w:rPr>
                <w:sz w:val="20"/>
                <w:szCs w:val="20"/>
              </w:rPr>
            </w:pPr>
          </w:p>
        </w:tc>
        <w:tc>
          <w:tcPr>
            <w:tcW w:w="330" w:type="pct"/>
          </w:tcPr>
          <w:p w:rsidR="00B72E4D" w:rsidRPr="006E39B7" w:rsidRDefault="00B72E4D" w:rsidP="00B72E4D">
            <w:pPr>
              <w:spacing w:line="276" w:lineRule="auto"/>
              <w:jc w:val="both"/>
              <w:rPr>
                <w:sz w:val="20"/>
                <w:szCs w:val="20"/>
              </w:rPr>
            </w:pPr>
          </w:p>
        </w:tc>
        <w:tc>
          <w:tcPr>
            <w:tcW w:w="494" w:type="pct"/>
          </w:tcPr>
          <w:p w:rsidR="00B72E4D" w:rsidRPr="006E39B7" w:rsidRDefault="00B72E4D" w:rsidP="00B72E4D">
            <w:pPr>
              <w:spacing w:line="276" w:lineRule="auto"/>
              <w:jc w:val="both"/>
              <w:rPr>
                <w:sz w:val="20"/>
                <w:szCs w:val="20"/>
              </w:rPr>
            </w:pPr>
          </w:p>
        </w:tc>
      </w:tr>
      <w:tr w:rsidR="00B72E4D" w:rsidRPr="006E39B7" w:rsidTr="00CA3075">
        <w:tc>
          <w:tcPr>
            <w:tcW w:w="287" w:type="pct"/>
          </w:tcPr>
          <w:p w:rsidR="00B72E4D" w:rsidRPr="006E39B7" w:rsidRDefault="00B72E4D" w:rsidP="00B72E4D">
            <w:pPr>
              <w:pStyle w:val="ListParagraph"/>
              <w:numPr>
                <w:ilvl w:val="0"/>
                <w:numId w:val="31"/>
              </w:numPr>
              <w:spacing w:line="276" w:lineRule="auto"/>
              <w:ind w:left="226" w:hanging="113"/>
              <w:jc w:val="both"/>
              <w:rPr>
                <w:sz w:val="20"/>
                <w:szCs w:val="20"/>
              </w:rPr>
            </w:pPr>
          </w:p>
        </w:tc>
        <w:tc>
          <w:tcPr>
            <w:tcW w:w="2482" w:type="pct"/>
          </w:tcPr>
          <w:p w:rsidR="00B72E4D" w:rsidRPr="00B72E4D" w:rsidRDefault="00B72E4D" w:rsidP="00B72E4D">
            <w:pPr>
              <w:rPr>
                <w:sz w:val="20"/>
                <w:szCs w:val="20"/>
              </w:rPr>
            </w:pPr>
            <w:r w:rsidRPr="00B72E4D">
              <w:rPr>
                <w:sz w:val="20"/>
                <w:szCs w:val="20"/>
              </w:rPr>
              <w:t>PStoc - Ponderea puterii totale aprobate pentru evacuare prin ATR emise de OTS pentru racordarea de noi unități de stocare energie, raportată la puterea totală solicitată prin cererile de racordare de acest tip înregistrate de OTS [%]</w:t>
            </w:r>
          </w:p>
        </w:tc>
        <w:tc>
          <w:tcPr>
            <w:tcW w:w="352" w:type="pct"/>
          </w:tcPr>
          <w:p w:rsidR="00B72E4D" w:rsidRPr="006E39B7" w:rsidRDefault="00B72E4D" w:rsidP="00B72E4D">
            <w:pPr>
              <w:spacing w:line="276" w:lineRule="auto"/>
              <w:jc w:val="both"/>
              <w:rPr>
                <w:sz w:val="20"/>
                <w:szCs w:val="20"/>
              </w:rPr>
            </w:pPr>
          </w:p>
        </w:tc>
        <w:tc>
          <w:tcPr>
            <w:tcW w:w="352" w:type="pct"/>
          </w:tcPr>
          <w:p w:rsidR="00B72E4D" w:rsidRPr="006E39B7" w:rsidRDefault="00B72E4D" w:rsidP="00B72E4D">
            <w:pPr>
              <w:spacing w:line="276" w:lineRule="auto"/>
              <w:jc w:val="both"/>
              <w:rPr>
                <w:sz w:val="20"/>
                <w:szCs w:val="20"/>
              </w:rPr>
            </w:pPr>
          </w:p>
        </w:tc>
        <w:tc>
          <w:tcPr>
            <w:tcW w:w="352" w:type="pct"/>
          </w:tcPr>
          <w:p w:rsidR="00B72E4D" w:rsidRPr="006E39B7" w:rsidRDefault="00B72E4D" w:rsidP="00B72E4D">
            <w:pPr>
              <w:spacing w:line="276" w:lineRule="auto"/>
              <w:jc w:val="both"/>
              <w:rPr>
                <w:sz w:val="20"/>
                <w:szCs w:val="20"/>
              </w:rPr>
            </w:pPr>
          </w:p>
        </w:tc>
        <w:tc>
          <w:tcPr>
            <w:tcW w:w="351" w:type="pct"/>
          </w:tcPr>
          <w:p w:rsidR="00B72E4D" w:rsidRPr="006E39B7" w:rsidRDefault="00B72E4D" w:rsidP="00B72E4D">
            <w:pPr>
              <w:spacing w:line="276" w:lineRule="auto"/>
              <w:jc w:val="both"/>
              <w:rPr>
                <w:sz w:val="20"/>
                <w:szCs w:val="20"/>
              </w:rPr>
            </w:pPr>
          </w:p>
        </w:tc>
        <w:tc>
          <w:tcPr>
            <w:tcW w:w="330" w:type="pct"/>
          </w:tcPr>
          <w:p w:rsidR="00B72E4D" w:rsidRPr="006E39B7" w:rsidRDefault="00B72E4D" w:rsidP="00B72E4D">
            <w:pPr>
              <w:spacing w:line="276" w:lineRule="auto"/>
              <w:jc w:val="both"/>
              <w:rPr>
                <w:sz w:val="20"/>
                <w:szCs w:val="20"/>
              </w:rPr>
            </w:pPr>
          </w:p>
        </w:tc>
        <w:tc>
          <w:tcPr>
            <w:tcW w:w="494" w:type="pct"/>
          </w:tcPr>
          <w:p w:rsidR="00B72E4D" w:rsidRPr="006E39B7" w:rsidRDefault="00B72E4D" w:rsidP="00B72E4D">
            <w:pPr>
              <w:spacing w:line="276" w:lineRule="auto"/>
              <w:jc w:val="both"/>
              <w:rPr>
                <w:sz w:val="20"/>
                <w:szCs w:val="20"/>
              </w:rPr>
            </w:pPr>
          </w:p>
        </w:tc>
      </w:tr>
      <w:bookmarkEnd w:id="50"/>
    </w:tbl>
    <w:p w:rsidR="00DA0667" w:rsidRPr="006E39B7" w:rsidRDefault="00DA0667" w:rsidP="00DA0667">
      <w:pPr>
        <w:spacing w:line="276" w:lineRule="auto"/>
        <w:jc w:val="right"/>
        <w:rPr>
          <w:b/>
          <w:sz w:val="20"/>
          <w:szCs w:val="20"/>
        </w:rPr>
      </w:pPr>
    </w:p>
    <w:p w:rsidR="00DA0667" w:rsidRDefault="00DA0667" w:rsidP="00DA0667">
      <w:pPr>
        <w:spacing w:line="276" w:lineRule="auto"/>
        <w:jc w:val="right"/>
        <w:rPr>
          <w:b/>
        </w:rPr>
        <w:sectPr w:rsidR="00DA0667" w:rsidSect="006A53F0">
          <w:pgSz w:w="12240" w:h="15840"/>
          <w:pgMar w:top="709" w:right="1183" w:bottom="1418" w:left="1276" w:header="0" w:footer="632" w:gutter="0"/>
          <w:cols w:space="708"/>
          <w:noEndnote/>
          <w:docGrid w:linePitch="360"/>
        </w:sectPr>
      </w:pPr>
    </w:p>
    <w:p w:rsidR="00DA0667" w:rsidRPr="006E39B7" w:rsidRDefault="00DA0667" w:rsidP="00DA0667">
      <w:pPr>
        <w:spacing w:line="276" w:lineRule="auto"/>
        <w:jc w:val="right"/>
        <w:rPr>
          <w:b/>
        </w:rPr>
      </w:pPr>
    </w:p>
    <w:tbl>
      <w:tblPr>
        <w:tblStyle w:val="TableGrid"/>
        <w:tblW w:w="5000" w:type="pct"/>
        <w:tblCellMar>
          <w:left w:w="85" w:type="dxa"/>
          <w:right w:w="85" w:type="dxa"/>
        </w:tblCellMar>
        <w:tblLook w:val="04A0" w:firstRow="1" w:lastRow="0" w:firstColumn="1" w:lastColumn="0" w:noHBand="0" w:noVBand="1"/>
      </w:tblPr>
      <w:tblGrid>
        <w:gridCol w:w="588"/>
        <w:gridCol w:w="3861"/>
        <w:gridCol w:w="645"/>
        <w:gridCol w:w="670"/>
        <w:gridCol w:w="645"/>
        <w:gridCol w:w="645"/>
        <w:gridCol w:w="651"/>
        <w:gridCol w:w="852"/>
        <w:gridCol w:w="1214"/>
      </w:tblGrid>
      <w:tr w:rsidR="00CA3075" w:rsidRPr="006E39B7" w:rsidTr="00B72E4D">
        <w:trPr>
          <w:tblHeader/>
        </w:trPr>
        <w:tc>
          <w:tcPr>
            <w:tcW w:w="301" w:type="pct"/>
            <w:vMerge w:val="restart"/>
            <w:vAlign w:val="center"/>
          </w:tcPr>
          <w:p w:rsidR="00CA3075" w:rsidRPr="006E39B7" w:rsidRDefault="00CA3075" w:rsidP="00CF6127">
            <w:pPr>
              <w:spacing w:line="276" w:lineRule="auto"/>
              <w:jc w:val="center"/>
              <w:rPr>
                <w:b/>
                <w:sz w:val="20"/>
                <w:szCs w:val="20"/>
              </w:rPr>
            </w:pPr>
            <w:r w:rsidRPr="006E39B7">
              <w:rPr>
                <w:b/>
                <w:sz w:val="20"/>
                <w:szCs w:val="20"/>
              </w:rPr>
              <w:t>Nr. crt.</w:t>
            </w:r>
          </w:p>
        </w:tc>
        <w:tc>
          <w:tcPr>
            <w:tcW w:w="1976" w:type="pct"/>
            <w:vMerge w:val="restart"/>
            <w:vAlign w:val="center"/>
          </w:tcPr>
          <w:p w:rsidR="00CA3075" w:rsidRPr="006E39B7" w:rsidRDefault="00CA3075" w:rsidP="00CF6127">
            <w:pPr>
              <w:spacing w:line="276" w:lineRule="auto"/>
              <w:jc w:val="center"/>
              <w:rPr>
                <w:b/>
                <w:sz w:val="20"/>
                <w:szCs w:val="20"/>
              </w:rPr>
            </w:pPr>
            <w:r w:rsidRPr="006E39B7">
              <w:rPr>
                <w:b/>
                <w:sz w:val="20"/>
                <w:szCs w:val="20"/>
              </w:rPr>
              <w:t>Denumire indicator</w:t>
            </w:r>
          </w:p>
        </w:tc>
        <w:tc>
          <w:tcPr>
            <w:tcW w:w="1666" w:type="pct"/>
            <w:gridSpan w:val="5"/>
            <w:vAlign w:val="center"/>
          </w:tcPr>
          <w:p w:rsidR="00CA3075" w:rsidRPr="006E39B7" w:rsidRDefault="00CA3075" w:rsidP="00CF6127">
            <w:pPr>
              <w:spacing w:line="276" w:lineRule="auto"/>
              <w:jc w:val="center"/>
              <w:rPr>
                <w:b/>
                <w:sz w:val="20"/>
                <w:szCs w:val="20"/>
              </w:rPr>
            </w:pPr>
            <w:r w:rsidRPr="006E39B7">
              <w:rPr>
                <w:b/>
                <w:sz w:val="20"/>
                <w:szCs w:val="20"/>
              </w:rPr>
              <w:t>Valoare anuală indicator</w:t>
            </w:r>
          </w:p>
        </w:tc>
        <w:tc>
          <w:tcPr>
            <w:tcW w:w="436" w:type="pct"/>
            <w:vMerge w:val="restart"/>
            <w:vAlign w:val="center"/>
          </w:tcPr>
          <w:p w:rsidR="00CA3075" w:rsidRDefault="00CA3075" w:rsidP="00CF6127">
            <w:pPr>
              <w:spacing w:line="276" w:lineRule="auto"/>
              <w:jc w:val="center"/>
              <w:rPr>
                <w:b/>
                <w:sz w:val="20"/>
                <w:szCs w:val="20"/>
                <w:vertAlign w:val="subscript"/>
              </w:rPr>
            </w:pPr>
            <w:r>
              <w:rPr>
                <w:b/>
                <w:sz w:val="20"/>
                <w:szCs w:val="20"/>
              </w:rPr>
              <w:t>I</w:t>
            </w:r>
            <w:r w:rsidRPr="000879AC">
              <w:rPr>
                <w:b/>
                <w:sz w:val="20"/>
                <w:szCs w:val="20"/>
                <w:vertAlign w:val="subscript"/>
              </w:rPr>
              <w:t>Ct</w:t>
            </w:r>
          </w:p>
          <w:p w:rsidR="00CA3075" w:rsidRPr="006E39B7" w:rsidRDefault="00CA3075" w:rsidP="00CF6127">
            <w:pPr>
              <w:spacing w:line="276" w:lineRule="auto"/>
              <w:jc w:val="center"/>
              <w:rPr>
                <w:b/>
                <w:sz w:val="20"/>
                <w:szCs w:val="20"/>
              </w:rPr>
            </w:pPr>
            <w:r w:rsidRPr="00C2218A">
              <w:rPr>
                <w:b/>
                <w:sz w:val="18"/>
                <w:szCs w:val="18"/>
              </w:rPr>
              <w:t>(art. 1</w:t>
            </w:r>
            <w:r w:rsidR="00DF19D2">
              <w:rPr>
                <w:b/>
                <w:sz w:val="18"/>
                <w:szCs w:val="18"/>
              </w:rPr>
              <w:t>5</w:t>
            </w:r>
            <w:r w:rsidRPr="00C2218A">
              <w:rPr>
                <w:b/>
                <w:sz w:val="18"/>
                <w:szCs w:val="18"/>
              </w:rPr>
              <w:t xml:space="preserve"> alin. (3))</w:t>
            </w:r>
          </w:p>
        </w:tc>
        <w:tc>
          <w:tcPr>
            <w:tcW w:w="621" w:type="pct"/>
            <w:vMerge w:val="restart"/>
            <w:vAlign w:val="center"/>
          </w:tcPr>
          <w:p w:rsidR="00CA3075" w:rsidRPr="008C030C" w:rsidRDefault="00CA3075" w:rsidP="00CF6127">
            <w:pPr>
              <w:spacing w:line="276" w:lineRule="auto"/>
              <w:jc w:val="center"/>
              <w:rPr>
                <w:b/>
                <w:sz w:val="18"/>
                <w:szCs w:val="18"/>
              </w:rPr>
            </w:pPr>
            <w:r w:rsidRPr="008C030C">
              <w:rPr>
                <w:b/>
                <w:sz w:val="18"/>
                <w:szCs w:val="18"/>
              </w:rPr>
              <w:t>Valoare țintă aferentă perioadei</w:t>
            </w:r>
          </w:p>
          <w:p w:rsidR="00CA3075" w:rsidRPr="008C030C" w:rsidRDefault="00CA3075" w:rsidP="00CF6127">
            <w:pPr>
              <w:spacing w:line="276" w:lineRule="auto"/>
              <w:jc w:val="center"/>
              <w:rPr>
                <w:b/>
                <w:sz w:val="18"/>
                <w:szCs w:val="18"/>
              </w:rPr>
            </w:pPr>
            <w:r w:rsidRPr="008C030C">
              <w:rPr>
                <w:b/>
                <w:sz w:val="18"/>
                <w:szCs w:val="18"/>
              </w:rPr>
              <w:t>V</w:t>
            </w:r>
            <w:r w:rsidRPr="008C030C">
              <w:rPr>
                <w:b/>
                <w:sz w:val="18"/>
                <w:szCs w:val="18"/>
                <w:vertAlign w:val="subscript"/>
              </w:rPr>
              <w:t>țintă</w:t>
            </w:r>
            <w:r w:rsidRPr="008C030C">
              <w:rPr>
                <w:b/>
                <w:sz w:val="18"/>
                <w:szCs w:val="18"/>
              </w:rPr>
              <w:t xml:space="preserve"> [%]</w:t>
            </w:r>
          </w:p>
        </w:tc>
      </w:tr>
      <w:tr w:rsidR="00CA3075" w:rsidRPr="006E39B7" w:rsidTr="00B72E4D">
        <w:trPr>
          <w:tblHeader/>
        </w:trPr>
        <w:tc>
          <w:tcPr>
            <w:tcW w:w="301" w:type="pct"/>
            <w:vMerge/>
          </w:tcPr>
          <w:p w:rsidR="00CA3075" w:rsidRPr="006E39B7" w:rsidRDefault="00CA3075" w:rsidP="00CF6127">
            <w:pPr>
              <w:spacing w:line="276" w:lineRule="auto"/>
              <w:jc w:val="both"/>
              <w:rPr>
                <w:b/>
                <w:sz w:val="20"/>
                <w:szCs w:val="20"/>
              </w:rPr>
            </w:pPr>
          </w:p>
        </w:tc>
        <w:tc>
          <w:tcPr>
            <w:tcW w:w="1976" w:type="pct"/>
            <w:vMerge/>
          </w:tcPr>
          <w:p w:rsidR="00CA3075" w:rsidRPr="006E39B7" w:rsidRDefault="00CA3075" w:rsidP="00CF6127">
            <w:pPr>
              <w:spacing w:line="276" w:lineRule="auto"/>
              <w:jc w:val="both"/>
              <w:rPr>
                <w:b/>
                <w:sz w:val="20"/>
                <w:szCs w:val="20"/>
              </w:rPr>
            </w:pPr>
          </w:p>
        </w:tc>
        <w:tc>
          <w:tcPr>
            <w:tcW w:w="330" w:type="pct"/>
            <w:vAlign w:val="center"/>
          </w:tcPr>
          <w:p w:rsidR="00CA3075" w:rsidRPr="006E39B7" w:rsidRDefault="00CA3075" w:rsidP="00CF6127">
            <w:pPr>
              <w:spacing w:line="276" w:lineRule="auto"/>
              <w:jc w:val="center"/>
              <w:rPr>
                <w:b/>
                <w:sz w:val="20"/>
                <w:szCs w:val="20"/>
              </w:rPr>
            </w:pPr>
            <w:r w:rsidRPr="006E39B7">
              <w:rPr>
                <w:b/>
                <w:sz w:val="20"/>
                <w:szCs w:val="20"/>
              </w:rPr>
              <w:t>An</w:t>
            </w:r>
            <w:r w:rsidRPr="006E39B7">
              <w:rPr>
                <w:b/>
                <w:sz w:val="20"/>
                <w:szCs w:val="20"/>
                <w:vertAlign w:val="subscript"/>
              </w:rPr>
              <w:t>t-4</w:t>
            </w:r>
          </w:p>
        </w:tc>
        <w:tc>
          <w:tcPr>
            <w:tcW w:w="343" w:type="pct"/>
            <w:vAlign w:val="center"/>
          </w:tcPr>
          <w:p w:rsidR="00CA3075" w:rsidRPr="006E39B7" w:rsidRDefault="00CA3075" w:rsidP="00CF6127">
            <w:pPr>
              <w:spacing w:line="276" w:lineRule="auto"/>
              <w:jc w:val="center"/>
              <w:rPr>
                <w:b/>
                <w:sz w:val="20"/>
                <w:szCs w:val="20"/>
              </w:rPr>
            </w:pPr>
            <w:r w:rsidRPr="006E39B7">
              <w:rPr>
                <w:b/>
                <w:sz w:val="20"/>
                <w:szCs w:val="20"/>
              </w:rPr>
              <w:t>An</w:t>
            </w:r>
            <w:r w:rsidRPr="006E39B7">
              <w:rPr>
                <w:b/>
                <w:sz w:val="20"/>
                <w:szCs w:val="20"/>
                <w:vertAlign w:val="subscript"/>
              </w:rPr>
              <w:t>t-3</w:t>
            </w:r>
          </w:p>
        </w:tc>
        <w:tc>
          <w:tcPr>
            <w:tcW w:w="330" w:type="pct"/>
            <w:vAlign w:val="center"/>
          </w:tcPr>
          <w:p w:rsidR="00CA3075" w:rsidRPr="006E39B7" w:rsidRDefault="00CA3075" w:rsidP="00CF6127">
            <w:pPr>
              <w:spacing w:line="276" w:lineRule="auto"/>
              <w:jc w:val="center"/>
              <w:rPr>
                <w:b/>
                <w:sz w:val="20"/>
                <w:szCs w:val="20"/>
              </w:rPr>
            </w:pPr>
            <w:r w:rsidRPr="006E39B7">
              <w:rPr>
                <w:b/>
                <w:sz w:val="20"/>
                <w:szCs w:val="20"/>
              </w:rPr>
              <w:t>An</w:t>
            </w:r>
            <w:r w:rsidRPr="006E39B7">
              <w:rPr>
                <w:b/>
                <w:sz w:val="20"/>
                <w:szCs w:val="20"/>
                <w:vertAlign w:val="subscript"/>
              </w:rPr>
              <w:t>t-2</w:t>
            </w:r>
          </w:p>
        </w:tc>
        <w:tc>
          <w:tcPr>
            <w:tcW w:w="330" w:type="pct"/>
            <w:vAlign w:val="center"/>
          </w:tcPr>
          <w:p w:rsidR="00CA3075" w:rsidRPr="006E39B7" w:rsidRDefault="00CA3075" w:rsidP="00CF6127">
            <w:pPr>
              <w:spacing w:line="276" w:lineRule="auto"/>
              <w:jc w:val="center"/>
              <w:rPr>
                <w:b/>
                <w:sz w:val="20"/>
                <w:szCs w:val="20"/>
              </w:rPr>
            </w:pPr>
            <w:r w:rsidRPr="006E39B7">
              <w:rPr>
                <w:b/>
                <w:sz w:val="20"/>
                <w:szCs w:val="20"/>
              </w:rPr>
              <w:t>An</w:t>
            </w:r>
            <w:r w:rsidRPr="006E39B7">
              <w:rPr>
                <w:b/>
                <w:sz w:val="20"/>
                <w:szCs w:val="20"/>
                <w:vertAlign w:val="subscript"/>
              </w:rPr>
              <w:t>t-1</w:t>
            </w:r>
          </w:p>
        </w:tc>
        <w:tc>
          <w:tcPr>
            <w:tcW w:w="333" w:type="pct"/>
            <w:vAlign w:val="center"/>
          </w:tcPr>
          <w:p w:rsidR="00CA3075" w:rsidRPr="006E39B7" w:rsidRDefault="00CA3075" w:rsidP="00CF6127">
            <w:pPr>
              <w:spacing w:line="276" w:lineRule="auto"/>
              <w:jc w:val="center"/>
              <w:rPr>
                <w:b/>
                <w:sz w:val="20"/>
                <w:szCs w:val="20"/>
              </w:rPr>
            </w:pPr>
            <w:r w:rsidRPr="006E39B7">
              <w:rPr>
                <w:b/>
                <w:sz w:val="20"/>
                <w:szCs w:val="20"/>
              </w:rPr>
              <w:t>An</w:t>
            </w:r>
            <w:r w:rsidRPr="006E39B7">
              <w:rPr>
                <w:b/>
                <w:sz w:val="20"/>
                <w:szCs w:val="20"/>
                <w:vertAlign w:val="subscript"/>
              </w:rPr>
              <w:t>t</w:t>
            </w:r>
          </w:p>
        </w:tc>
        <w:tc>
          <w:tcPr>
            <w:tcW w:w="436" w:type="pct"/>
            <w:vMerge/>
          </w:tcPr>
          <w:p w:rsidR="00CA3075" w:rsidRPr="006E39B7" w:rsidRDefault="00CA3075" w:rsidP="00CF6127">
            <w:pPr>
              <w:spacing w:line="276" w:lineRule="auto"/>
              <w:jc w:val="both"/>
              <w:rPr>
                <w:b/>
                <w:sz w:val="20"/>
                <w:szCs w:val="20"/>
              </w:rPr>
            </w:pPr>
          </w:p>
        </w:tc>
        <w:tc>
          <w:tcPr>
            <w:tcW w:w="621" w:type="pct"/>
            <w:vMerge/>
          </w:tcPr>
          <w:p w:rsidR="00CA3075" w:rsidRPr="006E39B7" w:rsidRDefault="00CA3075" w:rsidP="00CF6127">
            <w:pPr>
              <w:spacing w:line="276" w:lineRule="auto"/>
              <w:jc w:val="both"/>
              <w:rPr>
                <w:b/>
                <w:sz w:val="20"/>
                <w:szCs w:val="20"/>
              </w:rPr>
            </w:pPr>
          </w:p>
        </w:tc>
      </w:tr>
      <w:tr w:rsidR="00145A08" w:rsidRPr="006E39B7" w:rsidTr="00145A08">
        <w:trPr>
          <w:tblHeader/>
        </w:trPr>
        <w:tc>
          <w:tcPr>
            <w:tcW w:w="301" w:type="pct"/>
            <w:vAlign w:val="center"/>
          </w:tcPr>
          <w:p w:rsidR="00145A08" w:rsidRPr="006E39B7" w:rsidRDefault="00145A08" w:rsidP="00145A08">
            <w:pPr>
              <w:spacing w:line="276" w:lineRule="auto"/>
              <w:jc w:val="center"/>
              <w:rPr>
                <w:b/>
                <w:sz w:val="20"/>
                <w:szCs w:val="20"/>
              </w:rPr>
            </w:pPr>
            <w:r>
              <w:rPr>
                <w:b/>
                <w:sz w:val="20"/>
                <w:szCs w:val="20"/>
              </w:rPr>
              <w:t>1</w:t>
            </w:r>
          </w:p>
        </w:tc>
        <w:tc>
          <w:tcPr>
            <w:tcW w:w="1976" w:type="pct"/>
            <w:vAlign w:val="center"/>
          </w:tcPr>
          <w:p w:rsidR="00145A08" w:rsidRPr="006E39B7" w:rsidRDefault="00145A08" w:rsidP="00145A08">
            <w:pPr>
              <w:spacing w:line="276" w:lineRule="auto"/>
              <w:jc w:val="center"/>
              <w:rPr>
                <w:b/>
                <w:sz w:val="20"/>
                <w:szCs w:val="20"/>
              </w:rPr>
            </w:pPr>
            <w:r>
              <w:rPr>
                <w:b/>
                <w:sz w:val="20"/>
                <w:szCs w:val="20"/>
              </w:rPr>
              <w:t>2</w:t>
            </w:r>
          </w:p>
        </w:tc>
        <w:tc>
          <w:tcPr>
            <w:tcW w:w="330" w:type="pct"/>
            <w:vAlign w:val="center"/>
          </w:tcPr>
          <w:p w:rsidR="00145A08" w:rsidRPr="006E39B7" w:rsidRDefault="00145A08" w:rsidP="00145A08">
            <w:pPr>
              <w:spacing w:line="276" w:lineRule="auto"/>
              <w:jc w:val="center"/>
              <w:rPr>
                <w:b/>
                <w:sz w:val="20"/>
                <w:szCs w:val="20"/>
              </w:rPr>
            </w:pPr>
            <w:r>
              <w:rPr>
                <w:b/>
                <w:sz w:val="20"/>
                <w:szCs w:val="20"/>
              </w:rPr>
              <w:t>3</w:t>
            </w:r>
          </w:p>
        </w:tc>
        <w:tc>
          <w:tcPr>
            <w:tcW w:w="343" w:type="pct"/>
            <w:vAlign w:val="center"/>
          </w:tcPr>
          <w:p w:rsidR="00145A08" w:rsidRPr="006E39B7" w:rsidRDefault="00145A08" w:rsidP="00145A08">
            <w:pPr>
              <w:spacing w:line="276" w:lineRule="auto"/>
              <w:jc w:val="center"/>
              <w:rPr>
                <w:b/>
                <w:sz w:val="20"/>
                <w:szCs w:val="20"/>
              </w:rPr>
            </w:pPr>
            <w:r>
              <w:rPr>
                <w:b/>
                <w:sz w:val="20"/>
                <w:szCs w:val="20"/>
              </w:rPr>
              <w:t>4</w:t>
            </w:r>
          </w:p>
        </w:tc>
        <w:tc>
          <w:tcPr>
            <w:tcW w:w="330" w:type="pct"/>
            <w:vAlign w:val="center"/>
          </w:tcPr>
          <w:p w:rsidR="00145A08" w:rsidRPr="006E39B7" w:rsidRDefault="00145A08" w:rsidP="00145A08">
            <w:pPr>
              <w:spacing w:line="276" w:lineRule="auto"/>
              <w:jc w:val="center"/>
              <w:rPr>
                <w:b/>
                <w:sz w:val="20"/>
                <w:szCs w:val="20"/>
              </w:rPr>
            </w:pPr>
            <w:r>
              <w:rPr>
                <w:b/>
                <w:sz w:val="20"/>
                <w:szCs w:val="20"/>
              </w:rPr>
              <w:t>5</w:t>
            </w:r>
          </w:p>
        </w:tc>
        <w:tc>
          <w:tcPr>
            <w:tcW w:w="330" w:type="pct"/>
            <w:vAlign w:val="center"/>
          </w:tcPr>
          <w:p w:rsidR="00145A08" w:rsidRPr="006E39B7" w:rsidRDefault="00145A08" w:rsidP="00145A08">
            <w:pPr>
              <w:spacing w:line="276" w:lineRule="auto"/>
              <w:jc w:val="center"/>
              <w:rPr>
                <w:b/>
                <w:sz w:val="20"/>
                <w:szCs w:val="20"/>
              </w:rPr>
            </w:pPr>
            <w:r>
              <w:rPr>
                <w:b/>
                <w:sz w:val="20"/>
                <w:szCs w:val="20"/>
              </w:rPr>
              <w:t>6</w:t>
            </w:r>
          </w:p>
        </w:tc>
        <w:tc>
          <w:tcPr>
            <w:tcW w:w="333" w:type="pct"/>
            <w:vAlign w:val="center"/>
          </w:tcPr>
          <w:p w:rsidR="00145A08" w:rsidRPr="006E39B7" w:rsidRDefault="00145A08" w:rsidP="00145A08">
            <w:pPr>
              <w:spacing w:line="276" w:lineRule="auto"/>
              <w:jc w:val="center"/>
              <w:rPr>
                <w:b/>
                <w:sz w:val="20"/>
                <w:szCs w:val="20"/>
              </w:rPr>
            </w:pPr>
            <w:r>
              <w:rPr>
                <w:b/>
                <w:sz w:val="20"/>
                <w:szCs w:val="20"/>
              </w:rPr>
              <w:t>7</w:t>
            </w:r>
          </w:p>
        </w:tc>
        <w:tc>
          <w:tcPr>
            <w:tcW w:w="436" w:type="pct"/>
            <w:vAlign w:val="center"/>
          </w:tcPr>
          <w:p w:rsidR="00145A08" w:rsidRPr="006E39B7" w:rsidRDefault="00145A08" w:rsidP="00145A08">
            <w:pPr>
              <w:spacing w:line="276" w:lineRule="auto"/>
              <w:jc w:val="center"/>
              <w:rPr>
                <w:b/>
                <w:sz w:val="20"/>
                <w:szCs w:val="20"/>
              </w:rPr>
            </w:pPr>
            <w:r>
              <w:rPr>
                <w:b/>
                <w:sz w:val="20"/>
                <w:szCs w:val="20"/>
              </w:rPr>
              <w:t>8</w:t>
            </w:r>
          </w:p>
        </w:tc>
        <w:tc>
          <w:tcPr>
            <w:tcW w:w="621" w:type="pct"/>
            <w:vAlign w:val="center"/>
          </w:tcPr>
          <w:p w:rsidR="00145A08" w:rsidRPr="006E39B7" w:rsidRDefault="00145A08" w:rsidP="00145A08">
            <w:pPr>
              <w:spacing w:line="276" w:lineRule="auto"/>
              <w:jc w:val="center"/>
              <w:rPr>
                <w:b/>
                <w:sz w:val="20"/>
                <w:szCs w:val="20"/>
              </w:rPr>
            </w:pPr>
            <w:r>
              <w:rPr>
                <w:b/>
                <w:sz w:val="20"/>
                <w:szCs w:val="20"/>
              </w:rPr>
              <w:t>9</w:t>
            </w:r>
          </w:p>
        </w:tc>
      </w:tr>
      <w:tr w:rsidR="00CA3075" w:rsidRPr="006E39B7" w:rsidTr="00BE0BCB">
        <w:tc>
          <w:tcPr>
            <w:tcW w:w="301" w:type="pct"/>
          </w:tcPr>
          <w:p w:rsidR="00CA3075" w:rsidRPr="006E39B7" w:rsidRDefault="00CA3075" w:rsidP="00CF6127">
            <w:pPr>
              <w:spacing w:line="276" w:lineRule="auto"/>
              <w:jc w:val="both"/>
              <w:rPr>
                <w:b/>
                <w:sz w:val="20"/>
                <w:szCs w:val="20"/>
              </w:rPr>
            </w:pPr>
          </w:p>
        </w:tc>
        <w:tc>
          <w:tcPr>
            <w:tcW w:w="4699" w:type="pct"/>
            <w:gridSpan w:val="8"/>
            <w:vAlign w:val="center"/>
          </w:tcPr>
          <w:p w:rsidR="00CA3075" w:rsidRPr="006E39B7" w:rsidRDefault="00CA3075" w:rsidP="00CF6127">
            <w:pPr>
              <w:spacing w:line="276" w:lineRule="auto"/>
              <w:jc w:val="both"/>
              <w:rPr>
                <w:b/>
                <w:sz w:val="20"/>
                <w:szCs w:val="20"/>
              </w:rPr>
            </w:pPr>
            <w:bookmarkStart w:id="51" w:name="_Hlk180068632"/>
            <w:r w:rsidRPr="006E39B7">
              <w:rPr>
                <w:b/>
                <w:sz w:val="20"/>
                <w:szCs w:val="20"/>
              </w:rPr>
              <w:t xml:space="preserve">C. Indicatori care reflectă nivelul de digitalizare a rețelelor de </w:t>
            </w:r>
            <w:r w:rsidR="00DF19D2">
              <w:rPr>
                <w:b/>
                <w:sz w:val="20"/>
                <w:szCs w:val="20"/>
              </w:rPr>
              <w:t>transport</w:t>
            </w:r>
            <w:r w:rsidRPr="006E39B7">
              <w:rPr>
                <w:b/>
                <w:sz w:val="20"/>
                <w:szCs w:val="20"/>
              </w:rPr>
              <w:t xml:space="preserve"> a</w:t>
            </w:r>
            <w:r w:rsidR="00DF19D2">
              <w:rPr>
                <w:b/>
                <w:sz w:val="20"/>
                <w:szCs w:val="20"/>
              </w:rPr>
              <w:t>l</w:t>
            </w:r>
            <w:r w:rsidRPr="006E39B7">
              <w:rPr>
                <w:b/>
                <w:sz w:val="20"/>
                <w:szCs w:val="20"/>
              </w:rPr>
              <w:t xml:space="preserve"> energiei electrice:</w:t>
            </w:r>
            <w:bookmarkEnd w:id="51"/>
          </w:p>
        </w:tc>
      </w:tr>
      <w:tr w:rsidR="00B72E4D" w:rsidRPr="006E39B7" w:rsidTr="00B72E4D">
        <w:tc>
          <w:tcPr>
            <w:tcW w:w="301" w:type="pct"/>
          </w:tcPr>
          <w:p w:rsidR="00B72E4D" w:rsidRPr="006E39B7" w:rsidRDefault="00B72E4D" w:rsidP="00B72E4D">
            <w:pPr>
              <w:pStyle w:val="ListParagraph"/>
              <w:numPr>
                <w:ilvl w:val="0"/>
                <w:numId w:val="32"/>
              </w:numPr>
              <w:tabs>
                <w:tab w:val="left" w:pos="396"/>
              </w:tabs>
              <w:spacing w:line="276" w:lineRule="auto"/>
              <w:ind w:left="226" w:hanging="113"/>
              <w:jc w:val="both"/>
              <w:rPr>
                <w:sz w:val="20"/>
                <w:szCs w:val="20"/>
              </w:rPr>
            </w:pPr>
            <w:bookmarkStart w:id="52" w:name="_Hlk180068645"/>
          </w:p>
        </w:tc>
        <w:tc>
          <w:tcPr>
            <w:tcW w:w="1976" w:type="pct"/>
          </w:tcPr>
          <w:p w:rsidR="00B72E4D" w:rsidRPr="00B72E4D" w:rsidRDefault="00B72E4D" w:rsidP="00B72E4D">
            <w:pPr>
              <w:rPr>
                <w:sz w:val="20"/>
                <w:szCs w:val="20"/>
              </w:rPr>
            </w:pPr>
            <w:r w:rsidRPr="00B72E4D">
              <w:rPr>
                <w:sz w:val="20"/>
                <w:szCs w:val="20"/>
              </w:rPr>
              <w:t>ST – Ponderea numărului de stații de transformare sau de conexiune automatizate care permit acționarea de la distanță, care funcționează fără personal de deservire în stație și sunt monitorizate prin intermediul CTSI, raportat la numărul total al staţiilor de transformare sau de conexiune din gestiunea OTS [%]</w:t>
            </w:r>
          </w:p>
        </w:tc>
        <w:tc>
          <w:tcPr>
            <w:tcW w:w="330" w:type="pct"/>
          </w:tcPr>
          <w:p w:rsidR="00B72E4D" w:rsidRPr="006E39B7" w:rsidRDefault="00B72E4D" w:rsidP="00B72E4D">
            <w:pPr>
              <w:spacing w:line="276" w:lineRule="auto"/>
              <w:jc w:val="both"/>
              <w:rPr>
                <w:sz w:val="20"/>
                <w:szCs w:val="20"/>
              </w:rPr>
            </w:pPr>
          </w:p>
        </w:tc>
        <w:tc>
          <w:tcPr>
            <w:tcW w:w="343" w:type="pct"/>
          </w:tcPr>
          <w:p w:rsidR="00B72E4D" w:rsidRPr="006E39B7" w:rsidRDefault="00B72E4D" w:rsidP="00B72E4D">
            <w:pPr>
              <w:spacing w:line="276" w:lineRule="auto"/>
              <w:jc w:val="both"/>
              <w:rPr>
                <w:sz w:val="20"/>
                <w:szCs w:val="20"/>
              </w:rPr>
            </w:pPr>
          </w:p>
        </w:tc>
        <w:tc>
          <w:tcPr>
            <w:tcW w:w="330" w:type="pct"/>
          </w:tcPr>
          <w:p w:rsidR="00B72E4D" w:rsidRPr="006E39B7" w:rsidRDefault="00B72E4D" w:rsidP="00B72E4D">
            <w:pPr>
              <w:spacing w:line="276" w:lineRule="auto"/>
              <w:jc w:val="both"/>
              <w:rPr>
                <w:sz w:val="20"/>
                <w:szCs w:val="20"/>
              </w:rPr>
            </w:pPr>
          </w:p>
        </w:tc>
        <w:tc>
          <w:tcPr>
            <w:tcW w:w="330" w:type="pct"/>
          </w:tcPr>
          <w:p w:rsidR="00B72E4D" w:rsidRPr="006E39B7" w:rsidRDefault="00B72E4D" w:rsidP="00B72E4D">
            <w:pPr>
              <w:spacing w:line="276" w:lineRule="auto"/>
              <w:jc w:val="both"/>
              <w:rPr>
                <w:sz w:val="20"/>
                <w:szCs w:val="20"/>
              </w:rPr>
            </w:pPr>
          </w:p>
        </w:tc>
        <w:tc>
          <w:tcPr>
            <w:tcW w:w="333" w:type="pct"/>
          </w:tcPr>
          <w:p w:rsidR="00B72E4D" w:rsidRPr="006E39B7" w:rsidRDefault="00B72E4D" w:rsidP="00B72E4D">
            <w:pPr>
              <w:spacing w:line="276" w:lineRule="auto"/>
              <w:jc w:val="both"/>
              <w:rPr>
                <w:sz w:val="20"/>
                <w:szCs w:val="20"/>
              </w:rPr>
            </w:pPr>
          </w:p>
        </w:tc>
        <w:tc>
          <w:tcPr>
            <w:tcW w:w="436" w:type="pct"/>
          </w:tcPr>
          <w:p w:rsidR="00B72E4D" w:rsidRPr="006E39B7" w:rsidRDefault="00B72E4D" w:rsidP="00B72E4D">
            <w:pPr>
              <w:spacing w:line="276" w:lineRule="auto"/>
              <w:jc w:val="both"/>
              <w:rPr>
                <w:sz w:val="20"/>
                <w:szCs w:val="20"/>
              </w:rPr>
            </w:pPr>
          </w:p>
        </w:tc>
        <w:tc>
          <w:tcPr>
            <w:tcW w:w="621" w:type="pct"/>
          </w:tcPr>
          <w:p w:rsidR="00B72E4D" w:rsidRPr="006E39B7" w:rsidRDefault="00B72E4D" w:rsidP="00B72E4D">
            <w:pPr>
              <w:spacing w:line="276" w:lineRule="auto"/>
              <w:jc w:val="both"/>
              <w:rPr>
                <w:sz w:val="20"/>
                <w:szCs w:val="20"/>
              </w:rPr>
            </w:pPr>
          </w:p>
        </w:tc>
      </w:tr>
      <w:tr w:rsidR="00B72E4D" w:rsidRPr="006E39B7" w:rsidTr="00B72E4D">
        <w:tc>
          <w:tcPr>
            <w:tcW w:w="301" w:type="pct"/>
          </w:tcPr>
          <w:p w:rsidR="00B72E4D" w:rsidRPr="006E39B7" w:rsidRDefault="00B72E4D" w:rsidP="00B72E4D">
            <w:pPr>
              <w:pStyle w:val="ListParagraph"/>
              <w:numPr>
                <w:ilvl w:val="0"/>
                <w:numId w:val="32"/>
              </w:numPr>
              <w:tabs>
                <w:tab w:val="left" w:pos="396"/>
              </w:tabs>
              <w:spacing w:line="276" w:lineRule="auto"/>
              <w:ind w:left="226" w:hanging="113"/>
              <w:jc w:val="both"/>
              <w:rPr>
                <w:sz w:val="20"/>
                <w:szCs w:val="20"/>
              </w:rPr>
            </w:pPr>
          </w:p>
        </w:tc>
        <w:tc>
          <w:tcPr>
            <w:tcW w:w="1976" w:type="pct"/>
          </w:tcPr>
          <w:p w:rsidR="00B72E4D" w:rsidRPr="00B72E4D" w:rsidRDefault="00B72E4D" w:rsidP="00B72E4D">
            <w:pPr>
              <w:rPr>
                <w:sz w:val="20"/>
                <w:szCs w:val="20"/>
              </w:rPr>
            </w:pPr>
            <w:r w:rsidRPr="00B72E4D">
              <w:rPr>
                <w:sz w:val="20"/>
                <w:szCs w:val="20"/>
              </w:rPr>
              <w:t>Lin – Ponderea numărului de linii electrice de înaltă tensiune prevazute cu sisteme de monitorizare în timp real a parametrilor, raportat la numărul total al liniilor electrice din gestiunea OTS [%]</w:t>
            </w:r>
          </w:p>
        </w:tc>
        <w:tc>
          <w:tcPr>
            <w:tcW w:w="330" w:type="pct"/>
          </w:tcPr>
          <w:p w:rsidR="00B72E4D" w:rsidRPr="006E39B7" w:rsidRDefault="00B72E4D" w:rsidP="00B72E4D">
            <w:pPr>
              <w:spacing w:line="276" w:lineRule="auto"/>
              <w:jc w:val="both"/>
              <w:rPr>
                <w:sz w:val="20"/>
                <w:szCs w:val="20"/>
              </w:rPr>
            </w:pPr>
          </w:p>
        </w:tc>
        <w:tc>
          <w:tcPr>
            <w:tcW w:w="343" w:type="pct"/>
          </w:tcPr>
          <w:p w:rsidR="00B72E4D" w:rsidRPr="006E39B7" w:rsidRDefault="00B72E4D" w:rsidP="00B72E4D">
            <w:pPr>
              <w:spacing w:line="276" w:lineRule="auto"/>
              <w:jc w:val="both"/>
              <w:rPr>
                <w:sz w:val="20"/>
                <w:szCs w:val="20"/>
              </w:rPr>
            </w:pPr>
          </w:p>
        </w:tc>
        <w:tc>
          <w:tcPr>
            <w:tcW w:w="330" w:type="pct"/>
          </w:tcPr>
          <w:p w:rsidR="00B72E4D" w:rsidRPr="006E39B7" w:rsidRDefault="00B72E4D" w:rsidP="00B72E4D">
            <w:pPr>
              <w:spacing w:line="276" w:lineRule="auto"/>
              <w:jc w:val="both"/>
              <w:rPr>
                <w:sz w:val="20"/>
                <w:szCs w:val="20"/>
              </w:rPr>
            </w:pPr>
          </w:p>
        </w:tc>
        <w:tc>
          <w:tcPr>
            <w:tcW w:w="330" w:type="pct"/>
          </w:tcPr>
          <w:p w:rsidR="00B72E4D" w:rsidRPr="006E39B7" w:rsidRDefault="00B72E4D" w:rsidP="00B72E4D">
            <w:pPr>
              <w:spacing w:line="276" w:lineRule="auto"/>
              <w:jc w:val="both"/>
              <w:rPr>
                <w:sz w:val="20"/>
                <w:szCs w:val="20"/>
              </w:rPr>
            </w:pPr>
          </w:p>
        </w:tc>
        <w:tc>
          <w:tcPr>
            <w:tcW w:w="333" w:type="pct"/>
          </w:tcPr>
          <w:p w:rsidR="00B72E4D" w:rsidRPr="006E39B7" w:rsidRDefault="00B72E4D" w:rsidP="00B72E4D">
            <w:pPr>
              <w:spacing w:line="276" w:lineRule="auto"/>
              <w:jc w:val="both"/>
              <w:rPr>
                <w:sz w:val="20"/>
                <w:szCs w:val="20"/>
              </w:rPr>
            </w:pPr>
          </w:p>
        </w:tc>
        <w:tc>
          <w:tcPr>
            <w:tcW w:w="436" w:type="pct"/>
          </w:tcPr>
          <w:p w:rsidR="00B72E4D" w:rsidRPr="006E39B7" w:rsidRDefault="00B72E4D" w:rsidP="00B72E4D">
            <w:pPr>
              <w:spacing w:line="276" w:lineRule="auto"/>
              <w:jc w:val="both"/>
              <w:rPr>
                <w:sz w:val="20"/>
                <w:szCs w:val="20"/>
              </w:rPr>
            </w:pPr>
          </w:p>
        </w:tc>
        <w:tc>
          <w:tcPr>
            <w:tcW w:w="621" w:type="pct"/>
          </w:tcPr>
          <w:p w:rsidR="00B72E4D" w:rsidRPr="006E39B7" w:rsidRDefault="00B72E4D" w:rsidP="00B72E4D">
            <w:pPr>
              <w:spacing w:line="276" w:lineRule="auto"/>
              <w:jc w:val="both"/>
              <w:rPr>
                <w:sz w:val="20"/>
                <w:szCs w:val="20"/>
              </w:rPr>
            </w:pPr>
          </w:p>
        </w:tc>
      </w:tr>
      <w:tr w:rsidR="00B72E4D" w:rsidRPr="006E39B7" w:rsidTr="00B72E4D">
        <w:tc>
          <w:tcPr>
            <w:tcW w:w="301" w:type="pct"/>
          </w:tcPr>
          <w:p w:rsidR="00B72E4D" w:rsidRPr="006E39B7" w:rsidRDefault="00B72E4D" w:rsidP="00B72E4D">
            <w:pPr>
              <w:pStyle w:val="ListParagraph"/>
              <w:numPr>
                <w:ilvl w:val="0"/>
                <w:numId w:val="32"/>
              </w:numPr>
              <w:tabs>
                <w:tab w:val="left" w:pos="396"/>
              </w:tabs>
              <w:spacing w:line="276" w:lineRule="auto"/>
              <w:ind w:left="226" w:hanging="113"/>
              <w:jc w:val="both"/>
              <w:rPr>
                <w:sz w:val="20"/>
                <w:szCs w:val="20"/>
              </w:rPr>
            </w:pPr>
          </w:p>
        </w:tc>
        <w:tc>
          <w:tcPr>
            <w:tcW w:w="1976" w:type="pct"/>
          </w:tcPr>
          <w:p w:rsidR="00B72E4D" w:rsidRPr="00B72E4D" w:rsidRDefault="00B72E4D" w:rsidP="00B72E4D">
            <w:pPr>
              <w:rPr>
                <w:sz w:val="20"/>
                <w:szCs w:val="20"/>
              </w:rPr>
            </w:pPr>
            <w:r w:rsidRPr="00B72E4D">
              <w:rPr>
                <w:sz w:val="20"/>
                <w:szCs w:val="20"/>
              </w:rPr>
              <w:t>Trafo - Ponderea numărului de transformatoare prevazute cu sisteme de monitorizare în timp real a parametrilor, raportat la numărul total al transformatoarelor aflate în funcţiune din gestiunea OTS [%]</w:t>
            </w:r>
          </w:p>
        </w:tc>
        <w:tc>
          <w:tcPr>
            <w:tcW w:w="330" w:type="pct"/>
          </w:tcPr>
          <w:p w:rsidR="00B72E4D" w:rsidRPr="006E39B7" w:rsidRDefault="00B72E4D" w:rsidP="00B72E4D">
            <w:pPr>
              <w:spacing w:line="276" w:lineRule="auto"/>
              <w:jc w:val="both"/>
              <w:rPr>
                <w:sz w:val="20"/>
                <w:szCs w:val="20"/>
              </w:rPr>
            </w:pPr>
          </w:p>
        </w:tc>
        <w:tc>
          <w:tcPr>
            <w:tcW w:w="343" w:type="pct"/>
          </w:tcPr>
          <w:p w:rsidR="00B72E4D" w:rsidRPr="006E39B7" w:rsidRDefault="00B72E4D" w:rsidP="00B72E4D">
            <w:pPr>
              <w:spacing w:line="276" w:lineRule="auto"/>
              <w:jc w:val="both"/>
              <w:rPr>
                <w:sz w:val="20"/>
                <w:szCs w:val="20"/>
              </w:rPr>
            </w:pPr>
          </w:p>
        </w:tc>
        <w:tc>
          <w:tcPr>
            <w:tcW w:w="330" w:type="pct"/>
          </w:tcPr>
          <w:p w:rsidR="00B72E4D" w:rsidRPr="006E39B7" w:rsidRDefault="00B72E4D" w:rsidP="00B72E4D">
            <w:pPr>
              <w:spacing w:line="276" w:lineRule="auto"/>
              <w:jc w:val="both"/>
              <w:rPr>
                <w:sz w:val="20"/>
                <w:szCs w:val="20"/>
              </w:rPr>
            </w:pPr>
          </w:p>
        </w:tc>
        <w:tc>
          <w:tcPr>
            <w:tcW w:w="330" w:type="pct"/>
          </w:tcPr>
          <w:p w:rsidR="00B72E4D" w:rsidRPr="006E39B7" w:rsidRDefault="00B72E4D" w:rsidP="00B72E4D">
            <w:pPr>
              <w:spacing w:line="276" w:lineRule="auto"/>
              <w:jc w:val="both"/>
              <w:rPr>
                <w:sz w:val="20"/>
                <w:szCs w:val="20"/>
              </w:rPr>
            </w:pPr>
          </w:p>
        </w:tc>
        <w:tc>
          <w:tcPr>
            <w:tcW w:w="333" w:type="pct"/>
          </w:tcPr>
          <w:p w:rsidR="00B72E4D" w:rsidRPr="006E39B7" w:rsidRDefault="00B72E4D" w:rsidP="00B72E4D">
            <w:pPr>
              <w:spacing w:line="276" w:lineRule="auto"/>
              <w:jc w:val="both"/>
              <w:rPr>
                <w:sz w:val="20"/>
                <w:szCs w:val="20"/>
              </w:rPr>
            </w:pPr>
          </w:p>
        </w:tc>
        <w:tc>
          <w:tcPr>
            <w:tcW w:w="436" w:type="pct"/>
          </w:tcPr>
          <w:p w:rsidR="00B72E4D" w:rsidRPr="006E39B7" w:rsidRDefault="00B72E4D" w:rsidP="00B72E4D">
            <w:pPr>
              <w:spacing w:line="276" w:lineRule="auto"/>
              <w:jc w:val="both"/>
              <w:rPr>
                <w:sz w:val="20"/>
                <w:szCs w:val="20"/>
              </w:rPr>
            </w:pPr>
          </w:p>
        </w:tc>
        <w:tc>
          <w:tcPr>
            <w:tcW w:w="621" w:type="pct"/>
          </w:tcPr>
          <w:p w:rsidR="00B72E4D" w:rsidRPr="006E39B7" w:rsidRDefault="00B72E4D" w:rsidP="00B72E4D">
            <w:pPr>
              <w:spacing w:line="276" w:lineRule="auto"/>
              <w:jc w:val="both"/>
              <w:rPr>
                <w:sz w:val="20"/>
                <w:szCs w:val="20"/>
              </w:rPr>
            </w:pPr>
          </w:p>
        </w:tc>
      </w:tr>
      <w:bookmarkEnd w:id="43"/>
      <w:bookmarkEnd w:id="52"/>
    </w:tbl>
    <w:p w:rsidR="00A94B4D" w:rsidRPr="00887702" w:rsidRDefault="00A94B4D" w:rsidP="00DF19D2">
      <w:pPr>
        <w:spacing w:line="276" w:lineRule="auto"/>
      </w:pPr>
    </w:p>
    <w:sectPr w:rsidR="00A94B4D" w:rsidRPr="00887702" w:rsidSect="006A53F0">
      <w:pgSz w:w="12240" w:h="15840"/>
      <w:pgMar w:top="993" w:right="1183" w:bottom="1276"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7362" w:rsidRDefault="00F57362" w:rsidP="00E04F44">
      <w:r>
        <w:separator/>
      </w:r>
    </w:p>
  </w:endnote>
  <w:endnote w:type="continuationSeparator" w:id="0">
    <w:p w:rsidR="00F57362" w:rsidRDefault="00F57362" w:rsidP="00E04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3357265"/>
      <w:docPartObj>
        <w:docPartGallery w:val="Page Numbers (Bottom of Page)"/>
        <w:docPartUnique/>
      </w:docPartObj>
    </w:sdtPr>
    <w:sdtEndPr>
      <w:rPr>
        <w:noProof/>
      </w:rPr>
    </w:sdtEndPr>
    <w:sdtContent>
      <w:p w:rsidR="003D0EB0" w:rsidRDefault="003D0EB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3D0EB0" w:rsidRDefault="003D0E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3379842"/>
      <w:docPartObj>
        <w:docPartGallery w:val="Page Numbers (Bottom of Page)"/>
        <w:docPartUnique/>
      </w:docPartObj>
    </w:sdtPr>
    <w:sdtEndPr>
      <w:rPr>
        <w:noProof/>
      </w:rPr>
    </w:sdtEndPr>
    <w:sdtContent>
      <w:p w:rsidR="003D0EB0" w:rsidRDefault="003D0EB0">
        <w:pPr>
          <w:pStyle w:val="Footer"/>
          <w:jc w:val="right"/>
        </w:pPr>
        <w:r>
          <w:fldChar w:fldCharType="begin"/>
        </w:r>
        <w:r>
          <w:instrText xml:space="preserve"> PAGE   \* MERGEFORMAT </w:instrText>
        </w:r>
        <w:r>
          <w:fldChar w:fldCharType="separate"/>
        </w:r>
        <w:r>
          <w:rPr>
            <w:noProof/>
          </w:rPr>
          <w:t>7</w:t>
        </w:r>
        <w:r>
          <w:rPr>
            <w:noProof/>
          </w:rPr>
          <w:fldChar w:fldCharType="end"/>
        </w:r>
      </w:p>
    </w:sdtContent>
  </w:sdt>
  <w:p w:rsidR="003D0EB0" w:rsidRDefault="003D0E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7362" w:rsidRDefault="00F57362" w:rsidP="00E04F44">
      <w:r>
        <w:separator/>
      </w:r>
    </w:p>
  </w:footnote>
  <w:footnote w:type="continuationSeparator" w:id="0">
    <w:p w:rsidR="00F57362" w:rsidRDefault="00F57362" w:rsidP="00E04F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817C3"/>
    <w:multiLevelType w:val="hybridMultilevel"/>
    <w:tmpl w:val="BC4C27FA"/>
    <w:lvl w:ilvl="0" w:tplc="CD42D716">
      <w:start w:val="1"/>
      <w:numFmt w:val="decimal"/>
      <w:lvlText w:val="Articolul %1"/>
      <w:lvlJc w:val="left"/>
      <w:pPr>
        <w:ind w:left="720" w:hanging="360"/>
      </w:pPr>
      <w:rPr>
        <w:rFonts w:ascii="Times New Roman" w:hAnsi="Times New Roman" w:hint="default"/>
        <w:b/>
        <w:i w:val="0"/>
        <w:position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721A0D"/>
    <w:multiLevelType w:val="hybridMultilevel"/>
    <w:tmpl w:val="CF64B7D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7638B9"/>
    <w:multiLevelType w:val="hybridMultilevel"/>
    <w:tmpl w:val="A9FC9344"/>
    <w:lvl w:ilvl="0" w:tplc="AB08EF5A">
      <w:start w:val="2"/>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A52777"/>
    <w:multiLevelType w:val="hybridMultilevel"/>
    <w:tmpl w:val="6EFEA5B6"/>
    <w:lvl w:ilvl="0" w:tplc="D29C22EA">
      <w:start w:val="1"/>
      <w:numFmt w:val="lowerLetter"/>
      <w:lvlText w:val="%1)"/>
      <w:lvlJc w:val="left"/>
      <w:pPr>
        <w:ind w:left="585" w:hanging="360"/>
      </w:pPr>
      <w:rPr>
        <w:rFonts w:hint="default"/>
        <w:b w:val="0"/>
        <w:color w:val="auto"/>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4" w15:restartNumberingAfterBreak="0">
    <w:nsid w:val="0D547EA0"/>
    <w:multiLevelType w:val="hybridMultilevel"/>
    <w:tmpl w:val="2F30CBD6"/>
    <w:lvl w:ilvl="0" w:tplc="96468EB4">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D72A5B"/>
    <w:multiLevelType w:val="hybridMultilevel"/>
    <w:tmpl w:val="466E71A6"/>
    <w:lvl w:ilvl="0" w:tplc="E0C43ACE">
      <w:start w:val="1"/>
      <w:numFmt w:val="decimal"/>
      <w:lvlText w:val="(%1)"/>
      <w:lvlJc w:val="left"/>
      <w:pPr>
        <w:ind w:left="720" w:hanging="360"/>
      </w:pPr>
      <w:rPr>
        <w:rFonts w:eastAsiaTheme="minorHAnsi" w:cs="Times New Roman"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BD016B"/>
    <w:multiLevelType w:val="hybridMultilevel"/>
    <w:tmpl w:val="247C17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1D5EC4"/>
    <w:multiLevelType w:val="hybridMultilevel"/>
    <w:tmpl w:val="F858FD06"/>
    <w:lvl w:ilvl="0" w:tplc="0409000F">
      <w:start w:val="1"/>
      <w:numFmt w:val="decimal"/>
      <w:lvlText w:val="%1."/>
      <w:lvlJc w:val="left"/>
      <w:pPr>
        <w:ind w:left="720" w:hanging="360"/>
      </w:pPr>
    </w:lvl>
    <w:lvl w:ilvl="1" w:tplc="04090019">
      <w:start w:val="1"/>
      <w:numFmt w:val="lowerLetter"/>
      <w:lvlText w:val="%2."/>
      <w:lvlJc w:val="left"/>
      <w:pPr>
        <w:ind w:left="785"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3C4165"/>
    <w:multiLevelType w:val="hybridMultilevel"/>
    <w:tmpl w:val="F858FD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7665F9"/>
    <w:multiLevelType w:val="hybridMultilevel"/>
    <w:tmpl w:val="A85698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915155"/>
    <w:multiLevelType w:val="hybridMultilevel"/>
    <w:tmpl w:val="F858FD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4B0FB3"/>
    <w:multiLevelType w:val="hybridMultilevel"/>
    <w:tmpl w:val="F858FD06"/>
    <w:lvl w:ilvl="0" w:tplc="0409000F">
      <w:start w:val="1"/>
      <w:numFmt w:val="decimal"/>
      <w:lvlText w:val="%1."/>
      <w:lvlJc w:val="left"/>
      <w:pPr>
        <w:ind w:left="720" w:hanging="360"/>
      </w:pPr>
    </w:lvl>
    <w:lvl w:ilvl="1" w:tplc="04090019">
      <w:start w:val="1"/>
      <w:numFmt w:val="lowerLetter"/>
      <w:lvlText w:val="%2."/>
      <w:lvlJc w:val="left"/>
      <w:pPr>
        <w:ind w:left="785"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872CD3"/>
    <w:multiLevelType w:val="hybridMultilevel"/>
    <w:tmpl w:val="B7386E0E"/>
    <w:lvl w:ilvl="0" w:tplc="45A43AC4">
      <w:start w:val="3"/>
      <w:numFmt w:val="bullet"/>
      <w:lvlText w:val="-"/>
      <w:lvlJc w:val="left"/>
      <w:pPr>
        <w:ind w:left="1440" w:hanging="360"/>
      </w:pPr>
      <w:rPr>
        <w:rFonts w:ascii="Times New Roman" w:eastAsia="Batang"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02E4F9C"/>
    <w:multiLevelType w:val="hybridMultilevel"/>
    <w:tmpl w:val="2BFCB862"/>
    <w:lvl w:ilvl="0" w:tplc="6370170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9D3A76"/>
    <w:multiLevelType w:val="hybridMultilevel"/>
    <w:tmpl w:val="3C9CAB20"/>
    <w:lvl w:ilvl="0" w:tplc="80F4B370">
      <w:start w:val="1"/>
      <w:numFmt w:val="decimal"/>
      <w:lvlText w:val="(%1)"/>
      <w:lvlJc w:val="left"/>
      <w:pPr>
        <w:ind w:left="786" w:hanging="360"/>
      </w:pPr>
      <w:rPr>
        <w:rFonts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15:restartNumberingAfterBreak="0">
    <w:nsid w:val="253E68DE"/>
    <w:multiLevelType w:val="hybridMultilevel"/>
    <w:tmpl w:val="A59E34F2"/>
    <w:lvl w:ilvl="0" w:tplc="D228EDCE">
      <w:start w:val="1"/>
      <w:numFmt w:val="decimal"/>
      <w:lvlText w:val="(%1)"/>
      <w:lvlJc w:val="left"/>
      <w:pPr>
        <w:ind w:left="709" w:hanging="360"/>
      </w:pPr>
    </w:lvl>
    <w:lvl w:ilvl="1" w:tplc="04090019">
      <w:start w:val="1"/>
      <w:numFmt w:val="lowerLetter"/>
      <w:lvlText w:val="%2."/>
      <w:lvlJc w:val="left"/>
      <w:pPr>
        <w:ind w:left="1429" w:hanging="360"/>
      </w:pPr>
    </w:lvl>
    <w:lvl w:ilvl="2" w:tplc="0409001B">
      <w:start w:val="1"/>
      <w:numFmt w:val="lowerRoman"/>
      <w:lvlText w:val="%3."/>
      <w:lvlJc w:val="right"/>
      <w:pPr>
        <w:ind w:left="2149" w:hanging="180"/>
      </w:pPr>
    </w:lvl>
    <w:lvl w:ilvl="3" w:tplc="0409000F">
      <w:start w:val="1"/>
      <w:numFmt w:val="decimal"/>
      <w:lvlText w:val="%4."/>
      <w:lvlJc w:val="left"/>
      <w:pPr>
        <w:ind w:left="2869" w:hanging="360"/>
      </w:pPr>
    </w:lvl>
    <w:lvl w:ilvl="4" w:tplc="04090019">
      <w:start w:val="1"/>
      <w:numFmt w:val="lowerLetter"/>
      <w:lvlText w:val="%5."/>
      <w:lvlJc w:val="left"/>
      <w:pPr>
        <w:ind w:left="3589" w:hanging="360"/>
      </w:pPr>
    </w:lvl>
    <w:lvl w:ilvl="5" w:tplc="0409001B">
      <w:start w:val="1"/>
      <w:numFmt w:val="lowerRoman"/>
      <w:lvlText w:val="%6."/>
      <w:lvlJc w:val="right"/>
      <w:pPr>
        <w:ind w:left="4309" w:hanging="180"/>
      </w:pPr>
    </w:lvl>
    <w:lvl w:ilvl="6" w:tplc="0409000F">
      <w:start w:val="1"/>
      <w:numFmt w:val="decimal"/>
      <w:lvlText w:val="%7."/>
      <w:lvlJc w:val="left"/>
      <w:pPr>
        <w:ind w:left="889" w:hanging="360"/>
      </w:pPr>
    </w:lvl>
    <w:lvl w:ilvl="7" w:tplc="04090019">
      <w:start w:val="1"/>
      <w:numFmt w:val="lowerLetter"/>
      <w:lvlText w:val="%8."/>
      <w:lvlJc w:val="left"/>
      <w:pPr>
        <w:ind w:left="5749" w:hanging="360"/>
      </w:pPr>
    </w:lvl>
    <w:lvl w:ilvl="8" w:tplc="0409001B">
      <w:start w:val="1"/>
      <w:numFmt w:val="lowerRoman"/>
      <w:lvlText w:val="%9."/>
      <w:lvlJc w:val="right"/>
      <w:pPr>
        <w:ind w:left="6469" w:hanging="180"/>
      </w:pPr>
    </w:lvl>
  </w:abstractNum>
  <w:abstractNum w:abstractNumId="16" w15:restartNumberingAfterBreak="0">
    <w:nsid w:val="338D754C"/>
    <w:multiLevelType w:val="hybridMultilevel"/>
    <w:tmpl w:val="3EBC027A"/>
    <w:lvl w:ilvl="0" w:tplc="7EFCEDB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48D4717"/>
    <w:multiLevelType w:val="hybridMultilevel"/>
    <w:tmpl w:val="BA24A614"/>
    <w:lvl w:ilvl="0" w:tplc="D7824494">
      <w:start w:val="1"/>
      <w:numFmt w:val="decimal"/>
      <w:lvlText w:val="(%1)"/>
      <w:lvlJc w:val="left"/>
      <w:pPr>
        <w:ind w:left="1080" w:hanging="360"/>
      </w:pPr>
      <w:rPr>
        <w:rFonts w:ascii="Times New Roman" w:eastAsiaTheme="majorEastAsia" w:hAnsi="Times New Roman" w:cstheme="maj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5291120"/>
    <w:multiLevelType w:val="hybridMultilevel"/>
    <w:tmpl w:val="78C6C390"/>
    <w:lvl w:ilvl="0" w:tplc="72688C4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3A29A8"/>
    <w:multiLevelType w:val="hybridMultilevel"/>
    <w:tmpl w:val="D642507C"/>
    <w:lvl w:ilvl="0" w:tplc="C752183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8F545A"/>
    <w:multiLevelType w:val="hybridMultilevel"/>
    <w:tmpl w:val="8BB630C6"/>
    <w:lvl w:ilvl="0" w:tplc="0409000F">
      <w:start w:val="1"/>
      <w:numFmt w:val="decimal"/>
      <w:lvlText w:val="%1."/>
      <w:lvlJc w:val="left"/>
      <w:pPr>
        <w:ind w:left="1440" w:hanging="360"/>
      </w:pPr>
    </w:lvl>
    <w:lvl w:ilvl="1" w:tplc="04090019" w:tentative="1">
      <w:start w:val="1"/>
      <w:numFmt w:val="lowerLetter"/>
      <w:lvlText w:val="%2."/>
      <w:lvlJc w:val="left"/>
      <w:pPr>
        <w:ind w:left="-36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21" w15:restartNumberingAfterBreak="0">
    <w:nsid w:val="3A1E5AC7"/>
    <w:multiLevelType w:val="hybridMultilevel"/>
    <w:tmpl w:val="54607786"/>
    <w:lvl w:ilvl="0" w:tplc="0FD01E5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0B1656"/>
    <w:multiLevelType w:val="hybridMultilevel"/>
    <w:tmpl w:val="4FF25026"/>
    <w:lvl w:ilvl="0" w:tplc="53EE23B4">
      <w:start w:val="1"/>
      <w:numFmt w:val="decimal"/>
      <w:lvlText w:val="(%1)"/>
      <w:lvlJc w:val="right"/>
      <w:pPr>
        <w:ind w:left="720" w:hanging="360"/>
      </w:pPr>
      <w:rPr>
        <w:rFonts w:ascii="Times New Roman" w:eastAsiaTheme="minorHAnsi" w:hAnsi="Times New Roman" w:cs="Times New Roman"/>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DC5CBB"/>
    <w:multiLevelType w:val="hybridMultilevel"/>
    <w:tmpl w:val="DE38980A"/>
    <w:lvl w:ilvl="0" w:tplc="1A407B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E75266"/>
    <w:multiLevelType w:val="hybridMultilevel"/>
    <w:tmpl w:val="294EE8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7C0866"/>
    <w:multiLevelType w:val="hybridMultilevel"/>
    <w:tmpl w:val="E124AC68"/>
    <w:lvl w:ilvl="0" w:tplc="86F04D86">
      <w:start w:val="1"/>
      <w:numFmt w:val="decimal"/>
      <w:lvlText w:val="(%1)"/>
      <w:lvlJc w:val="left"/>
      <w:pPr>
        <w:ind w:left="1080" w:hanging="360"/>
      </w:pPr>
      <w:rPr>
        <w:rFonts w:eastAsiaTheme="minorHAnsi" w:cs="Times New Roman" w:hint="default"/>
        <w:b w:val="0"/>
      </w:rPr>
    </w:lvl>
    <w:lvl w:ilvl="1" w:tplc="04090019">
      <w:start w:val="1"/>
      <w:numFmt w:val="lowerLetter"/>
      <w:lvlText w:val="%2."/>
      <w:lvlJc w:val="left"/>
      <w:pPr>
        <w:ind w:left="1800" w:hanging="360"/>
      </w:pPr>
    </w:lvl>
    <w:lvl w:ilvl="2" w:tplc="305A3324">
      <w:start w:val="1"/>
      <w:numFmt w:val="decimal"/>
      <w:lvlText w:val="%3."/>
      <w:lvlJc w:val="left"/>
      <w:pPr>
        <w:ind w:left="2700" w:hanging="360"/>
      </w:pPr>
      <w:rPr>
        <w:rFonts w:hint="default"/>
      </w:rPr>
    </w:lvl>
    <w:lvl w:ilvl="3" w:tplc="40CC5260">
      <w:start w:val="1"/>
      <w:numFmt w:val="upperLetter"/>
      <w:lvlText w:val="%4."/>
      <w:lvlJc w:val="left"/>
      <w:pPr>
        <w:ind w:left="3240" w:hanging="360"/>
      </w:pPr>
      <w:rPr>
        <w:rFonts w:hint="default"/>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23818D7"/>
    <w:multiLevelType w:val="hybridMultilevel"/>
    <w:tmpl w:val="2D30F712"/>
    <w:lvl w:ilvl="0" w:tplc="1A407B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5859BE"/>
    <w:multiLevelType w:val="hybridMultilevel"/>
    <w:tmpl w:val="2BFCB862"/>
    <w:lvl w:ilvl="0" w:tplc="6370170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1D4C93"/>
    <w:multiLevelType w:val="hybridMultilevel"/>
    <w:tmpl w:val="CF64B7D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4CC17AE"/>
    <w:multiLevelType w:val="hybridMultilevel"/>
    <w:tmpl w:val="E5580866"/>
    <w:lvl w:ilvl="0" w:tplc="1A407B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B874B36"/>
    <w:multiLevelType w:val="hybridMultilevel"/>
    <w:tmpl w:val="F858FD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BE547B1"/>
    <w:multiLevelType w:val="hybridMultilevel"/>
    <w:tmpl w:val="7F00C63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D115967"/>
    <w:multiLevelType w:val="hybridMultilevel"/>
    <w:tmpl w:val="2F125456"/>
    <w:lvl w:ilvl="0" w:tplc="B0485AE2">
      <w:start w:val="1"/>
      <w:numFmt w:val="decimal"/>
      <w:lvlText w:val="Articolul %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0EC44BC"/>
    <w:multiLevelType w:val="hybridMultilevel"/>
    <w:tmpl w:val="208290AA"/>
    <w:lvl w:ilvl="0" w:tplc="D18EE17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15:restartNumberingAfterBreak="0">
    <w:nsid w:val="5BC25918"/>
    <w:multiLevelType w:val="hybridMultilevel"/>
    <w:tmpl w:val="6B143C40"/>
    <w:lvl w:ilvl="0" w:tplc="0409000F">
      <w:start w:val="1"/>
      <w:numFmt w:val="decimal"/>
      <w:lvlText w:val="%1."/>
      <w:lvlJc w:val="left"/>
      <w:pPr>
        <w:ind w:left="-360" w:hanging="360"/>
      </w:p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5" w15:restartNumberingAfterBreak="0">
    <w:nsid w:val="6179302D"/>
    <w:multiLevelType w:val="hybridMultilevel"/>
    <w:tmpl w:val="EAC4F7B8"/>
    <w:lvl w:ilvl="0" w:tplc="DD3A7408">
      <w:start w:val="1"/>
      <w:numFmt w:val="decimal"/>
      <w:lvlText w:val="%1."/>
      <w:lvlJc w:val="left"/>
      <w:pPr>
        <w:ind w:left="720" w:hanging="360"/>
      </w:pPr>
      <w:rPr>
        <w:b/>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7F1814"/>
    <w:multiLevelType w:val="hybridMultilevel"/>
    <w:tmpl w:val="247C17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323206"/>
    <w:multiLevelType w:val="hybridMultilevel"/>
    <w:tmpl w:val="BD2E14C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683C16E0"/>
    <w:multiLevelType w:val="hybridMultilevel"/>
    <w:tmpl w:val="54607786"/>
    <w:lvl w:ilvl="0" w:tplc="0FD01E5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C4035B"/>
    <w:multiLevelType w:val="hybridMultilevel"/>
    <w:tmpl w:val="5286399E"/>
    <w:lvl w:ilvl="0" w:tplc="4FD87726">
      <w:start w:val="1"/>
      <w:numFmt w:val="decimal"/>
      <w:lvlText w:val="Articolul %1"/>
      <w:lvlJc w:val="left"/>
      <w:pPr>
        <w:ind w:left="720" w:hanging="360"/>
      </w:pPr>
      <w:rPr>
        <w:rFonts w:ascii="Times New Roman" w:hAnsi="Times New Roman" w:hint="default"/>
        <w:b/>
        <w:i w:val="0"/>
        <w:position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756BAE"/>
    <w:multiLevelType w:val="hybridMultilevel"/>
    <w:tmpl w:val="A85698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FA27482"/>
    <w:multiLevelType w:val="hybridMultilevel"/>
    <w:tmpl w:val="0E9A698E"/>
    <w:lvl w:ilvl="0" w:tplc="DD3A7408">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0224AB"/>
    <w:multiLevelType w:val="hybridMultilevel"/>
    <w:tmpl w:val="D642507C"/>
    <w:lvl w:ilvl="0" w:tplc="C752183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2B2705"/>
    <w:multiLevelType w:val="hybridMultilevel"/>
    <w:tmpl w:val="A59E34F2"/>
    <w:lvl w:ilvl="0" w:tplc="D228EDC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126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32"/>
  </w:num>
  <w:num w:numId="2">
    <w:abstractNumId w:val="39"/>
  </w:num>
  <w:num w:numId="3">
    <w:abstractNumId w:val="3"/>
  </w:num>
  <w:num w:numId="4">
    <w:abstractNumId w:val="24"/>
  </w:num>
  <w:num w:numId="5">
    <w:abstractNumId w:val="25"/>
  </w:num>
  <w:num w:numId="6">
    <w:abstractNumId w:val="28"/>
  </w:num>
  <w:num w:numId="7">
    <w:abstractNumId w:val="17"/>
  </w:num>
  <w:num w:numId="8">
    <w:abstractNumId w:val="14"/>
  </w:num>
  <w:num w:numId="9">
    <w:abstractNumId w:val="31"/>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8"/>
  </w:num>
  <w:num w:numId="13">
    <w:abstractNumId w:val="1"/>
  </w:num>
  <w:num w:numId="14">
    <w:abstractNumId w:val="42"/>
  </w:num>
  <w:num w:numId="15">
    <w:abstractNumId w:val="0"/>
  </w:num>
  <w:num w:numId="16">
    <w:abstractNumId w:val="41"/>
  </w:num>
  <w:num w:numId="17">
    <w:abstractNumId w:val="35"/>
  </w:num>
  <w:num w:numId="18">
    <w:abstractNumId w:val="27"/>
  </w:num>
  <w:num w:numId="19">
    <w:abstractNumId w:val="4"/>
  </w:num>
  <w:num w:numId="20">
    <w:abstractNumId w:val="20"/>
  </w:num>
  <w:num w:numId="21">
    <w:abstractNumId w:val="29"/>
  </w:num>
  <w:num w:numId="22">
    <w:abstractNumId w:val="34"/>
  </w:num>
  <w:num w:numId="23">
    <w:abstractNumId w:val="13"/>
  </w:num>
  <w:num w:numId="24">
    <w:abstractNumId w:val="37"/>
  </w:num>
  <w:num w:numId="25">
    <w:abstractNumId w:val="22"/>
  </w:num>
  <w:num w:numId="26">
    <w:abstractNumId w:val="16"/>
  </w:num>
  <w:num w:numId="27">
    <w:abstractNumId w:val="10"/>
  </w:num>
  <w:num w:numId="28">
    <w:abstractNumId w:val="8"/>
  </w:num>
  <w:num w:numId="29">
    <w:abstractNumId w:val="7"/>
  </w:num>
  <w:num w:numId="30">
    <w:abstractNumId w:val="38"/>
  </w:num>
  <w:num w:numId="31">
    <w:abstractNumId w:val="21"/>
  </w:num>
  <w:num w:numId="32">
    <w:abstractNumId w:val="11"/>
  </w:num>
  <w:num w:numId="33">
    <w:abstractNumId w:val="9"/>
  </w:num>
  <w:num w:numId="34">
    <w:abstractNumId w:val="40"/>
  </w:num>
  <w:num w:numId="35">
    <w:abstractNumId w:val="6"/>
  </w:num>
  <w:num w:numId="36">
    <w:abstractNumId w:val="36"/>
  </w:num>
  <w:num w:numId="37">
    <w:abstractNumId w:val="12"/>
  </w:num>
  <w:num w:numId="38">
    <w:abstractNumId w:val="19"/>
  </w:num>
  <w:num w:numId="39">
    <w:abstractNumId w:val="2"/>
  </w:num>
  <w:num w:numId="40">
    <w:abstractNumId w:val="23"/>
  </w:num>
  <w:num w:numId="41">
    <w:abstractNumId w:val="43"/>
  </w:num>
  <w:num w:numId="42">
    <w:abstractNumId w:val="15"/>
  </w:num>
  <w:num w:numId="43">
    <w:abstractNumId w:val="18"/>
  </w:num>
  <w:num w:numId="44">
    <w:abstractNumId w:val="26"/>
  </w:num>
  <w:num w:numId="45">
    <w:abstractNumId w:val="33"/>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115"/>
    <w:rsid w:val="000045EA"/>
    <w:rsid w:val="00015434"/>
    <w:rsid w:val="00025288"/>
    <w:rsid w:val="00032022"/>
    <w:rsid w:val="00042A22"/>
    <w:rsid w:val="00047380"/>
    <w:rsid w:val="00056A0A"/>
    <w:rsid w:val="00060808"/>
    <w:rsid w:val="0006364D"/>
    <w:rsid w:val="00064953"/>
    <w:rsid w:val="00067C16"/>
    <w:rsid w:val="00073E54"/>
    <w:rsid w:val="00076825"/>
    <w:rsid w:val="00081C55"/>
    <w:rsid w:val="000879AC"/>
    <w:rsid w:val="0009513E"/>
    <w:rsid w:val="000A4A63"/>
    <w:rsid w:val="000A5B63"/>
    <w:rsid w:val="000A7C07"/>
    <w:rsid w:val="000B2D0E"/>
    <w:rsid w:val="000B61DA"/>
    <w:rsid w:val="000D0056"/>
    <w:rsid w:val="000D07CB"/>
    <w:rsid w:val="000D52A2"/>
    <w:rsid w:val="000E3A58"/>
    <w:rsid w:val="000E537E"/>
    <w:rsid w:val="000F418F"/>
    <w:rsid w:val="000F63B9"/>
    <w:rsid w:val="00111F3C"/>
    <w:rsid w:val="001135F9"/>
    <w:rsid w:val="00133F67"/>
    <w:rsid w:val="001363E3"/>
    <w:rsid w:val="00145A08"/>
    <w:rsid w:val="00147293"/>
    <w:rsid w:val="00163733"/>
    <w:rsid w:val="001641C8"/>
    <w:rsid w:val="00164EA9"/>
    <w:rsid w:val="00165BFE"/>
    <w:rsid w:val="0017409A"/>
    <w:rsid w:val="00177AAD"/>
    <w:rsid w:val="00177B90"/>
    <w:rsid w:val="00177F3C"/>
    <w:rsid w:val="0018358D"/>
    <w:rsid w:val="00193702"/>
    <w:rsid w:val="00193BC3"/>
    <w:rsid w:val="0019401A"/>
    <w:rsid w:val="001955E6"/>
    <w:rsid w:val="001A6C7D"/>
    <w:rsid w:val="001C795C"/>
    <w:rsid w:val="001D7BDD"/>
    <w:rsid w:val="001F660C"/>
    <w:rsid w:val="00211D61"/>
    <w:rsid w:val="00215DD9"/>
    <w:rsid w:val="00217CB9"/>
    <w:rsid w:val="00235487"/>
    <w:rsid w:val="00283441"/>
    <w:rsid w:val="002A5109"/>
    <w:rsid w:val="002B2783"/>
    <w:rsid w:val="002C0A3A"/>
    <w:rsid w:val="002C36D2"/>
    <w:rsid w:val="002D2BA2"/>
    <w:rsid w:val="002E5D08"/>
    <w:rsid w:val="002E6722"/>
    <w:rsid w:val="002F676D"/>
    <w:rsid w:val="0030183A"/>
    <w:rsid w:val="00313C95"/>
    <w:rsid w:val="003568A5"/>
    <w:rsid w:val="003751A2"/>
    <w:rsid w:val="003773B6"/>
    <w:rsid w:val="003818C4"/>
    <w:rsid w:val="00386975"/>
    <w:rsid w:val="003953BB"/>
    <w:rsid w:val="003A07DD"/>
    <w:rsid w:val="003A41E3"/>
    <w:rsid w:val="003A7018"/>
    <w:rsid w:val="003B67B6"/>
    <w:rsid w:val="003B773D"/>
    <w:rsid w:val="003C160B"/>
    <w:rsid w:val="003D0EB0"/>
    <w:rsid w:val="003D5011"/>
    <w:rsid w:val="003D6D53"/>
    <w:rsid w:val="003E30D8"/>
    <w:rsid w:val="003E32D5"/>
    <w:rsid w:val="003E4E89"/>
    <w:rsid w:val="003E723F"/>
    <w:rsid w:val="003F4AE1"/>
    <w:rsid w:val="00405D5A"/>
    <w:rsid w:val="00416A23"/>
    <w:rsid w:val="0042055E"/>
    <w:rsid w:val="00420868"/>
    <w:rsid w:val="00433F43"/>
    <w:rsid w:val="00437444"/>
    <w:rsid w:val="00440ACF"/>
    <w:rsid w:val="00450D5C"/>
    <w:rsid w:val="00453DF6"/>
    <w:rsid w:val="00456D83"/>
    <w:rsid w:val="00461B12"/>
    <w:rsid w:val="00472DAD"/>
    <w:rsid w:val="0047662A"/>
    <w:rsid w:val="00484570"/>
    <w:rsid w:val="0049194C"/>
    <w:rsid w:val="00491C3D"/>
    <w:rsid w:val="00494E7C"/>
    <w:rsid w:val="004B2300"/>
    <w:rsid w:val="004B6AB0"/>
    <w:rsid w:val="004E6E26"/>
    <w:rsid w:val="004F318B"/>
    <w:rsid w:val="004F5ED5"/>
    <w:rsid w:val="005061C7"/>
    <w:rsid w:val="00506D89"/>
    <w:rsid w:val="005074B1"/>
    <w:rsid w:val="0051524B"/>
    <w:rsid w:val="00517383"/>
    <w:rsid w:val="00522966"/>
    <w:rsid w:val="00530011"/>
    <w:rsid w:val="0053412D"/>
    <w:rsid w:val="00541382"/>
    <w:rsid w:val="00550B2C"/>
    <w:rsid w:val="005534B6"/>
    <w:rsid w:val="00563CEF"/>
    <w:rsid w:val="005664CE"/>
    <w:rsid w:val="00570E80"/>
    <w:rsid w:val="005744E4"/>
    <w:rsid w:val="00581246"/>
    <w:rsid w:val="00583D98"/>
    <w:rsid w:val="005A77A5"/>
    <w:rsid w:val="005B2BB7"/>
    <w:rsid w:val="005B5A3F"/>
    <w:rsid w:val="005B5D61"/>
    <w:rsid w:val="005C4B3E"/>
    <w:rsid w:val="005E1750"/>
    <w:rsid w:val="005F3B89"/>
    <w:rsid w:val="005F4FCF"/>
    <w:rsid w:val="005F5EC4"/>
    <w:rsid w:val="00602718"/>
    <w:rsid w:val="0061523D"/>
    <w:rsid w:val="006228DD"/>
    <w:rsid w:val="00623FCD"/>
    <w:rsid w:val="00625D88"/>
    <w:rsid w:val="006265E9"/>
    <w:rsid w:val="00635727"/>
    <w:rsid w:val="00637153"/>
    <w:rsid w:val="0064085A"/>
    <w:rsid w:val="0064235D"/>
    <w:rsid w:val="006441DD"/>
    <w:rsid w:val="00661F0E"/>
    <w:rsid w:val="00664CAD"/>
    <w:rsid w:val="00665ACE"/>
    <w:rsid w:val="00674029"/>
    <w:rsid w:val="0067409F"/>
    <w:rsid w:val="00683639"/>
    <w:rsid w:val="00685280"/>
    <w:rsid w:val="00687DBB"/>
    <w:rsid w:val="006A2C9F"/>
    <w:rsid w:val="006A53F0"/>
    <w:rsid w:val="006B58C2"/>
    <w:rsid w:val="006C7DC9"/>
    <w:rsid w:val="006D0102"/>
    <w:rsid w:val="006D4EA7"/>
    <w:rsid w:val="006E659F"/>
    <w:rsid w:val="006F3E91"/>
    <w:rsid w:val="006F3EA7"/>
    <w:rsid w:val="006F4319"/>
    <w:rsid w:val="00702339"/>
    <w:rsid w:val="007031BB"/>
    <w:rsid w:val="00706B4B"/>
    <w:rsid w:val="00721812"/>
    <w:rsid w:val="00723BEB"/>
    <w:rsid w:val="00723DBD"/>
    <w:rsid w:val="007342F4"/>
    <w:rsid w:val="007369F2"/>
    <w:rsid w:val="00742BA4"/>
    <w:rsid w:val="00743DAE"/>
    <w:rsid w:val="00750D7A"/>
    <w:rsid w:val="00754CE0"/>
    <w:rsid w:val="00760E61"/>
    <w:rsid w:val="007666AB"/>
    <w:rsid w:val="0078359F"/>
    <w:rsid w:val="007B26FA"/>
    <w:rsid w:val="007B3D40"/>
    <w:rsid w:val="007F6869"/>
    <w:rsid w:val="00805FDC"/>
    <w:rsid w:val="00813AB2"/>
    <w:rsid w:val="00834A6C"/>
    <w:rsid w:val="0084377A"/>
    <w:rsid w:val="00850CC8"/>
    <w:rsid w:val="00864FF2"/>
    <w:rsid w:val="008733EF"/>
    <w:rsid w:val="00877336"/>
    <w:rsid w:val="00886B31"/>
    <w:rsid w:val="00887702"/>
    <w:rsid w:val="008A028E"/>
    <w:rsid w:val="008B0C15"/>
    <w:rsid w:val="008C030C"/>
    <w:rsid w:val="008C7EFD"/>
    <w:rsid w:val="008D78F0"/>
    <w:rsid w:val="008D79AA"/>
    <w:rsid w:val="008E0925"/>
    <w:rsid w:val="008E2F42"/>
    <w:rsid w:val="008E3E37"/>
    <w:rsid w:val="008F39CD"/>
    <w:rsid w:val="0090437D"/>
    <w:rsid w:val="00910A79"/>
    <w:rsid w:val="00942C63"/>
    <w:rsid w:val="009550C8"/>
    <w:rsid w:val="0095552B"/>
    <w:rsid w:val="00962DF1"/>
    <w:rsid w:val="0096397F"/>
    <w:rsid w:val="00963EF5"/>
    <w:rsid w:val="00986A0B"/>
    <w:rsid w:val="00991E11"/>
    <w:rsid w:val="00991F3F"/>
    <w:rsid w:val="009940DB"/>
    <w:rsid w:val="009945F1"/>
    <w:rsid w:val="00997E05"/>
    <w:rsid w:val="009A2635"/>
    <w:rsid w:val="009C2DEA"/>
    <w:rsid w:val="009C3743"/>
    <w:rsid w:val="009C525F"/>
    <w:rsid w:val="009C56EF"/>
    <w:rsid w:val="009D244F"/>
    <w:rsid w:val="009E1B0C"/>
    <w:rsid w:val="009E4AF5"/>
    <w:rsid w:val="009E7DE4"/>
    <w:rsid w:val="009F2E32"/>
    <w:rsid w:val="009F4886"/>
    <w:rsid w:val="00A1205C"/>
    <w:rsid w:val="00A37C73"/>
    <w:rsid w:val="00A4562F"/>
    <w:rsid w:val="00A5121D"/>
    <w:rsid w:val="00A54854"/>
    <w:rsid w:val="00A63509"/>
    <w:rsid w:val="00A71DF7"/>
    <w:rsid w:val="00A75E25"/>
    <w:rsid w:val="00A77EC2"/>
    <w:rsid w:val="00A91003"/>
    <w:rsid w:val="00A93B4E"/>
    <w:rsid w:val="00A94B4D"/>
    <w:rsid w:val="00AA645F"/>
    <w:rsid w:val="00AB7759"/>
    <w:rsid w:val="00AD0F0E"/>
    <w:rsid w:val="00AD615B"/>
    <w:rsid w:val="00AE12A6"/>
    <w:rsid w:val="00AE6922"/>
    <w:rsid w:val="00AE7647"/>
    <w:rsid w:val="00AF27C8"/>
    <w:rsid w:val="00AF59CA"/>
    <w:rsid w:val="00AF7C47"/>
    <w:rsid w:val="00B06400"/>
    <w:rsid w:val="00B11284"/>
    <w:rsid w:val="00B234BB"/>
    <w:rsid w:val="00B313B0"/>
    <w:rsid w:val="00B37CF1"/>
    <w:rsid w:val="00B535EE"/>
    <w:rsid w:val="00B5423B"/>
    <w:rsid w:val="00B558CB"/>
    <w:rsid w:val="00B621AE"/>
    <w:rsid w:val="00B6250A"/>
    <w:rsid w:val="00B7062D"/>
    <w:rsid w:val="00B72E4D"/>
    <w:rsid w:val="00B87FCE"/>
    <w:rsid w:val="00B94C43"/>
    <w:rsid w:val="00B96F9F"/>
    <w:rsid w:val="00BB6924"/>
    <w:rsid w:val="00BC4E87"/>
    <w:rsid w:val="00BD7B06"/>
    <w:rsid w:val="00BE0BCB"/>
    <w:rsid w:val="00C00945"/>
    <w:rsid w:val="00C0274D"/>
    <w:rsid w:val="00C065CD"/>
    <w:rsid w:val="00C10A7F"/>
    <w:rsid w:val="00C206E1"/>
    <w:rsid w:val="00C21F90"/>
    <w:rsid w:val="00C2218A"/>
    <w:rsid w:val="00C228B2"/>
    <w:rsid w:val="00C25115"/>
    <w:rsid w:val="00C27594"/>
    <w:rsid w:val="00C3417E"/>
    <w:rsid w:val="00C3695A"/>
    <w:rsid w:val="00C41A40"/>
    <w:rsid w:val="00C5232E"/>
    <w:rsid w:val="00C63CD4"/>
    <w:rsid w:val="00C6521F"/>
    <w:rsid w:val="00C719BC"/>
    <w:rsid w:val="00C72460"/>
    <w:rsid w:val="00C73533"/>
    <w:rsid w:val="00C73698"/>
    <w:rsid w:val="00C81B8D"/>
    <w:rsid w:val="00C94240"/>
    <w:rsid w:val="00C9560C"/>
    <w:rsid w:val="00CA1E03"/>
    <w:rsid w:val="00CA3075"/>
    <w:rsid w:val="00CA339C"/>
    <w:rsid w:val="00CA40B0"/>
    <w:rsid w:val="00CC4468"/>
    <w:rsid w:val="00CD627D"/>
    <w:rsid w:val="00CE5509"/>
    <w:rsid w:val="00CF6127"/>
    <w:rsid w:val="00D06BE3"/>
    <w:rsid w:val="00D106A5"/>
    <w:rsid w:val="00D156CD"/>
    <w:rsid w:val="00D206CB"/>
    <w:rsid w:val="00D220FB"/>
    <w:rsid w:val="00D22202"/>
    <w:rsid w:val="00D252C3"/>
    <w:rsid w:val="00D3588C"/>
    <w:rsid w:val="00D410D8"/>
    <w:rsid w:val="00D550DF"/>
    <w:rsid w:val="00D638EF"/>
    <w:rsid w:val="00D6625F"/>
    <w:rsid w:val="00D71597"/>
    <w:rsid w:val="00D84AA2"/>
    <w:rsid w:val="00D9294D"/>
    <w:rsid w:val="00DA0667"/>
    <w:rsid w:val="00DB5A82"/>
    <w:rsid w:val="00DC5C79"/>
    <w:rsid w:val="00DD058B"/>
    <w:rsid w:val="00DD2A08"/>
    <w:rsid w:val="00DE39B9"/>
    <w:rsid w:val="00DE60DA"/>
    <w:rsid w:val="00DF04B2"/>
    <w:rsid w:val="00DF0B64"/>
    <w:rsid w:val="00DF19D2"/>
    <w:rsid w:val="00DF2048"/>
    <w:rsid w:val="00DF43A2"/>
    <w:rsid w:val="00DF4CC8"/>
    <w:rsid w:val="00E00F14"/>
    <w:rsid w:val="00E042D7"/>
    <w:rsid w:val="00E04F44"/>
    <w:rsid w:val="00E05EDA"/>
    <w:rsid w:val="00E05F39"/>
    <w:rsid w:val="00E11F94"/>
    <w:rsid w:val="00E50C3E"/>
    <w:rsid w:val="00E512DE"/>
    <w:rsid w:val="00E56539"/>
    <w:rsid w:val="00E57CE8"/>
    <w:rsid w:val="00E619C2"/>
    <w:rsid w:val="00E61D3D"/>
    <w:rsid w:val="00E62A52"/>
    <w:rsid w:val="00E85026"/>
    <w:rsid w:val="00EA024E"/>
    <w:rsid w:val="00EA304C"/>
    <w:rsid w:val="00EB51A3"/>
    <w:rsid w:val="00EC0A47"/>
    <w:rsid w:val="00EC312C"/>
    <w:rsid w:val="00EC7798"/>
    <w:rsid w:val="00ED1C00"/>
    <w:rsid w:val="00ED6022"/>
    <w:rsid w:val="00ED7CF8"/>
    <w:rsid w:val="00EE6B98"/>
    <w:rsid w:val="00EF1BB3"/>
    <w:rsid w:val="00EF2206"/>
    <w:rsid w:val="00F01FC7"/>
    <w:rsid w:val="00F050B2"/>
    <w:rsid w:val="00F149B6"/>
    <w:rsid w:val="00F14B80"/>
    <w:rsid w:val="00F26B32"/>
    <w:rsid w:val="00F274EA"/>
    <w:rsid w:val="00F455D3"/>
    <w:rsid w:val="00F50AD3"/>
    <w:rsid w:val="00F523D6"/>
    <w:rsid w:val="00F56C77"/>
    <w:rsid w:val="00F57362"/>
    <w:rsid w:val="00F62336"/>
    <w:rsid w:val="00F647FF"/>
    <w:rsid w:val="00F65AF1"/>
    <w:rsid w:val="00F67A40"/>
    <w:rsid w:val="00F72E1F"/>
    <w:rsid w:val="00F83FA1"/>
    <w:rsid w:val="00F871BF"/>
    <w:rsid w:val="00F91B99"/>
    <w:rsid w:val="00FC3513"/>
    <w:rsid w:val="00FC43F1"/>
    <w:rsid w:val="00FD45FC"/>
    <w:rsid w:val="00FD6DC8"/>
    <w:rsid w:val="00FE144A"/>
    <w:rsid w:val="00FE3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A87751"/>
  <w15:chartTrackingRefBased/>
  <w15:docId w15:val="{88BDAC5E-A47A-4438-9DB0-00DE5DC3F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5115"/>
    <w:pPr>
      <w:spacing w:after="0" w:line="240" w:lineRule="auto"/>
    </w:pPr>
    <w:rPr>
      <w:rFonts w:ascii="Times New Roma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C25115"/>
    <w:pPr>
      <w:contextualSpacing/>
    </w:pPr>
  </w:style>
  <w:style w:type="character" w:customStyle="1" w:styleId="ListParagraphChar">
    <w:name w:val="List Paragraph Char"/>
    <w:basedOn w:val="DefaultParagraphFont"/>
    <w:link w:val="ListParagraph"/>
    <w:rsid w:val="00C25115"/>
    <w:rPr>
      <w:rFonts w:ascii="Times New Roman" w:hAnsi="Times New Roman" w:cs="Times New Roman"/>
      <w:sz w:val="24"/>
      <w:szCs w:val="24"/>
      <w:lang w:val="ro-RO"/>
    </w:rPr>
  </w:style>
  <w:style w:type="table" w:styleId="TableGrid">
    <w:name w:val="Table Grid"/>
    <w:basedOn w:val="TableNormal"/>
    <w:uiPriority w:val="39"/>
    <w:rsid w:val="00C25115"/>
    <w:pPr>
      <w:spacing w:after="0" w:line="240" w:lineRule="auto"/>
    </w:pPr>
    <w:rPr>
      <w:rFonts w:ascii="Times New Roman" w:hAnsi="Times New Roman" w:cs="Times New Roman"/>
      <w:sz w:val="24"/>
      <w:szCs w:val="24"/>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Number01">
    <w:name w:val="Heading Number01"/>
    <w:basedOn w:val="ListParagraph"/>
    <w:link w:val="HeadingNumber01Char"/>
    <w:qFormat/>
    <w:rsid w:val="00C25115"/>
    <w:pPr>
      <w:spacing w:before="120" w:after="120" w:line="360" w:lineRule="auto"/>
      <w:ind w:left="567"/>
    </w:pPr>
    <w:rPr>
      <w:b/>
      <w:sz w:val="28"/>
    </w:rPr>
  </w:style>
  <w:style w:type="character" w:customStyle="1" w:styleId="HeadingNumber01Char">
    <w:name w:val="Heading Number01 Char"/>
    <w:basedOn w:val="ListParagraphChar"/>
    <w:link w:val="HeadingNumber01"/>
    <w:rsid w:val="00C25115"/>
    <w:rPr>
      <w:rFonts w:ascii="Times New Roman" w:hAnsi="Times New Roman" w:cs="Times New Roman"/>
      <w:b/>
      <w:sz w:val="28"/>
      <w:szCs w:val="24"/>
      <w:lang w:val="ro-RO"/>
    </w:rPr>
  </w:style>
  <w:style w:type="paragraph" w:styleId="Header">
    <w:name w:val="header"/>
    <w:basedOn w:val="Normal"/>
    <w:link w:val="HeaderChar"/>
    <w:uiPriority w:val="99"/>
    <w:unhideWhenUsed/>
    <w:rsid w:val="00E04F44"/>
    <w:pPr>
      <w:tabs>
        <w:tab w:val="center" w:pos="4680"/>
        <w:tab w:val="right" w:pos="9360"/>
      </w:tabs>
    </w:pPr>
  </w:style>
  <w:style w:type="character" w:customStyle="1" w:styleId="HeaderChar">
    <w:name w:val="Header Char"/>
    <w:basedOn w:val="DefaultParagraphFont"/>
    <w:link w:val="Header"/>
    <w:uiPriority w:val="99"/>
    <w:rsid w:val="00E04F44"/>
    <w:rPr>
      <w:rFonts w:ascii="Times New Roman" w:hAnsi="Times New Roman" w:cs="Times New Roman"/>
      <w:sz w:val="24"/>
      <w:szCs w:val="24"/>
      <w:lang w:val="ro-RO"/>
    </w:rPr>
  </w:style>
  <w:style w:type="paragraph" w:styleId="Footer">
    <w:name w:val="footer"/>
    <w:basedOn w:val="Normal"/>
    <w:link w:val="FooterChar"/>
    <w:uiPriority w:val="99"/>
    <w:unhideWhenUsed/>
    <w:rsid w:val="00E04F44"/>
    <w:pPr>
      <w:tabs>
        <w:tab w:val="center" w:pos="4680"/>
        <w:tab w:val="right" w:pos="9360"/>
      </w:tabs>
    </w:pPr>
  </w:style>
  <w:style w:type="character" w:customStyle="1" w:styleId="FooterChar">
    <w:name w:val="Footer Char"/>
    <w:basedOn w:val="DefaultParagraphFont"/>
    <w:link w:val="Footer"/>
    <w:uiPriority w:val="99"/>
    <w:rsid w:val="00E04F44"/>
    <w:rPr>
      <w:rFonts w:ascii="Times New Roman" w:hAnsi="Times New Roman" w:cs="Times New Roman"/>
      <w:sz w:val="24"/>
      <w:szCs w:val="24"/>
      <w:lang w:val="ro-RO"/>
    </w:rPr>
  </w:style>
  <w:style w:type="character" w:styleId="CommentReference">
    <w:name w:val="annotation reference"/>
    <w:basedOn w:val="DefaultParagraphFont"/>
    <w:uiPriority w:val="99"/>
    <w:semiHidden/>
    <w:unhideWhenUsed/>
    <w:rsid w:val="00C27594"/>
    <w:rPr>
      <w:sz w:val="16"/>
      <w:szCs w:val="16"/>
    </w:rPr>
  </w:style>
  <w:style w:type="paragraph" w:styleId="CommentText">
    <w:name w:val="annotation text"/>
    <w:basedOn w:val="Normal"/>
    <w:link w:val="CommentTextChar"/>
    <w:uiPriority w:val="99"/>
    <w:semiHidden/>
    <w:unhideWhenUsed/>
    <w:rsid w:val="00C27594"/>
    <w:rPr>
      <w:sz w:val="20"/>
      <w:szCs w:val="20"/>
    </w:rPr>
  </w:style>
  <w:style w:type="character" w:customStyle="1" w:styleId="CommentTextChar">
    <w:name w:val="Comment Text Char"/>
    <w:basedOn w:val="DefaultParagraphFont"/>
    <w:link w:val="CommentText"/>
    <w:uiPriority w:val="99"/>
    <w:semiHidden/>
    <w:rsid w:val="00C27594"/>
    <w:rPr>
      <w:rFonts w:ascii="Times New Roman" w:hAnsi="Times New Roman" w:cs="Times New Roman"/>
      <w:sz w:val="20"/>
      <w:szCs w:val="20"/>
      <w:lang w:val="ro-RO"/>
    </w:rPr>
  </w:style>
  <w:style w:type="paragraph" w:styleId="BalloonText">
    <w:name w:val="Balloon Text"/>
    <w:basedOn w:val="Normal"/>
    <w:link w:val="BalloonTextChar"/>
    <w:uiPriority w:val="99"/>
    <w:semiHidden/>
    <w:unhideWhenUsed/>
    <w:rsid w:val="00C275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7594"/>
    <w:rPr>
      <w:rFonts w:ascii="Segoe UI" w:hAnsi="Segoe UI" w:cs="Segoe UI"/>
      <w:sz w:val="18"/>
      <w:szCs w:val="18"/>
      <w:lang w:val="ro-RO"/>
    </w:rPr>
  </w:style>
  <w:style w:type="character" w:styleId="PlaceholderText">
    <w:name w:val="Placeholder Text"/>
    <w:basedOn w:val="DefaultParagraphFont"/>
    <w:uiPriority w:val="99"/>
    <w:semiHidden/>
    <w:rsid w:val="009550C8"/>
    <w:rPr>
      <w:color w:val="808080"/>
    </w:rPr>
  </w:style>
  <w:style w:type="character" w:customStyle="1" w:styleId="slitbdy">
    <w:name w:val="s_lit_bdy"/>
    <w:basedOn w:val="DefaultParagraphFont"/>
    <w:rsid w:val="00AD0F0E"/>
    <w:rPr>
      <w:rFonts w:ascii="Verdana" w:hAnsi="Verdana" w:hint="default"/>
      <w:b w:val="0"/>
      <w:bCs w:val="0"/>
      <w:color w:val="000000"/>
      <w:sz w:val="20"/>
      <w:szCs w:val="20"/>
      <w:shd w:val="clear" w:color="auto" w:fill="FFFFFF"/>
    </w:rPr>
  </w:style>
  <w:style w:type="paragraph" w:styleId="CommentSubject">
    <w:name w:val="annotation subject"/>
    <w:basedOn w:val="CommentText"/>
    <w:next w:val="CommentText"/>
    <w:link w:val="CommentSubjectChar"/>
    <w:uiPriority w:val="99"/>
    <w:semiHidden/>
    <w:unhideWhenUsed/>
    <w:rsid w:val="007031BB"/>
    <w:rPr>
      <w:b/>
      <w:bCs/>
    </w:rPr>
  </w:style>
  <w:style w:type="character" w:customStyle="1" w:styleId="CommentSubjectChar">
    <w:name w:val="Comment Subject Char"/>
    <w:basedOn w:val="CommentTextChar"/>
    <w:link w:val="CommentSubject"/>
    <w:uiPriority w:val="99"/>
    <w:semiHidden/>
    <w:rsid w:val="007031BB"/>
    <w:rPr>
      <w:rFonts w:ascii="Times New Roman" w:hAnsi="Times New Roman" w:cs="Times New Roman"/>
      <w:b/>
      <w:bCs/>
      <w:sz w:val="20"/>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0636929">
      <w:bodyDiv w:val="1"/>
      <w:marLeft w:val="0"/>
      <w:marRight w:val="0"/>
      <w:marTop w:val="0"/>
      <w:marBottom w:val="0"/>
      <w:divBdr>
        <w:top w:val="none" w:sz="0" w:space="0" w:color="auto"/>
        <w:left w:val="none" w:sz="0" w:space="0" w:color="auto"/>
        <w:bottom w:val="none" w:sz="0" w:space="0" w:color="auto"/>
        <w:right w:val="none" w:sz="0" w:space="0" w:color="auto"/>
      </w:divBdr>
    </w:div>
    <w:div w:id="1424718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DB9043-3FE5-48FD-9A3B-D565FA933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7244</Words>
  <Characters>41291</Characters>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2024-10-21T09:46:00Z</cp:lastPrinted>
  <dcterms:created xsi:type="dcterms:W3CDTF">2024-10-23T14:00:00Z</dcterms:created>
  <dcterms:modified xsi:type="dcterms:W3CDTF">2024-10-23T14:00:00Z</dcterms:modified>
</cp:coreProperties>
</file>