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72CA9" w14:textId="77777777" w:rsidR="008827A6" w:rsidRPr="003728CF" w:rsidRDefault="008827A6" w:rsidP="008827A6">
      <w:pPr>
        <w:pStyle w:val="Title"/>
        <w:rPr>
          <w:sz w:val="24"/>
          <w:szCs w:val="24"/>
        </w:rPr>
      </w:pPr>
      <w:r w:rsidRPr="003728CF">
        <w:rPr>
          <w:sz w:val="24"/>
          <w:szCs w:val="24"/>
        </w:rPr>
        <w:t>REFERAT DE APROBARE</w:t>
      </w:r>
    </w:p>
    <w:p w14:paraId="6F394029" w14:textId="77777777" w:rsidR="008827A6" w:rsidRPr="003728CF" w:rsidRDefault="008827A6" w:rsidP="008827A6">
      <w:pPr>
        <w:pStyle w:val="Heading6"/>
        <w:spacing w:before="240"/>
        <w:rPr>
          <w:sz w:val="24"/>
        </w:rPr>
      </w:pPr>
      <w:r w:rsidRPr="003728CF">
        <w:rPr>
          <w:sz w:val="24"/>
        </w:rPr>
        <w:t>Secțiunea 1 - Titlul proiectului de reglementare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827A6" w:rsidRPr="003728CF" w14:paraId="1D15CB87" w14:textId="77777777" w:rsidTr="00E5114A">
        <w:trPr>
          <w:trHeight w:val="641"/>
        </w:trPr>
        <w:tc>
          <w:tcPr>
            <w:tcW w:w="10065" w:type="dxa"/>
            <w:vAlign w:val="center"/>
          </w:tcPr>
          <w:p w14:paraId="025F4CE6" w14:textId="5856BC4B" w:rsidR="008827A6" w:rsidRPr="003728CF" w:rsidRDefault="00E5114A" w:rsidP="009C0EB5">
            <w:pPr>
              <w:spacing w:line="360" w:lineRule="auto"/>
              <w:rPr>
                <w:b/>
              </w:rPr>
            </w:pPr>
            <w:r>
              <w:rPr>
                <w:b/>
              </w:rPr>
              <w:t xml:space="preserve">Ordin </w:t>
            </w:r>
            <w:r w:rsidR="009C0EB5">
              <w:rPr>
                <w:b/>
                <w:color w:val="000000" w:themeColor="text1"/>
              </w:rPr>
              <w:t xml:space="preserve">pentru </w:t>
            </w:r>
            <w:r w:rsidR="009C0EB5" w:rsidRPr="00152D21">
              <w:rPr>
                <w:b/>
                <w:color w:val="000000" w:themeColor="text1"/>
              </w:rPr>
              <w:t xml:space="preserve">aprobarea </w:t>
            </w:r>
            <w:r w:rsidR="006013B7">
              <w:rPr>
                <w:b/>
                <w:color w:val="000000" w:themeColor="text1"/>
              </w:rPr>
              <w:t>Regulamentului privind accesul și utilizarea sistemelor de distribuție a gazelor naturale</w:t>
            </w:r>
          </w:p>
        </w:tc>
      </w:tr>
    </w:tbl>
    <w:p w14:paraId="682DC7D2" w14:textId="77777777" w:rsidR="00073A89" w:rsidRPr="003728CF" w:rsidRDefault="00073A89" w:rsidP="008827A6">
      <w:pPr>
        <w:spacing w:line="360" w:lineRule="auto"/>
        <w:jc w:val="both"/>
        <w:rPr>
          <w:b/>
        </w:rPr>
      </w:pPr>
    </w:p>
    <w:p w14:paraId="3F57A299" w14:textId="77777777" w:rsidR="008827A6" w:rsidRPr="003728CF" w:rsidRDefault="008827A6" w:rsidP="008827A6">
      <w:pPr>
        <w:spacing w:line="360" w:lineRule="auto"/>
        <w:jc w:val="both"/>
        <w:rPr>
          <w:b/>
        </w:rPr>
      </w:pPr>
      <w:r w:rsidRPr="003728CF">
        <w:rPr>
          <w:b/>
        </w:rPr>
        <w:t>Secțiunea a 2-a - Motivul emiterii reglementării</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8459"/>
      </w:tblGrid>
      <w:tr w:rsidR="00D912A9" w:rsidRPr="003728CF" w14:paraId="049AF40D" w14:textId="77777777" w:rsidTr="00674340">
        <w:trPr>
          <w:jc w:val="center"/>
        </w:trPr>
        <w:tc>
          <w:tcPr>
            <w:tcW w:w="1462" w:type="dxa"/>
          </w:tcPr>
          <w:p w14:paraId="2005A339" w14:textId="77777777" w:rsidR="008827A6" w:rsidRPr="003728CF" w:rsidRDefault="008827A6" w:rsidP="00F70877">
            <w:pPr>
              <w:pStyle w:val="BodyText2"/>
              <w:spacing w:line="360" w:lineRule="auto"/>
            </w:pPr>
            <w:r w:rsidRPr="003728CF">
              <w:t xml:space="preserve">1. </w:t>
            </w:r>
            <w:r w:rsidRPr="003728CF">
              <w:rPr>
                <w:b/>
              </w:rPr>
              <w:t>Contextul și cadrul european de reglementare</w:t>
            </w:r>
            <w:r w:rsidRPr="003728CF">
              <w:t xml:space="preserve"> (Descrierea situației actuale)</w:t>
            </w:r>
          </w:p>
        </w:tc>
        <w:tc>
          <w:tcPr>
            <w:tcW w:w="8599" w:type="dxa"/>
          </w:tcPr>
          <w:p w14:paraId="13537ACE" w14:textId="77777777" w:rsidR="00A2328B" w:rsidRPr="003728CF" w:rsidRDefault="00E5114A" w:rsidP="00A2328B">
            <w:pPr>
              <w:adjustRightInd w:val="0"/>
              <w:spacing w:line="360" w:lineRule="auto"/>
              <w:jc w:val="both"/>
            </w:pPr>
            <w:r>
              <w:t>Nu este cazul</w:t>
            </w:r>
            <w:r w:rsidR="00A2328B">
              <w:t xml:space="preserve"> </w:t>
            </w:r>
          </w:p>
        </w:tc>
      </w:tr>
      <w:tr w:rsidR="00D912A9" w:rsidRPr="003728CF" w14:paraId="4284479E" w14:textId="77777777" w:rsidTr="00674340">
        <w:trPr>
          <w:jc w:val="center"/>
        </w:trPr>
        <w:tc>
          <w:tcPr>
            <w:tcW w:w="1462" w:type="dxa"/>
          </w:tcPr>
          <w:p w14:paraId="47914793" w14:textId="77777777" w:rsidR="008827A6" w:rsidRPr="003728CF" w:rsidRDefault="008827A6" w:rsidP="00F70877">
            <w:pPr>
              <w:pStyle w:val="BodyText2"/>
              <w:spacing w:line="360" w:lineRule="auto"/>
            </w:pPr>
            <w:r w:rsidRPr="003728CF">
              <w:t xml:space="preserve">2. </w:t>
            </w:r>
            <w:r w:rsidRPr="003728CF">
              <w:rPr>
                <w:b/>
              </w:rPr>
              <w:t>Cadrul național de reglementare</w:t>
            </w:r>
          </w:p>
        </w:tc>
        <w:tc>
          <w:tcPr>
            <w:tcW w:w="8599" w:type="dxa"/>
          </w:tcPr>
          <w:p w14:paraId="7659E528" w14:textId="091293B1" w:rsidR="00460467" w:rsidRDefault="00986B23" w:rsidP="00460467">
            <w:pPr>
              <w:adjustRightInd w:val="0"/>
              <w:spacing w:line="360" w:lineRule="auto"/>
              <w:jc w:val="both"/>
              <w:rPr>
                <w:i/>
              </w:rPr>
            </w:pPr>
            <w:r>
              <w:rPr>
                <w:color w:val="000000"/>
                <w:lang w:eastAsia="ro-RO"/>
              </w:rPr>
              <w:t xml:space="preserve">      </w:t>
            </w:r>
            <w:r w:rsidR="00460467">
              <w:rPr>
                <w:color w:val="000000"/>
                <w:lang w:eastAsia="ro-RO"/>
              </w:rPr>
              <w:t>Titlul II „</w:t>
            </w:r>
            <w:r w:rsidR="00460467">
              <w:rPr>
                <w:i/>
                <w:color w:val="000000"/>
                <w:lang w:eastAsia="ro-RO"/>
              </w:rPr>
              <w:t>Gazele naturale</w:t>
            </w:r>
            <w:r w:rsidR="00460467">
              <w:rPr>
                <w:color w:val="000000"/>
                <w:lang w:eastAsia="ro-RO"/>
              </w:rPr>
              <w:t>” al Legii energiei electrice și a gazelor naturale nr. 123/2012, cu modificările și completările ulterioare (Lege)</w:t>
            </w:r>
            <w:r w:rsidR="00160F88">
              <w:rPr>
                <w:color w:val="000000"/>
                <w:lang w:eastAsia="ro-RO"/>
              </w:rPr>
              <w:t>,</w:t>
            </w:r>
            <w:r w:rsidR="00460467">
              <w:rPr>
                <w:color w:val="000000"/>
                <w:lang w:eastAsia="ro-RO"/>
              </w:rPr>
              <w:t xml:space="preserve"> </w:t>
            </w:r>
            <w:r w:rsidR="00460467">
              <w:t xml:space="preserve">stabilește </w:t>
            </w:r>
            <w:r w:rsidR="00460467">
              <w:rPr>
                <w:i/>
              </w:rPr>
              <w:t>„</w:t>
            </w:r>
            <w:r w:rsidR="00460467" w:rsidRPr="00DF694E">
              <w:rPr>
                <w:b/>
                <w:i/>
              </w:rPr>
              <w:t>cadrul de reglementare pentru</w:t>
            </w:r>
            <w:r w:rsidR="00460467">
              <w:rPr>
                <w:i/>
              </w:rPr>
              <w:t xml:space="preserve"> desfășurarea activităților privind producția, transportul, </w:t>
            </w:r>
            <w:r w:rsidR="00460467" w:rsidRPr="00DF694E">
              <w:rPr>
                <w:b/>
                <w:i/>
              </w:rPr>
              <w:t>distribuția,</w:t>
            </w:r>
            <w:r w:rsidR="00460467">
              <w:rPr>
                <w:i/>
              </w:rPr>
              <w:t xml:space="preserve"> furnizarea și înmagazinarea </w:t>
            </w:r>
            <w:r w:rsidR="00460467" w:rsidRPr="00DF694E">
              <w:rPr>
                <w:b/>
                <w:i/>
              </w:rPr>
              <w:t>gazelor naturale</w:t>
            </w:r>
            <w:r w:rsidR="00460467">
              <w:rPr>
                <w:i/>
              </w:rPr>
              <w:t>, modalitățile de organizare și funcționare a sectorului gazelor naturale, de acces pe piață, precum și criteriile și procedurile aplicabile pentru acordarea de autorizații și/sau licențe în sectorul gazelor naturale”.</w:t>
            </w:r>
          </w:p>
          <w:p w14:paraId="71B92684" w14:textId="35669B68" w:rsidR="00460467" w:rsidRDefault="00986B23" w:rsidP="00460467">
            <w:pPr>
              <w:adjustRightInd w:val="0"/>
              <w:spacing w:line="360" w:lineRule="auto"/>
              <w:jc w:val="both"/>
              <w:rPr>
                <w:i/>
                <w:lang w:eastAsia="en-GB"/>
              </w:rPr>
            </w:pPr>
            <w:r>
              <w:t xml:space="preserve">      </w:t>
            </w:r>
            <w:r w:rsidR="00460467">
              <w:t xml:space="preserve">Legea prevede la </w:t>
            </w:r>
            <w:r w:rsidR="00460467">
              <w:rPr>
                <w:bCs/>
              </w:rPr>
              <w:t xml:space="preserve">art. 138 alin. (1) lit. d) </w:t>
            </w:r>
            <w:r w:rsidR="00460467" w:rsidRPr="00DF694E">
              <w:rPr>
                <w:b/>
                <w:bCs/>
              </w:rPr>
              <w:t xml:space="preserve">obligația distribuitorului de gaze naturale </w:t>
            </w:r>
            <w:r w:rsidR="00460467" w:rsidRPr="00DF694E">
              <w:rPr>
                <w:b/>
                <w:bCs/>
                <w:i/>
              </w:rPr>
              <w:t xml:space="preserve">„să asigure </w:t>
            </w:r>
            <w:r w:rsidR="00460467" w:rsidRPr="00DF694E">
              <w:rPr>
                <w:b/>
                <w:i/>
                <w:lang w:eastAsia="en-GB"/>
              </w:rPr>
              <w:t>accesul terților la sistemele de distribuție</w:t>
            </w:r>
            <w:r w:rsidR="00460467">
              <w:rPr>
                <w:i/>
                <w:lang w:eastAsia="en-GB"/>
              </w:rPr>
              <w:t xml:space="preserve">, în condiții nediscriminatorii, în limitele capacităților de distribuție, cu respectarea regimurilor tehnologice, </w:t>
            </w:r>
            <w:r w:rsidR="00460467" w:rsidRPr="00AC5A3D">
              <w:rPr>
                <w:b/>
                <w:bCs/>
                <w:i/>
                <w:lang w:eastAsia="en-GB"/>
              </w:rPr>
              <w:t>conform reglementărilor specifice elaborate de ANRE</w:t>
            </w:r>
            <w:r w:rsidR="00460467">
              <w:rPr>
                <w:i/>
                <w:lang w:eastAsia="en-GB"/>
              </w:rPr>
              <w:t>”.</w:t>
            </w:r>
          </w:p>
          <w:p w14:paraId="283D5750" w14:textId="77777777" w:rsidR="00116FFD" w:rsidRDefault="00986B23" w:rsidP="00116FFD">
            <w:pPr>
              <w:adjustRightInd w:val="0"/>
              <w:spacing w:line="360" w:lineRule="auto"/>
              <w:jc w:val="both"/>
              <w:rPr>
                <w:lang w:eastAsia="en-GB"/>
              </w:rPr>
            </w:pPr>
            <w:r>
              <w:rPr>
                <w:lang w:eastAsia="en-GB"/>
              </w:rPr>
              <w:t xml:space="preserve">      </w:t>
            </w:r>
            <w:r w:rsidR="00460467">
              <w:rPr>
                <w:lang w:eastAsia="en-GB"/>
              </w:rPr>
              <w:t>Totodată, potrivit prevederilor art. 147 din Lege</w:t>
            </w:r>
            <w:r w:rsidR="00460467">
              <w:rPr>
                <w:bCs/>
              </w:rPr>
              <w:t xml:space="preserve">, </w:t>
            </w:r>
            <w:r w:rsidR="00460467">
              <w:rPr>
                <w:bCs/>
                <w:i/>
              </w:rPr>
              <w:t>„</w:t>
            </w:r>
            <w:r w:rsidR="00460467" w:rsidRPr="008A11B8">
              <w:rPr>
                <w:b/>
                <w:i/>
                <w:lang w:eastAsia="en-GB"/>
              </w:rPr>
              <w:t>accesul</w:t>
            </w:r>
            <w:r w:rsidR="00460467">
              <w:rPr>
                <w:i/>
                <w:lang w:eastAsia="en-GB"/>
              </w:rPr>
              <w:t xml:space="preserve"> terților la conductele de alimentare din amonte, la sistemele de transport, la depozitele de înmagazinare, la sistemele GNL și </w:t>
            </w:r>
            <w:r w:rsidR="00460467" w:rsidRPr="008A11B8">
              <w:rPr>
                <w:b/>
                <w:i/>
                <w:lang w:eastAsia="en-GB"/>
              </w:rPr>
              <w:t>la sistemele de distribuție a gazelor naturale se realizează în regim reglementat</w:t>
            </w:r>
            <w:r w:rsidR="00460467">
              <w:rPr>
                <w:i/>
                <w:lang w:eastAsia="en-GB"/>
              </w:rPr>
              <w:t xml:space="preserve">”. </w:t>
            </w:r>
            <w:r w:rsidR="00460467">
              <w:rPr>
                <w:lang w:eastAsia="en-GB"/>
              </w:rPr>
              <w:t>De asemenea, la art. 149 din Lege sunt prevăzute situațiile în care operatorii de distribuție a gazelor naturale pot refuza accesul la sistemele de distribuție a gazelor naturale.</w:t>
            </w:r>
          </w:p>
          <w:p w14:paraId="6A821326" w14:textId="28B89C35" w:rsidR="00116FFD" w:rsidRDefault="009B0600" w:rsidP="00116FFD">
            <w:pPr>
              <w:adjustRightInd w:val="0"/>
              <w:spacing w:line="360" w:lineRule="auto"/>
              <w:ind w:firstLine="451"/>
              <w:jc w:val="both"/>
            </w:pPr>
            <w:r>
              <w:lastRenderedPageBreak/>
              <w:t xml:space="preserve">Potrivit prevederilor art. 179 alin. (2) </w:t>
            </w:r>
            <w:r w:rsidR="00D005A1">
              <w:t xml:space="preserve">lit. i) </w:t>
            </w:r>
            <w:r>
              <w:t xml:space="preserve">din Lege, </w:t>
            </w:r>
            <w:r w:rsidRPr="00CD3B34">
              <w:rPr>
                <w:b/>
              </w:rPr>
              <w:t>distribuția gazelor naturale este o activitate aferentă pieței reglementate</w:t>
            </w:r>
            <w:r>
              <w:t>.</w:t>
            </w:r>
          </w:p>
          <w:p w14:paraId="35BA9A21" w14:textId="3D9D06DD" w:rsidR="008A11B8" w:rsidRDefault="009B0600" w:rsidP="00116FFD">
            <w:pPr>
              <w:adjustRightInd w:val="0"/>
              <w:spacing w:line="360" w:lineRule="auto"/>
              <w:ind w:firstLine="451"/>
              <w:jc w:val="both"/>
              <w:rPr>
                <w:lang w:eastAsia="en-GB"/>
              </w:rPr>
            </w:pPr>
            <w:r>
              <w:t>În conformitate cu prevederile art. 10 alin. (1) lit.</w:t>
            </w:r>
            <w:r w:rsidR="00986B23">
              <w:t xml:space="preserve"> j) </w:t>
            </w:r>
            <w:r w:rsidR="008A11B8">
              <w:t>și</w:t>
            </w:r>
            <w:r>
              <w:t xml:space="preserve"> o) din Ordonanța de urgență a Guvernului nr. 33/2007 privind organizarea și funcționarea Autorității Naționale de Reglementare în Domeniul Energiei, aprobată cu modificări și completări prin Legea nr. 160/2012, cu modificările și completările ulterioare, ANRE </w:t>
            </w:r>
            <w:r w:rsidR="00986B23" w:rsidRPr="00986B23">
              <w:rPr>
                <w:bCs/>
                <w:i/>
              </w:rPr>
              <w:t>„</w:t>
            </w:r>
            <w:r w:rsidR="00986B23">
              <w:rPr>
                <w:bCs/>
                <w:i/>
              </w:rPr>
              <w:t xml:space="preserve">j) </w:t>
            </w:r>
            <w:r w:rsidR="00986B23" w:rsidRPr="00986B23">
              <w:rPr>
                <w:i/>
              </w:rPr>
              <w:t xml:space="preserve">elaborează și aprobă </w:t>
            </w:r>
            <w:r w:rsidR="00986B23" w:rsidRPr="0022755E">
              <w:rPr>
                <w:b/>
                <w:i/>
              </w:rPr>
              <w:t>regulamentele privind</w:t>
            </w:r>
            <w:r w:rsidR="00986B23" w:rsidRPr="00986B23">
              <w:rPr>
                <w:i/>
              </w:rPr>
              <w:t xml:space="preserve"> racordarea și </w:t>
            </w:r>
            <w:r w:rsidR="00986B23" w:rsidRPr="0022755E">
              <w:rPr>
                <w:b/>
                <w:i/>
              </w:rPr>
              <w:t>accesul</w:t>
            </w:r>
            <w:r w:rsidR="00986B23" w:rsidRPr="00986B23">
              <w:rPr>
                <w:i/>
              </w:rPr>
              <w:t xml:space="preserve"> terților la conductele de alimentare din amonte, la depozitele de înmagazinare, </w:t>
            </w:r>
            <w:r w:rsidR="00986B23" w:rsidRPr="0022755E">
              <w:rPr>
                <w:b/>
                <w:i/>
              </w:rPr>
              <w:t xml:space="preserve">la sistemele </w:t>
            </w:r>
            <w:r w:rsidR="00986B23" w:rsidRPr="0022755E">
              <w:rPr>
                <w:i/>
              </w:rPr>
              <w:t>de</w:t>
            </w:r>
            <w:r w:rsidR="00986B23" w:rsidRPr="00986B23">
              <w:rPr>
                <w:i/>
              </w:rPr>
              <w:t xml:space="preserve"> transport și </w:t>
            </w:r>
            <w:r w:rsidR="00986B23" w:rsidRPr="0022755E">
              <w:rPr>
                <w:b/>
                <w:i/>
              </w:rPr>
              <w:t>de</w:t>
            </w:r>
            <w:r w:rsidR="00986B23" w:rsidRPr="00986B23">
              <w:rPr>
                <w:i/>
              </w:rPr>
              <w:t xml:space="preserve"> </w:t>
            </w:r>
            <w:r w:rsidR="00986B23" w:rsidRPr="0022755E">
              <w:rPr>
                <w:b/>
                <w:i/>
              </w:rPr>
              <w:t>distribuție a gazelor naturale</w:t>
            </w:r>
            <w:r w:rsidR="00986B23" w:rsidRPr="00986B23">
              <w:rPr>
                <w:i/>
              </w:rPr>
              <w:t>”</w:t>
            </w:r>
            <w:r w:rsidR="00986B23" w:rsidRPr="00986B23">
              <w:t xml:space="preserve">, </w:t>
            </w:r>
            <w:r w:rsidR="008A11B8">
              <w:t>și</w:t>
            </w:r>
            <w:r w:rsidR="00986B23">
              <w:t xml:space="preserve"> </w:t>
            </w:r>
            <w:r>
              <w:t>„</w:t>
            </w:r>
            <w:r w:rsidR="00986B23" w:rsidRPr="00986B23">
              <w:rPr>
                <w:i/>
              </w:rPr>
              <w:t>o)</w:t>
            </w:r>
            <w:r w:rsidR="00986B23">
              <w:t xml:space="preserve"> </w:t>
            </w:r>
            <w:r>
              <w:rPr>
                <w:i/>
              </w:rPr>
              <w:t xml:space="preserve">elaborează </w:t>
            </w:r>
            <w:r w:rsidR="00800182">
              <w:rPr>
                <w:i/>
              </w:rPr>
              <w:t>și</w:t>
            </w:r>
            <w:r>
              <w:rPr>
                <w:i/>
              </w:rPr>
              <w:t xml:space="preserve"> aprobă </w:t>
            </w:r>
            <w:r w:rsidRPr="00AC5A3D">
              <w:rPr>
                <w:b/>
                <w:bCs/>
                <w:i/>
              </w:rPr>
              <w:t>contractele-cadru</w:t>
            </w:r>
            <w:r>
              <w:rPr>
                <w:i/>
              </w:rPr>
              <w:t xml:space="preserve">:[…] 2. </w:t>
            </w:r>
            <w:r>
              <w:rPr>
                <w:b/>
                <w:i/>
              </w:rPr>
              <w:t xml:space="preserve">pentru prestarea serviciilor </w:t>
            </w:r>
            <w:r>
              <w:rPr>
                <w:i/>
              </w:rPr>
              <w:t xml:space="preserve">de înmagazinare, </w:t>
            </w:r>
            <w:r>
              <w:rPr>
                <w:b/>
                <w:i/>
              </w:rPr>
              <w:t xml:space="preserve">de </w:t>
            </w:r>
            <w:r w:rsidR="00800182">
              <w:rPr>
                <w:b/>
                <w:i/>
              </w:rPr>
              <w:t>distribuție</w:t>
            </w:r>
            <w:r>
              <w:rPr>
                <w:i/>
              </w:rPr>
              <w:t xml:space="preserve">, de transport prin sisteme de transport/conducte de alimentare din amonte a gazelor naturale, </w:t>
            </w:r>
            <w:r w:rsidR="00800182">
              <w:rPr>
                <w:i/>
              </w:rPr>
              <w:t>desfășurate</w:t>
            </w:r>
            <w:r>
              <w:rPr>
                <w:i/>
              </w:rPr>
              <w:t xml:space="preserve"> pe baza unor metodologii </w:t>
            </w:r>
            <w:r w:rsidR="008A11B8">
              <w:rPr>
                <w:i/>
              </w:rPr>
              <w:t>și</w:t>
            </w:r>
            <w:r>
              <w:rPr>
                <w:i/>
              </w:rPr>
              <w:t>/sau tarife reglementate</w:t>
            </w:r>
            <w:r>
              <w:t>;”</w:t>
            </w:r>
            <w:r w:rsidR="00986B23">
              <w:t>,</w:t>
            </w:r>
            <w:r>
              <w:t xml:space="preserve"> iar conform dispozițiilor art. 5 alin. (1) lit. c) din același act normativ, ordinele, deciziile sau avizele ANRE cu privire la activitatea de reglementare se referă la „</w:t>
            </w:r>
            <w:r>
              <w:rPr>
                <w:b/>
                <w:i/>
              </w:rPr>
              <w:t>aprobarea reglementărilor</w:t>
            </w:r>
            <w:r>
              <w:rPr>
                <w:i/>
              </w:rPr>
              <w:t xml:space="preserve"> tehnice și </w:t>
            </w:r>
            <w:r>
              <w:rPr>
                <w:b/>
                <w:i/>
              </w:rPr>
              <w:t>comerciale pentru funcționarea sigură și eficientă a sectorului</w:t>
            </w:r>
            <w:r>
              <w:rPr>
                <w:i/>
              </w:rPr>
              <w:t xml:space="preserve"> energiei electrice, termice și a </w:t>
            </w:r>
            <w:r>
              <w:rPr>
                <w:b/>
                <w:i/>
              </w:rPr>
              <w:t>gazelor naturale</w:t>
            </w:r>
            <w:r>
              <w:t>”.</w:t>
            </w:r>
          </w:p>
          <w:p w14:paraId="2E468C92" w14:textId="77777777" w:rsidR="0022755E" w:rsidRDefault="009B0600" w:rsidP="0022755E">
            <w:pPr>
              <w:pStyle w:val="BodyText3"/>
              <w:spacing w:line="360" w:lineRule="auto"/>
              <w:jc w:val="both"/>
              <w:rPr>
                <w:sz w:val="24"/>
              </w:rPr>
            </w:pPr>
            <w:r>
              <w:rPr>
                <w:sz w:val="24"/>
              </w:rPr>
              <w:t xml:space="preserve">În prezent, sunt în vigoare: </w:t>
            </w:r>
          </w:p>
          <w:p w14:paraId="0BBB173F" w14:textId="540697D0" w:rsidR="009B0600" w:rsidRDefault="009B0600" w:rsidP="0022755E">
            <w:pPr>
              <w:pStyle w:val="BodyText3"/>
              <w:spacing w:line="360" w:lineRule="auto"/>
              <w:jc w:val="both"/>
              <w:rPr>
                <w:sz w:val="24"/>
              </w:rPr>
            </w:pPr>
            <w:r>
              <w:rPr>
                <w:sz w:val="24"/>
              </w:rPr>
              <w:t xml:space="preserve">1. </w:t>
            </w:r>
            <w:r w:rsidR="0022755E" w:rsidRPr="0022755E">
              <w:rPr>
                <w:sz w:val="24"/>
              </w:rPr>
              <w:t xml:space="preserve">Ordinul </w:t>
            </w:r>
            <w:r w:rsidR="00DF694E" w:rsidRPr="0022755E">
              <w:rPr>
                <w:sz w:val="24"/>
              </w:rPr>
              <w:t>președintelui</w:t>
            </w:r>
            <w:r w:rsidR="0022755E" w:rsidRPr="0022755E">
              <w:rPr>
                <w:sz w:val="24"/>
              </w:rPr>
              <w:t xml:space="preserve"> </w:t>
            </w:r>
            <w:r w:rsidR="00DF694E" w:rsidRPr="0022755E">
              <w:rPr>
                <w:sz w:val="24"/>
              </w:rPr>
              <w:t>Autorității</w:t>
            </w:r>
            <w:r w:rsidR="0022755E" w:rsidRPr="0022755E">
              <w:rPr>
                <w:sz w:val="24"/>
              </w:rPr>
              <w:t xml:space="preserve"> </w:t>
            </w:r>
            <w:r w:rsidR="00DF694E" w:rsidRPr="0022755E">
              <w:rPr>
                <w:sz w:val="24"/>
              </w:rPr>
              <w:t>Naționale</w:t>
            </w:r>
            <w:r w:rsidR="0022755E" w:rsidRPr="0022755E">
              <w:rPr>
                <w:sz w:val="24"/>
              </w:rPr>
              <w:t xml:space="preserve"> de Reglementare în Domeniul Energiei nr. 97/2018  pentru aprobarea Regulamentului privind accesul la sistemele de </w:t>
            </w:r>
            <w:r w:rsidR="00DF694E" w:rsidRPr="0022755E">
              <w:rPr>
                <w:sz w:val="24"/>
              </w:rPr>
              <w:t>distribuție</w:t>
            </w:r>
            <w:r w:rsidR="0022755E" w:rsidRPr="0022755E">
              <w:rPr>
                <w:sz w:val="24"/>
              </w:rPr>
              <w:t xml:space="preserve"> a gazelor naturale </w:t>
            </w:r>
            <w:r w:rsidR="00DF694E" w:rsidRPr="0022755E">
              <w:rPr>
                <w:sz w:val="24"/>
              </w:rPr>
              <w:t>și</w:t>
            </w:r>
            <w:r w:rsidR="0022755E" w:rsidRPr="0022755E">
              <w:rPr>
                <w:sz w:val="24"/>
              </w:rPr>
              <w:t xml:space="preserve"> de modificare a unor ordine ale </w:t>
            </w:r>
            <w:r w:rsidR="00DF694E" w:rsidRPr="0022755E">
              <w:rPr>
                <w:sz w:val="24"/>
              </w:rPr>
              <w:t>președintelui</w:t>
            </w:r>
            <w:r w:rsidR="0022755E" w:rsidRPr="0022755E">
              <w:rPr>
                <w:sz w:val="24"/>
              </w:rPr>
              <w:t xml:space="preserve"> </w:t>
            </w:r>
            <w:r w:rsidR="00DF694E" w:rsidRPr="0022755E">
              <w:rPr>
                <w:sz w:val="24"/>
              </w:rPr>
              <w:t>Autorității</w:t>
            </w:r>
            <w:r w:rsidR="0022755E" w:rsidRPr="0022755E">
              <w:rPr>
                <w:sz w:val="24"/>
              </w:rPr>
              <w:t xml:space="preserve"> </w:t>
            </w:r>
            <w:r w:rsidR="00DF694E" w:rsidRPr="0022755E">
              <w:rPr>
                <w:sz w:val="24"/>
              </w:rPr>
              <w:t>Naționale</w:t>
            </w:r>
            <w:r w:rsidR="0022755E" w:rsidRPr="0022755E">
              <w:rPr>
                <w:sz w:val="24"/>
              </w:rPr>
              <w:t xml:space="preserve"> de Reglementare în Domeniul Energiei, publicat în Monitorul Oficial al României, Partea I, nr. 447 din 29 mai 2018</w:t>
            </w:r>
            <w:r>
              <w:rPr>
                <w:sz w:val="24"/>
              </w:rPr>
              <w:t xml:space="preserve">; </w:t>
            </w:r>
          </w:p>
          <w:p w14:paraId="47EBF78A" w14:textId="059A5EFD" w:rsidR="00676DCA" w:rsidRPr="00D005A1" w:rsidRDefault="009B0600" w:rsidP="002F7CEB">
            <w:pPr>
              <w:autoSpaceDE w:val="0"/>
              <w:autoSpaceDN w:val="0"/>
              <w:adjustRightInd w:val="0"/>
              <w:spacing w:line="360" w:lineRule="auto"/>
              <w:jc w:val="both"/>
              <w:rPr>
                <w:lang w:val="en-GB"/>
              </w:rPr>
            </w:pPr>
            <w:r>
              <w:t xml:space="preserve">2. </w:t>
            </w:r>
            <w:r w:rsidR="0022755E" w:rsidRPr="0022755E">
              <w:t xml:space="preserve">Ordinul </w:t>
            </w:r>
            <w:r w:rsidR="00DF694E" w:rsidRPr="0022755E">
              <w:t>președintelui</w:t>
            </w:r>
            <w:r w:rsidR="0022755E" w:rsidRPr="0022755E">
              <w:t xml:space="preserve"> </w:t>
            </w:r>
            <w:r w:rsidR="00DF694E" w:rsidRPr="0022755E">
              <w:t>Autorității</w:t>
            </w:r>
            <w:r w:rsidR="0022755E" w:rsidRPr="0022755E">
              <w:t xml:space="preserve"> </w:t>
            </w:r>
            <w:r w:rsidR="00DF694E" w:rsidRPr="0022755E">
              <w:t>Naționale</w:t>
            </w:r>
            <w:r w:rsidR="0022755E" w:rsidRPr="0022755E">
              <w:t xml:space="preserve"> de Reglementare în Domeniul Energiei nr. 78/2020 privind aprobarea Contractului-cadru de </w:t>
            </w:r>
            <w:r w:rsidR="00DF694E" w:rsidRPr="0022755E">
              <w:t>distribuție</w:t>
            </w:r>
            <w:r w:rsidR="0022755E" w:rsidRPr="0022755E">
              <w:t xml:space="preserve"> a gazelor naturale </w:t>
            </w:r>
            <w:r w:rsidR="00DF694E" w:rsidRPr="0022755E">
              <w:t>și</w:t>
            </w:r>
            <w:r w:rsidR="0022755E" w:rsidRPr="0022755E">
              <w:t xml:space="preserve"> a </w:t>
            </w:r>
            <w:r w:rsidR="00DF694E" w:rsidRPr="0022755E">
              <w:t>Condițiilor</w:t>
            </w:r>
            <w:r w:rsidR="0022755E" w:rsidRPr="0022755E">
              <w:t xml:space="preserve"> generale de contractare pentru prestarea serviciului de </w:t>
            </w:r>
            <w:r w:rsidR="00DF694E" w:rsidRPr="0022755E">
              <w:t>distribuție</w:t>
            </w:r>
            <w:r w:rsidR="0022755E" w:rsidRPr="0022755E">
              <w:t xml:space="preserve"> a gazelor naturale, publicat în Monitorul Oficial al României, Partea I, nr. 430 din 22 mai 2020, cu modificările </w:t>
            </w:r>
            <w:r w:rsidR="00DF694E" w:rsidRPr="0022755E">
              <w:t>și</w:t>
            </w:r>
            <w:r w:rsidR="0022755E" w:rsidRPr="0022755E">
              <w:t xml:space="preserve"> completările ulterioare</w:t>
            </w:r>
            <w:r>
              <w:t>.</w:t>
            </w:r>
          </w:p>
        </w:tc>
      </w:tr>
      <w:tr w:rsidR="00D912A9" w:rsidRPr="003728CF" w14:paraId="31CBA27D" w14:textId="77777777" w:rsidTr="00674340">
        <w:trPr>
          <w:jc w:val="center"/>
        </w:trPr>
        <w:tc>
          <w:tcPr>
            <w:tcW w:w="1462" w:type="dxa"/>
          </w:tcPr>
          <w:p w14:paraId="67BC541C" w14:textId="77777777" w:rsidR="008827A6" w:rsidRPr="003728CF" w:rsidRDefault="008827A6" w:rsidP="00F70877">
            <w:pPr>
              <w:pStyle w:val="BodyText2"/>
              <w:spacing w:line="360" w:lineRule="auto"/>
            </w:pPr>
            <w:r w:rsidRPr="003728CF">
              <w:lastRenderedPageBreak/>
              <w:t xml:space="preserve">3. </w:t>
            </w:r>
            <w:r w:rsidRPr="003728CF">
              <w:rPr>
                <w:b/>
              </w:rPr>
              <w:t>Scopul reglementării</w:t>
            </w:r>
          </w:p>
        </w:tc>
        <w:tc>
          <w:tcPr>
            <w:tcW w:w="8599" w:type="dxa"/>
          </w:tcPr>
          <w:p w14:paraId="23D0FDE3" w14:textId="1937BA58" w:rsidR="00BA7760" w:rsidRDefault="00EB04F5" w:rsidP="006F1334">
            <w:pPr>
              <w:spacing w:line="360" w:lineRule="auto"/>
              <w:jc w:val="both"/>
              <w:rPr>
                <w:bCs/>
              </w:rPr>
            </w:pPr>
            <w:r>
              <w:t xml:space="preserve">Prin promovarea prezentului proiect de ordin se urmărește stabilirea condițiilor de </w:t>
            </w:r>
            <w:r w:rsidR="006F1334">
              <w:t xml:space="preserve">acces şi </w:t>
            </w:r>
            <w:r>
              <w:t>utilizare a sistemelor de distribuție a gazelor naturale.</w:t>
            </w:r>
            <w:r w:rsidRPr="00B84279">
              <w:rPr>
                <w:bCs/>
              </w:rPr>
              <w:t xml:space="preserve"> </w:t>
            </w:r>
            <w:r w:rsidR="006F1334">
              <w:rPr>
                <w:bCs/>
              </w:rPr>
              <w:t>Astfel, î</w:t>
            </w:r>
            <w:r w:rsidR="00B84279" w:rsidRPr="00B84279">
              <w:rPr>
                <w:bCs/>
              </w:rPr>
              <w:t xml:space="preserve">n urma analizării </w:t>
            </w:r>
            <w:bookmarkStart w:id="0" w:name="_Hlk186452655"/>
            <w:r w:rsidR="0085191E">
              <w:rPr>
                <w:bCs/>
              </w:rPr>
              <w:t>situațiilor</w:t>
            </w:r>
            <w:r w:rsidR="00B84279" w:rsidRPr="00B84279">
              <w:rPr>
                <w:bCs/>
              </w:rPr>
              <w:t xml:space="preserve"> semnalate de către operatorii economici din sectorul gazelor naturale</w:t>
            </w:r>
            <w:r w:rsidR="007334A6">
              <w:rPr>
                <w:bCs/>
              </w:rPr>
              <w:t xml:space="preserve"> şi de către clienții finali</w:t>
            </w:r>
            <w:r>
              <w:rPr>
                <w:bCs/>
              </w:rPr>
              <w:t xml:space="preserve"> </w:t>
            </w:r>
            <w:r w:rsidR="00B84279" w:rsidRPr="00B84279">
              <w:rPr>
                <w:bCs/>
              </w:rPr>
              <w:t xml:space="preserve">în ceea ce privește aplicarea prevederilor </w:t>
            </w:r>
            <w:r w:rsidR="0085191E" w:rsidRPr="0085191E">
              <w:rPr>
                <w:bCs/>
              </w:rPr>
              <w:t xml:space="preserve">Regulamentului privind </w:t>
            </w:r>
            <w:r w:rsidR="0085191E" w:rsidRPr="0085191E">
              <w:rPr>
                <w:bCs/>
              </w:rPr>
              <w:lastRenderedPageBreak/>
              <w:t>accesul la sistemele de distribuție a gazelor naturale</w:t>
            </w:r>
            <w:r w:rsidR="0085191E">
              <w:rPr>
                <w:bCs/>
              </w:rPr>
              <w:t xml:space="preserve"> și ale</w:t>
            </w:r>
            <w:r w:rsidR="0085191E" w:rsidRPr="0085191E">
              <w:t xml:space="preserve"> </w:t>
            </w:r>
            <w:r w:rsidR="0085191E" w:rsidRPr="0085191E">
              <w:rPr>
                <w:bCs/>
              </w:rPr>
              <w:t>Contractului-cadru de distribuție a gazelor naturale și a Condițiilor generale de contractare pentru prestarea serviciului de distribuție a gazelor naturale</w:t>
            </w:r>
            <w:r w:rsidR="00B84279" w:rsidRPr="00B84279">
              <w:rPr>
                <w:bCs/>
              </w:rPr>
              <w:t xml:space="preserve">, apreciem că, pentru facilitarea unei mai bune înțelegeri a legislației este necesară elaborarea și structurarea unei singure reglementări care să unifice toate prevederile privind desfășurarea activității de distribuție a gazelor naturale, respectiv cele privind </w:t>
            </w:r>
            <w:r w:rsidR="0085191E" w:rsidRPr="00B84279">
              <w:rPr>
                <w:bCs/>
              </w:rPr>
              <w:t>condiții</w:t>
            </w:r>
            <w:r w:rsidR="003D4EB6">
              <w:rPr>
                <w:bCs/>
              </w:rPr>
              <w:t>le</w:t>
            </w:r>
            <w:r w:rsidR="00B84279" w:rsidRPr="00B84279">
              <w:rPr>
                <w:bCs/>
              </w:rPr>
              <w:t xml:space="preserve"> de acces și de utilizare de către </w:t>
            </w:r>
            <w:r w:rsidR="0085191E" w:rsidRPr="00B84279">
              <w:rPr>
                <w:bCs/>
              </w:rPr>
              <w:t>solicitanți</w:t>
            </w:r>
            <w:r w:rsidR="00B84279" w:rsidRPr="00B84279">
              <w:rPr>
                <w:bCs/>
              </w:rPr>
              <w:t xml:space="preserve"> a sistemelor de </w:t>
            </w:r>
            <w:r w:rsidR="0085191E" w:rsidRPr="00B84279">
              <w:rPr>
                <w:bCs/>
              </w:rPr>
              <w:t>distribuție</w:t>
            </w:r>
            <w:r w:rsidR="00B84279" w:rsidRPr="00B84279">
              <w:rPr>
                <w:bCs/>
              </w:rPr>
              <w:t xml:space="preserve"> a gazelor naturale, condițiile generale de contractare pentru prestarea serviciului de distribuție a gazelor naturale și contractul-cadru de distribuție a gazelor naturale</w:t>
            </w:r>
            <w:bookmarkEnd w:id="0"/>
            <w:r w:rsidR="00B84279" w:rsidRPr="00B84279">
              <w:rPr>
                <w:bCs/>
              </w:rPr>
              <w:t>.</w:t>
            </w:r>
          </w:p>
          <w:p w14:paraId="2AC06411" w14:textId="4FF2CAD9" w:rsidR="00EB04F5" w:rsidRPr="00D950F8" w:rsidRDefault="0085191E" w:rsidP="006F1334">
            <w:pPr>
              <w:autoSpaceDE w:val="0"/>
              <w:autoSpaceDN w:val="0"/>
              <w:adjustRightInd w:val="0"/>
              <w:spacing w:line="360" w:lineRule="auto"/>
              <w:jc w:val="both"/>
              <w:rPr>
                <w:bCs/>
              </w:rPr>
            </w:pPr>
            <w:r w:rsidRPr="00D950F8">
              <w:rPr>
                <w:bCs/>
              </w:rPr>
              <w:t xml:space="preserve">Totodată, </w:t>
            </w:r>
            <w:r w:rsidR="00EB04F5" w:rsidRPr="00D950F8">
              <w:rPr>
                <w:bCs/>
              </w:rPr>
              <w:t xml:space="preserve">este </w:t>
            </w:r>
            <w:bookmarkStart w:id="1" w:name="_Hlk186453304"/>
            <w:r w:rsidR="00EB04F5" w:rsidRPr="00D950F8">
              <w:rPr>
                <w:bCs/>
              </w:rPr>
              <w:t>necesară</w:t>
            </w:r>
            <w:r w:rsidR="00A418F1" w:rsidRPr="00D950F8">
              <w:rPr>
                <w:bCs/>
              </w:rPr>
              <w:t xml:space="preserve"> armoniz</w:t>
            </w:r>
            <w:r w:rsidR="00EB04F5" w:rsidRPr="00D950F8">
              <w:rPr>
                <w:bCs/>
              </w:rPr>
              <w:t>area</w:t>
            </w:r>
            <w:r w:rsidR="00A418F1" w:rsidRPr="00D950F8">
              <w:rPr>
                <w:bCs/>
              </w:rPr>
              <w:t xml:space="preserve"> </w:t>
            </w:r>
            <w:r w:rsidR="00EB04F5" w:rsidRPr="00D950F8">
              <w:rPr>
                <w:bCs/>
              </w:rPr>
              <w:t xml:space="preserve">prevederilor </w:t>
            </w:r>
            <w:r w:rsidR="006F1334" w:rsidRPr="00D950F8">
              <w:rPr>
                <w:bCs/>
              </w:rPr>
              <w:t xml:space="preserve">celor două reglementări </w:t>
            </w:r>
            <w:r w:rsidR="00D950F8" w:rsidRPr="00D950F8">
              <w:rPr>
                <w:bCs/>
              </w:rPr>
              <w:t>menționate</w:t>
            </w:r>
            <w:r w:rsidR="006F1334" w:rsidRPr="00D950F8">
              <w:rPr>
                <w:bCs/>
              </w:rPr>
              <w:t xml:space="preserve"> anterior</w:t>
            </w:r>
            <w:r w:rsidR="00A418F1" w:rsidRPr="00D950F8">
              <w:rPr>
                <w:bCs/>
              </w:rPr>
              <w:t xml:space="preserve"> cu prevederile Regulamentului privind organizarea și</w:t>
            </w:r>
            <w:r w:rsidR="00EB04F5" w:rsidRPr="00D950F8">
              <w:rPr>
                <w:bCs/>
              </w:rPr>
              <w:t xml:space="preserve"> </w:t>
            </w:r>
            <w:r w:rsidR="00A418F1" w:rsidRPr="00D950F8">
              <w:rPr>
                <w:bCs/>
              </w:rPr>
              <w:t>funcționarea platformei online de schimbare a furnizorului de energie electrică și gaze naturale și</w:t>
            </w:r>
            <w:r w:rsidR="00EB04F5" w:rsidRPr="00D950F8">
              <w:rPr>
                <w:bCs/>
              </w:rPr>
              <w:t xml:space="preserve"> </w:t>
            </w:r>
            <w:r w:rsidR="00A418F1" w:rsidRPr="00D950F8">
              <w:rPr>
                <w:bCs/>
              </w:rPr>
              <w:t>pentru contractarea furnizării de energie electrică și gaze naturale</w:t>
            </w:r>
            <w:r w:rsidR="00EB04F5" w:rsidRPr="00D950F8">
              <w:rPr>
                <w:bCs/>
              </w:rPr>
              <w:t xml:space="preserve">, </w:t>
            </w:r>
            <w:r w:rsidR="00A418F1" w:rsidRPr="00D950F8">
              <w:rPr>
                <w:bCs/>
              </w:rPr>
              <w:t>denumit</w:t>
            </w:r>
            <w:r w:rsidR="00EB04F5" w:rsidRPr="00D950F8">
              <w:rPr>
                <w:bCs/>
              </w:rPr>
              <w:t>ă</w:t>
            </w:r>
            <w:r w:rsidR="00A418F1" w:rsidRPr="00D950F8">
              <w:rPr>
                <w:bCs/>
              </w:rPr>
              <w:t xml:space="preserve"> în </w:t>
            </w:r>
            <w:r w:rsidR="00EB04F5" w:rsidRPr="00D950F8">
              <w:rPr>
                <w:bCs/>
              </w:rPr>
              <w:t>continuare</w:t>
            </w:r>
            <w:r w:rsidR="00A418F1" w:rsidRPr="00D950F8">
              <w:rPr>
                <w:bCs/>
              </w:rPr>
              <w:t xml:space="preserve"> POSF, aprobat prin Ordinul președintelui ANRE nr. 3/2022</w:t>
            </w:r>
            <w:r w:rsidR="006F1334" w:rsidRPr="00D950F8">
              <w:rPr>
                <w:bCs/>
              </w:rPr>
              <w:t xml:space="preserve">, cu modificările </w:t>
            </w:r>
            <w:r w:rsidR="00D950F8" w:rsidRPr="00D950F8">
              <w:rPr>
                <w:bCs/>
              </w:rPr>
              <w:t>și</w:t>
            </w:r>
            <w:r w:rsidR="006F1334" w:rsidRPr="00D950F8">
              <w:rPr>
                <w:bCs/>
              </w:rPr>
              <w:t xml:space="preserve"> completările ulterioare</w:t>
            </w:r>
            <w:bookmarkEnd w:id="1"/>
            <w:r w:rsidR="00EB04F5" w:rsidRPr="00D950F8">
              <w:rPr>
                <w:bCs/>
              </w:rPr>
              <w:t>.</w:t>
            </w:r>
          </w:p>
        </w:tc>
      </w:tr>
      <w:tr w:rsidR="00D912A9" w:rsidRPr="003728CF" w14:paraId="271F4C80" w14:textId="77777777" w:rsidTr="00895F00">
        <w:trPr>
          <w:jc w:val="center"/>
        </w:trPr>
        <w:tc>
          <w:tcPr>
            <w:tcW w:w="1462" w:type="dxa"/>
          </w:tcPr>
          <w:p w14:paraId="6C2565BB" w14:textId="77777777" w:rsidR="008827A6" w:rsidRPr="003728CF" w:rsidRDefault="008827A6" w:rsidP="00F70877">
            <w:pPr>
              <w:spacing w:line="360" w:lineRule="auto"/>
            </w:pPr>
            <w:r w:rsidRPr="003728CF">
              <w:lastRenderedPageBreak/>
              <w:t xml:space="preserve">4. </w:t>
            </w:r>
            <w:r w:rsidRPr="003728CF">
              <w:rPr>
                <w:b/>
              </w:rPr>
              <w:t xml:space="preserve">Schimbări </w:t>
            </w:r>
            <w:r w:rsidRPr="00364F89">
              <w:rPr>
                <w:b/>
              </w:rPr>
              <w:t>preconizate/ măsurile propuse prin prezenta reglementare</w:t>
            </w:r>
          </w:p>
        </w:tc>
        <w:tc>
          <w:tcPr>
            <w:tcW w:w="8599" w:type="dxa"/>
            <w:shd w:val="clear" w:color="auto" w:fill="auto"/>
          </w:tcPr>
          <w:p w14:paraId="6153E8E3" w14:textId="2ED76EA7" w:rsidR="00130018" w:rsidRPr="00F71D51" w:rsidRDefault="00E72BC8" w:rsidP="007C3639">
            <w:pPr>
              <w:spacing w:line="360" w:lineRule="auto"/>
              <w:jc w:val="both"/>
              <w:rPr>
                <w:b/>
                <w:bCs/>
              </w:rPr>
            </w:pPr>
            <w:r>
              <w:rPr>
                <w:bCs/>
              </w:rPr>
              <w:t>P</w:t>
            </w:r>
            <w:r w:rsidRPr="00B84279">
              <w:rPr>
                <w:bCs/>
              </w:rPr>
              <w:t xml:space="preserve">entru facilitarea unei mai bune înțelegeri a legislației </w:t>
            </w:r>
            <w:r>
              <w:rPr>
                <w:bCs/>
              </w:rPr>
              <w:t xml:space="preserve">referitoare la </w:t>
            </w:r>
            <w:r w:rsidRPr="00B84279">
              <w:rPr>
                <w:bCs/>
              </w:rPr>
              <w:t>desfășurarea activității de distribuție a gazelor naturale</w:t>
            </w:r>
            <w:r>
              <w:rPr>
                <w:bCs/>
              </w:rPr>
              <w:t xml:space="preserve"> s</w:t>
            </w:r>
            <w:r w:rsidR="001752B7">
              <w:rPr>
                <w:bCs/>
              </w:rPr>
              <w:t>-au unificat</w:t>
            </w:r>
            <w:r w:rsidR="00E42B2A">
              <w:rPr>
                <w:bCs/>
              </w:rPr>
              <w:t>,</w:t>
            </w:r>
            <w:r>
              <w:rPr>
                <w:bCs/>
              </w:rPr>
              <w:t xml:space="preserve"> într-o singură</w:t>
            </w:r>
            <w:r w:rsidR="001752B7">
              <w:rPr>
                <w:bCs/>
              </w:rPr>
              <w:t xml:space="preserve"> </w:t>
            </w:r>
            <w:r>
              <w:rPr>
                <w:bCs/>
              </w:rPr>
              <w:t>reglementare</w:t>
            </w:r>
            <w:r w:rsidR="00E42B2A">
              <w:rPr>
                <w:bCs/>
              </w:rPr>
              <w:t>,</w:t>
            </w:r>
            <w:r>
              <w:rPr>
                <w:bCs/>
              </w:rPr>
              <w:t xml:space="preserve"> </w:t>
            </w:r>
            <w:r w:rsidR="00E61D78" w:rsidRPr="00E61D78">
              <w:rPr>
                <w:bCs/>
              </w:rPr>
              <w:t>Regulamentul privind accesul la sistemele de distribuție a gazelor naturale</w:t>
            </w:r>
            <w:r>
              <w:rPr>
                <w:bCs/>
              </w:rPr>
              <w:t xml:space="preserve">, </w:t>
            </w:r>
            <w:r w:rsidR="00E61D78" w:rsidRPr="00E61D78">
              <w:rPr>
                <w:bCs/>
              </w:rPr>
              <w:t xml:space="preserve">Contractul-cadru de distribuție a gazelor naturale </w:t>
            </w:r>
            <w:r>
              <w:rPr>
                <w:bCs/>
              </w:rPr>
              <w:t>și</w:t>
            </w:r>
            <w:r w:rsidR="00E61D78" w:rsidRPr="00E61D78">
              <w:rPr>
                <w:bCs/>
              </w:rPr>
              <w:t xml:space="preserve"> Condițiil</w:t>
            </w:r>
            <w:r>
              <w:rPr>
                <w:bCs/>
              </w:rPr>
              <w:t>e</w:t>
            </w:r>
            <w:r w:rsidR="00E61D78" w:rsidRPr="00E61D78">
              <w:rPr>
                <w:bCs/>
              </w:rPr>
              <w:t xml:space="preserve"> generale de contractare pentru </w:t>
            </w:r>
            <w:r w:rsidR="00E61D78" w:rsidRPr="00F71D51">
              <w:rPr>
                <w:bCs/>
              </w:rPr>
              <w:t>prestarea serviciului de distribuție a gazelor naturale</w:t>
            </w:r>
            <w:r w:rsidRPr="00F71D51">
              <w:rPr>
                <w:bCs/>
              </w:rPr>
              <w:t xml:space="preserve">. Astfel, </w:t>
            </w:r>
            <w:r w:rsidR="00576A34" w:rsidRPr="00F71D51">
              <w:rPr>
                <w:bCs/>
              </w:rPr>
              <w:t xml:space="preserve">s-a structurat o nouă reglementare, denumită </w:t>
            </w:r>
            <w:r w:rsidR="00576A34" w:rsidRPr="00F71D51">
              <w:rPr>
                <w:bCs/>
                <w:i/>
              </w:rPr>
              <w:t xml:space="preserve">Regulament privind accesul și utilizarea sistemelor de </w:t>
            </w:r>
            <w:r w:rsidR="00F71D51" w:rsidRPr="00F71D51">
              <w:rPr>
                <w:bCs/>
                <w:i/>
              </w:rPr>
              <w:t>distribuție</w:t>
            </w:r>
            <w:r w:rsidR="00576A34" w:rsidRPr="00F71D51">
              <w:rPr>
                <w:bCs/>
                <w:i/>
              </w:rPr>
              <w:t xml:space="preserve"> a gazelor naturale</w:t>
            </w:r>
            <w:r w:rsidR="00E42B2A">
              <w:rPr>
                <w:bCs/>
                <w:i/>
              </w:rPr>
              <w:t xml:space="preserve">, </w:t>
            </w:r>
            <w:r w:rsidR="00576A34" w:rsidRPr="00F71D51">
              <w:rPr>
                <w:b/>
                <w:bCs/>
              </w:rPr>
              <w:t xml:space="preserve"> </w:t>
            </w:r>
            <w:r w:rsidR="00576A34" w:rsidRPr="00F71D51">
              <w:rPr>
                <w:bCs/>
              </w:rPr>
              <w:t xml:space="preserve">în cadrul căreia au fost </w:t>
            </w:r>
            <w:r w:rsidR="00130018" w:rsidRPr="00F71D51">
              <w:rPr>
                <w:bCs/>
              </w:rPr>
              <w:t xml:space="preserve">organizate pe capitole </w:t>
            </w:r>
            <w:r w:rsidR="00F71D51" w:rsidRPr="00F71D51">
              <w:rPr>
                <w:bCs/>
              </w:rPr>
              <w:t>și</w:t>
            </w:r>
            <w:r w:rsidR="00130018" w:rsidRPr="00F71D51">
              <w:rPr>
                <w:bCs/>
              </w:rPr>
              <w:t xml:space="preserve"> </w:t>
            </w:r>
            <w:r w:rsidR="00F71D51" w:rsidRPr="00F71D51">
              <w:rPr>
                <w:bCs/>
              </w:rPr>
              <w:t>secțiuni</w:t>
            </w:r>
            <w:r w:rsidR="00130018" w:rsidRPr="00F71D51">
              <w:rPr>
                <w:bCs/>
              </w:rPr>
              <w:t xml:space="preserve"> distincte</w:t>
            </w:r>
            <w:r w:rsidR="00576A34" w:rsidRPr="00F71D51">
              <w:rPr>
                <w:bCs/>
              </w:rPr>
              <w:t xml:space="preserve"> prevederile referitoare la </w:t>
            </w:r>
            <w:r w:rsidR="00F71D51" w:rsidRPr="00F71D51">
              <w:rPr>
                <w:bCs/>
              </w:rPr>
              <w:t>condițiile</w:t>
            </w:r>
            <w:r w:rsidR="00576A34" w:rsidRPr="00F71D51">
              <w:rPr>
                <w:bCs/>
              </w:rPr>
              <w:t xml:space="preserve"> de </w:t>
            </w:r>
            <w:r w:rsidR="00F71D51" w:rsidRPr="00F71D51">
              <w:rPr>
                <w:bCs/>
              </w:rPr>
              <w:t>desfășurare</w:t>
            </w:r>
            <w:r w:rsidR="00576A34" w:rsidRPr="00F71D51">
              <w:rPr>
                <w:bCs/>
              </w:rPr>
              <w:t xml:space="preserve"> a serviciului de distribuție a gazelor naturale, codificarea locurilor de consum</w:t>
            </w:r>
            <w:r w:rsidR="00130018" w:rsidRPr="00F71D51">
              <w:rPr>
                <w:bCs/>
              </w:rPr>
              <w:t xml:space="preserve">, accesul la sistemul de </w:t>
            </w:r>
            <w:r w:rsidR="00F71D51" w:rsidRPr="00F71D51">
              <w:rPr>
                <w:bCs/>
              </w:rPr>
              <w:t>distribuție</w:t>
            </w:r>
            <w:r w:rsidR="00130018" w:rsidRPr="00F71D51">
              <w:rPr>
                <w:bCs/>
              </w:rPr>
              <w:t>, etapele procesului de acces la acesta,</w:t>
            </w:r>
            <w:r w:rsidR="00130018" w:rsidRPr="00F71D51">
              <w:rPr>
                <w:rFonts w:eastAsiaTheme="minorHAnsi"/>
              </w:rPr>
              <w:t xml:space="preserve"> m</w:t>
            </w:r>
            <w:r w:rsidR="00130018" w:rsidRPr="00F71D51">
              <w:rPr>
                <w:bCs/>
              </w:rPr>
              <w:t xml:space="preserve">odalitatea de încadrare a locurilor de consum ale </w:t>
            </w:r>
            <w:r w:rsidR="00F71D51" w:rsidRPr="00F71D51">
              <w:rPr>
                <w:bCs/>
              </w:rPr>
              <w:t>clienților</w:t>
            </w:r>
            <w:r w:rsidR="00130018" w:rsidRPr="00F71D51">
              <w:rPr>
                <w:bCs/>
              </w:rPr>
              <w:t xml:space="preserve"> finali în raport cu categoriile de </w:t>
            </w:r>
            <w:r w:rsidR="00F71D51" w:rsidRPr="00F71D51">
              <w:rPr>
                <w:bCs/>
              </w:rPr>
              <w:t>clienți</w:t>
            </w:r>
            <w:r w:rsidR="00130018" w:rsidRPr="00F71D51">
              <w:rPr>
                <w:bCs/>
              </w:rPr>
              <w:t xml:space="preserve">, evidențele și informările privind accesul la sistemul de </w:t>
            </w:r>
            <w:r w:rsidR="00F71D51" w:rsidRPr="00F71D51">
              <w:rPr>
                <w:bCs/>
              </w:rPr>
              <w:t>distribuție</w:t>
            </w:r>
            <w:r w:rsidR="00130018" w:rsidRPr="00F71D51">
              <w:rPr>
                <w:bCs/>
              </w:rPr>
              <w:t xml:space="preserve">, măsurarea gazelor naturale </w:t>
            </w:r>
            <w:r w:rsidR="00F71D51" w:rsidRPr="00F71D51">
              <w:rPr>
                <w:bCs/>
              </w:rPr>
              <w:t>și</w:t>
            </w:r>
            <w:r w:rsidR="00130018" w:rsidRPr="00F71D51">
              <w:rPr>
                <w:bCs/>
              </w:rPr>
              <w:t xml:space="preserve"> accesul la datele de consum, drepturile </w:t>
            </w:r>
            <w:r w:rsidR="00F71D51" w:rsidRPr="00F71D51">
              <w:rPr>
                <w:bCs/>
              </w:rPr>
              <w:t>și</w:t>
            </w:r>
            <w:r w:rsidR="00130018" w:rsidRPr="00F71D51">
              <w:rPr>
                <w:bCs/>
              </w:rPr>
              <w:t xml:space="preserve"> </w:t>
            </w:r>
            <w:r w:rsidR="00F71D51" w:rsidRPr="00F71D51">
              <w:rPr>
                <w:bCs/>
              </w:rPr>
              <w:t>obligațiile</w:t>
            </w:r>
            <w:r w:rsidR="00130018" w:rsidRPr="00F71D51">
              <w:rPr>
                <w:bCs/>
              </w:rPr>
              <w:t xml:space="preserve"> operatorului de </w:t>
            </w:r>
            <w:r w:rsidR="00F71D51" w:rsidRPr="00F71D51">
              <w:rPr>
                <w:bCs/>
              </w:rPr>
              <w:t>distribuție</w:t>
            </w:r>
            <w:r w:rsidR="00130018" w:rsidRPr="00F71D51">
              <w:rPr>
                <w:bCs/>
              </w:rPr>
              <w:t xml:space="preserve"> </w:t>
            </w:r>
            <w:r w:rsidR="00F71D51" w:rsidRPr="00F71D51">
              <w:rPr>
                <w:bCs/>
              </w:rPr>
              <w:t>și</w:t>
            </w:r>
            <w:r w:rsidR="00130018" w:rsidRPr="00F71D51">
              <w:rPr>
                <w:bCs/>
              </w:rPr>
              <w:t xml:space="preserve"> ale utilizatorilor sistemului de </w:t>
            </w:r>
            <w:r w:rsidR="00F71D51" w:rsidRPr="00F71D51">
              <w:rPr>
                <w:bCs/>
              </w:rPr>
              <w:t>distribuție</w:t>
            </w:r>
            <w:r w:rsidR="00130018" w:rsidRPr="00F71D51">
              <w:rPr>
                <w:bCs/>
              </w:rPr>
              <w:t xml:space="preserve"> </w:t>
            </w:r>
            <w:r w:rsidR="00F71D51" w:rsidRPr="00F71D51">
              <w:rPr>
                <w:bCs/>
              </w:rPr>
              <w:t>și</w:t>
            </w:r>
            <w:r w:rsidR="00130018" w:rsidRPr="00F71D51">
              <w:rPr>
                <w:bCs/>
              </w:rPr>
              <w:t xml:space="preserve"> </w:t>
            </w:r>
            <w:r w:rsidR="00F71D51" w:rsidRPr="00F71D51">
              <w:rPr>
                <w:bCs/>
              </w:rPr>
              <w:t>garanții</w:t>
            </w:r>
            <w:r w:rsidR="00130018" w:rsidRPr="00F71D51">
              <w:rPr>
                <w:bCs/>
              </w:rPr>
              <w:t xml:space="preserve">. </w:t>
            </w:r>
            <w:r w:rsidR="007C3639" w:rsidRPr="00F71D51">
              <w:t>Modelul de cerere</w:t>
            </w:r>
            <w:r w:rsidR="007C3639" w:rsidRPr="00F71D51">
              <w:rPr>
                <w:b/>
              </w:rPr>
              <w:t xml:space="preserve"> </w:t>
            </w:r>
            <w:r w:rsidR="007C3639" w:rsidRPr="00F71D51">
              <w:t xml:space="preserve">pentru încheierea/modificarea contractului de distribuție a gazelor naturale </w:t>
            </w:r>
            <w:r w:rsidR="00F71D51" w:rsidRPr="00F71D51">
              <w:t>și</w:t>
            </w:r>
            <w:r w:rsidR="007C3639" w:rsidRPr="00F71D51">
              <w:t xml:space="preserve"> </w:t>
            </w:r>
            <w:r w:rsidR="00130018" w:rsidRPr="00F71D51">
              <w:rPr>
                <w:bCs/>
              </w:rPr>
              <w:t xml:space="preserve">Contractul-cadru de </w:t>
            </w:r>
            <w:r w:rsidR="00F71D51" w:rsidRPr="00F71D51">
              <w:rPr>
                <w:bCs/>
              </w:rPr>
              <w:t>distribuție</w:t>
            </w:r>
            <w:r w:rsidR="00130018" w:rsidRPr="00F71D51">
              <w:rPr>
                <w:bCs/>
              </w:rPr>
              <w:t xml:space="preserve"> a gazelor naturale</w:t>
            </w:r>
            <w:r w:rsidR="007C3639" w:rsidRPr="00F71D51">
              <w:rPr>
                <w:bCs/>
              </w:rPr>
              <w:t xml:space="preserve"> au fost prevăzute ca anexe la Regulament.</w:t>
            </w:r>
          </w:p>
          <w:p w14:paraId="0D0933AA" w14:textId="14FEAB83" w:rsidR="00130018" w:rsidRPr="00F71D51" w:rsidRDefault="007C3639" w:rsidP="00130018">
            <w:pPr>
              <w:tabs>
                <w:tab w:val="left" w:pos="567"/>
              </w:tabs>
              <w:spacing w:line="360" w:lineRule="auto"/>
              <w:jc w:val="both"/>
              <w:rPr>
                <w:bCs/>
              </w:rPr>
            </w:pPr>
            <w:r w:rsidRPr="00F71D51">
              <w:rPr>
                <w:bCs/>
              </w:rPr>
              <w:lastRenderedPageBreak/>
              <w:t xml:space="preserve">Ca elemente de noutate precizăm că au fost introduse prevederi care să permită operatorilor de </w:t>
            </w:r>
            <w:r w:rsidR="00F71D51" w:rsidRPr="00F71D51">
              <w:rPr>
                <w:bCs/>
              </w:rPr>
              <w:t>distribuție</w:t>
            </w:r>
            <w:r w:rsidRPr="00F71D51">
              <w:rPr>
                <w:bCs/>
              </w:rPr>
              <w:t xml:space="preserve"> recuperarea prejudiciilor aduse de intervenția neautorizată asupra sigiliului aplicat în vederea întreruperii alimentării și/sau asupra robinetului</w:t>
            </w:r>
            <w:r w:rsidR="00012997" w:rsidRPr="00F71D51">
              <w:rPr>
                <w:bCs/>
              </w:rPr>
              <w:t xml:space="preserve">, în aceste cazuri fiind </w:t>
            </w:r>
            <w:r w:rsidRPr="00F71D51">
              <w:rPr>
                <w:bCs/>
              </w:rPr>
              <w:t>înregistr</w:t>
            </w:r>
            <w:r w:rsidR="00012997" w:rsidRPr="00F71D51">
              <w:rPr>
                <w:bCs/>
              </w:rPr>
              <w:t>at</w:t>
            </w:r>
            <w:r w:rsidR="00E42B2A">
              <w:rPr>
                <w:bCs/>
              </w:rPr>
              <w:t>,</w:t>
            </w:r>
            <w:r w:rsidRPr="00F71D51">
              <w:rPr>
                <w:bCs/>
              </w:rPr>
              <w:t xml:space="preserve"> la locul de consum la care a fost întreruptă alimentarea, un consum de gaze naturale din sistemul de distribuție</w:t>
            </w:r>
            <w:r w:rsidR="00012997" w:rsidRPr="00F71D51">
              <w:rPr>
                <w:bCs/>
              </w:rPr>
              <w:t>.</w:t>
            </w:r>
          </w:p>
          <w:p w14:paraId="788F28DB" w14:textId="66249C4C" w:rsidR="009321C2" w:rsidRPr="00F71D51" w:rsidRDefault="00441226" w:rsidP="00F71D51">
            <w:pPr>
              <w:tabs>
                <w:tab w:val="left" w:pos="273"/>
              </w:tabs>
              <w:spacing w:line="360" w:lineRule="auto"/>
              <w:jc w:val="both"/>
            </w:pPr>
            <w:r w:rsidRPr="00F71D51">
              <w:t xml:space="preserve">Totodată, au fost modificate prevederile referitoare la schimbul de </w:t>
            </w:r>
            <w:r w:rsidR="00F71D51" w:rsidRPr="00F71D51">
              <w:t>informații</w:t>
            </w:r>
            <w:r w:rsidRPr="00F71D51">
              <w:t xml:space="preserve"> ce se face în prezent prin intermediul platformei online destinate schimbării de către clientul final a furnizorului de energie electrică </w:t>
            </w:r>
            <w:r w:rsidR="00F71D51" w:rsidRPr="00F71D51">
              <w:t>și</w:t>
            </w:r>
            <w:r w:rsidRPr="00F71D51">
              <w:t>/sau de gaze naturale.</w:t>
            </w:r>
          </w:p>
        </w:tc>
      </w:tr>
      <w:tr w:rsidR="00D912A9" w:rsidRPr="003728CF" w14:paraId="4C6CB473" w14:textId="77777777" w:rsidTr="00674340">
        <w:trPr>
          <w:trHeight w:val="319"/>
          <w:jc w:val="center"/>
        </w:trPr>
        <w:tc>
          <w:tcPr>
            <w:tcW w:w="1462" w:type="dxa"/>
          </w:tcPr>
          <w:p w14:paraId="76C6968D" w14:textId="77777777" w:rsidR="008827A6" w:rsidRPr="003728CF" w:rsidRDefault="008827A6" w:rsidP="00F70877">
            <w:pPr>
              <w:spacing w:line="360" w:lineRule="auto"/>
              <w:jc w:val="both"/>
            </w:pPr>
            <w:r w:rsidRPr="003728CF">
              <w:lastRenderedPageBreak/>
              <w:t>5. Alte informații</w:t>
            </w:r>
          </w:p>
        </w:tc>
        <w:tc>
          <w:tcPr>
            <w:tcW w:w="8599" w:type="dxa"/>
          </w:tcPr>
          <w:p w14:paraId="3B8A8713" w14:textId="77777777" w:rsidR="008827A6" w:rsidRPr="003728CF" w:rsidRDefault="008827A6" w:rsidP="00F70877">
            <w:pPr>
              <w:widowControl w:val="0"/>
              <w:autoSpaceDE w:val="0"/>
              <w:autoSpaceDN w:val="0"/>
              <w:adjustRightInd w:val="0"/>
              <w:spacing w:line="360" w:lineRule="auto"/>
              <w:jc w:val="both"/>
            </w:pPr>
            <w:r w:rsidRPr="003728CF">
              <w:t>Nu este cazul.</w:t>
            </w:r>
          </w:p>
        </w:tc>
      </w:tr>
    </w:tbl>
    <w:p w14:paraId="015383BC" w14:textId="77777777" w:rsidR="00D912A9" w:rsidRPr="003728CF" w:rsidRDefault="00D912A9" w:rsidP="00073A89">
      <w:pPr>
        <w:spacing w:line="360" w:lineRule="auto"/>
      </w:pPr>
    </w:p>
    <w:p w14:paraId="7BF1829C" w14:textId="77777777" w:rsidR="008827A6" w:rsidRPr="003728CF" w:rsidRDefault="008827A6" w:rsidP="00073A89">
      <w:pPr>
        <w:spacing w:line="360" w:lineRule="auto"/>
        <w:rPr>
          <w:b/>
        </w:rPr>
      </w:pPr>
      <w:r w:rsidRPr="003728CF">
        <w:rPr>
          <w:b/>
        </w:rPr>
        <w:t>Secțiunea a 3-a – Mențiuni privind impactul socio-economic preconizat al proiectului de reglementare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6"/>
        <w:gridCol w:w="6489"/>
      </w:tblGrid>
      <w:tr w:rsidR="008827A6" w:rsidRPr="003728CF" w14:paraId="0C8426AA" w14:textId="77777777" w:rsidTr="001C2810">
        <w:trPr>
          <w:trHeight w:val="431"/>
        </w:trPr>
        <w:tc>
          <w:tcPr>
            <w:tcW w:w="3576" w:type="dxa"/>
          </w:tcPr>
          <w:p w14:paraId="7B2C872A" w14:textId="77777777" w:rsidR="008827A6" w:rsidRPr="003728CF" w:rsidRDefault="008827A6" w:rsidP="00842DE8">
            <w:pPr>
              <w:spacing w:line="360" w:lineRule="auto"/>
              <w:jc w:val="both"/>
            </w:pPr>
            <w:r w:rsidRPr="003728CF">
              <w:t>1.Impactul macroeconomic</w:t>
            </w:r>
          </w:p>
          <w:p w14:paraId="764A6298" w14:textId="77777777" w:rsidR="008827A6" w:rsidRPr="003728CF" w:rsidRDefault="008827A6" w:rsidP="00842DE8">
            <w:pPr>
              <w:spacing w:line="360" w:lineRule="auto"/>
              <w:jc w:val="both"/>
            </w:pPr>
            <w:r w:rsidRPr="003728CF">
              <w:t>a) impactul asupra pieței de energie în ansamblul ei</w:t>
            </w:r>
          </w:p>
          <w:p w14:paraId="1EB569AA" w14:textId="77777777" w:rsidR="008827A6" w:rsidRPr="003728CF" w:rsidRDefault="008827A6" w:rsidP="00842DE8">
            <w:pPr>
              <w:spacing w:line="360" w:lineRule="auto"/>
              <w:jc w:val="both"/>
            </w:pPr>
            <w:r w:rsidRPr="003728CF">
              <w:t>b) impactul asupra operatorilor economici</w:t>
            </w:r>
          </w:p>
          <w:p w14:paraId="30A36FC2" w14:textId="77777777" w:rsidR="008827A6" w:rsidRPr="003728CF" w:rsidRDefault="008827A6" w:rsidP="00842DE8">
            <w:pPr>
              <w:spacing w:line="360" w:lineRule="auto"/>
              <w:jc w:val="both"/>
            </w:pPr>
            <w:r w:rsidRPr="003728CF">
              <w:t>c)</w:t>
            </w:r>
            <w:r w:rsidR="004F2207" w:rsidRPr="003728CF">
              <w:t xml:space="preserve"> </w:t>
            </w:r>
            <w:r w:rsidRPr="003728CF">
              <w:t>impactul asupra consumatorilor/</w:t>
            </w:r>
          </w:p>
          <w:p w14:paraId="09032685" w14:textId="77777777" w:rsidR="008827A6" w:rsidRPr="003728CF" w:rsidRDefault="008827A6" w:rsidP="00842DE8">
            <w:pPr>
              <w:spacing w:line="360" w:lineRule="auto"/>
              <w:jc w:val="both"/>
            </w:pPr>
            <w:r w:rsidRPr="003728CF">
              <w:t>clienților finali (variații de preț sau altele asemenea)</w:t>
            </w:r>
          </w:p>
        </w:tc>
        <w:tc>
          <w:tcPr>
            <w:tcW w:w="6489" w:type="dxa"/>
            <w:vAlign w:val="center"/>
          </w:tcPr>
          <w:p w14:paraId="422AD0B8" w14:textId="77777777" w:rsidR="00505819" w:rsidRPr="00994183" w:rsidRDefault="00D77146" w:rsidP="00D77146">
            <w:pPr>
              <w:pStyle w:val="ListParagraph"/>
              <w:numPr>
                <w:ilvl w:val="0"/>
                <w:numId w:val="25"/>
              </w:numPr>
              <w:spacing w:line="360" w:lineRule="auto"/>
              <w:ind w:left="316" w:hanging="270"/>
              <w:jc w:val="both"/>
            </w:pPr>
            <w:r w:rsidRPr="00994183">
              <w:t>n</w:t>
            </w:r>
            <w:r w:rsidR="00DC2B1A" w:rsidRPr="00994183">
              <w:t>u este cazul</w:t>
            </w:r>
            <w:r w:rsidRPr="00994183">
              <w:t>;</w:t>
            </w:r>
          </w:p>
          <w:p w14:paraId="613A8D8E" w14:textId="4CA6012B" w:rsidR="00D77146" w:rsidRPr="00994183" w:rsidRDefault="00D77146" w:rsidP="002348A3">
            <w:pPr>
              <w:pStyle w:val="ListParagraph"/>
              <w:numPr>
                <w:ilvl w:val="0"/>
                <w:numId w:val="25"/>
              </w:numPr>
              <w:tabs>
                <w:tab w:val="left" w:pos="316"/>
              </w:tabs>
              <w:spacing w:line="360" w:lineRule="auto"/>
              <w:ind w:left="0" w:firstLine="46"/>
              <w:jc w:val="both"/>
            </w:pPr>
            <w:r w:rsidRPr="00994183">
              <w:rPr>
                <w:rFonts w:eastAsia="PMingLiU"/>
                <w:lang w:eastAsia="zh-TW"/>
              </w:rPr>
              <w:t xml:space="preserve">conform prevederilor </w:t>
            </w:r>
            <w:r w:rsidRPr="00AC5A3D">
              <w:rPr>
                <w:rFonts w:eastAsia="PMingLiU"/>
                <w:lang w:eastAsia="zh-TW"/>
              </w:rPr>
              <w:t xml:space="preserve">art. 5 </w:t>
            </w:r>
            <w:r w:rsidR="00982FE5" w:rsidRPr="00AC5A3D">
              <w:rPr>
                <w:rFonts w:eastAsia="PMingLiU"/>
                <w:lang w:eastAsia="zh-TW"/>
              </w:rPr>
              <w:t>lit.</w:t>
            </w:r>
            <w:r w:rsidRPr="00AC5A3D">
              <w:rPr>
                <w:rFonts w:eastAsia="PMingLiU"/>
                <w:lang w:eastAsia="zh-TW"/>
              </w:rPr>
              <w:t xml:space="preserve"> </w:t>
            </w:r>
            <w:r w:rsidR="00982FE5" w:rsidRPr="00AC5A3D">
              <w:rPr>
                <w:rFonts w:eastAsia="PMingLiU"/>
                <w:lang w:eastAsia="zh-TW"/>
              </w:rPr>
              <w:t>c</w:t>
            </w:r>
            <w:r w:rsidRPr="00AC5A3D">
              <w:rPr>
                <w:rFonts w:eastAsia="PMingLiU"/>
                <w:lang w:eastAsia="zh-TW"/>
              </w:rPr>
              <w:t>)</w:t>
            </w:r>
            <w:r w:rsidRPr="00994183">
              <w:rPr>
                <w:rFonts w:eastAsia="PMingLiU"/>
                <w:lang w:eastAsia="zh-TW"/>
              </w:rPr>
              <w:t xml:space="preserve"> din </w:t>
            </w:r>
            <w:r w:rsidR="00982FE5" w:rsidRPr="00994183">
              <w:rPr>
                <w:lang w:eastAsia="ro-RO"/>
              </w:rPr>
              <w:t>Metodologi</w:t>
            </w:r>
            <w:r w:rsidR="001D2A50">
              <w:rPr>
                <w:lang w:eastAsia="ro-RO"/>
              </w:rPr>
              <w:t>a</w:t>
            </w:r>
            <w:r w:rsidR="00982FE5" w:rsidRPr="00994183">
              <w:rPr>
                <w:lang w:eastAsia="ro-RO"/>
              </w:rPr>
              <w:t xml:space="preserve"> de stabilire a tarifelor reglementate pentru serviciile de </w:t>
            </w:r>
            <w:r w:rsidR="00994183" w:rsidRPr="00994183">
              <w:rPr>
                <w:lang w:eastAsia="ro-RO"/>
              </w:rPr>
              <w:t>distribuție</w:t>
            </w:r>
            <w:r w:rsidR="00982FE5" w:rsidRPr="00994183">
              <w:rPr>
                <w:lang w:eastAsia="ro-RO"/>
              </w:rPr>
              <w:t xml:space="preserve"> în sectorul gazelor naturale,</w:t>
            </w:r>
            <w:r w:rsidRPr="00994183">
              <w:rPr>
                <w:lang w:eastAsia="ro-RO"/>
              </w:rPr>
              <w:t xml:space="preserve"> începând cu a </w:t>
            </w:r>
            <w:r w:rsidR="00982FE5" w:rsidRPr="00994183">
              <w:rPr>
                <w:lang w:eastAsia="ro-RO"/>
              </w:rPr>
              <w:t>cincea</w:t>
            </w:r>
            <w:r w:rsidRPr="00994183">
              <w:rPr>
                <w:lang w:eastAsia="ro-RO"/>
              </w:rPr>
              <w:t xml:space="preserve"> perioadă de reglementare</w:t>
            </w:r>
            <w:r w:rsidRPr="00994183">
              <w:rPr>
                <w:lang w:val="en-US" w:eastAsia="ro-RO"/>
              </w:rPr>
              <w:t>,</w:t>
            </w:r>
            <w:r w:rsidRPr="00994183">
              <w:rPr>
                <w:lang w:eastAsia="ro-RO"/>
              </w:rPr>
              <w:t xml:space="preserve"> aprobată prin </w:t>
            </w:r>
            <w:r w:rsidRPr="00994183">
              <w:rPr>
                <w:bCs/>
              </w:rPr>
              <w:t xml:space="preserve">Ordinul președintelui Autorității Naționale de Reglementare în Domeniul Energiei nr. 89/2024, </w:t>
            </w:r>
            <w:r w:rsidRPr="00994183">
              <w:rPr>
                <w:rFonts w:eastAsia="PMingLiU"/>
                <w:lang w:eastAsia="zh-TW"/>
              </w:rPr>
              <w:t>cheltuielile aferente activităților și operațiunilor desfășurate de operatorul licențiat pentru sau în legătură cu încheierea și derularea contractelor pentru prestarea serviciilor de distribuție, precum și toate relațiile cu clienții derivate din prestarea acestor servicii, sunt recunoscute în veniturile operatorului licențiat;</w:t>
            </w:r>
          </w:p>
          <w:p w14:paraId="58E962E7" w14:textId="4E83AB16" w:rsidR="00D77146" w:rsidRPr="00994183" w:rsidRDefault="00D77146" w:rsidP="00D77146">
            <w:pPr>
              <w:pStyle w:val="ListParagraph"/>
              <w:numPr>
                <w:ilvl w:val="0"/>
                <w:numId w:val="25"/>
              </w:numPr>
              <w:spacing w:line="360" w:lineRule="auto"/>
              <w:ind w:left="316" w:hanging="270"/>
              <w:jc w:val="both"/>
            </w:pPr>
            <w:r w:rsidRPr="00994183">
              <w:t>nu este cazul.</w:t>
            </w:r>
          </w:p>
        </w:tc>
      </w:tr>
      <w:tr w:rsidR="008827A6" w:rsidRPr="003728CF" w14:paraId="15B28CF7" w14:textId="77777777" w:rsidTr="001C2810">
        <w:trPr>
          <w:trHeight w:val="1124"/>
        </w:trPr>
        <w:tc>
          <w:tcPr>
            <w:tcW w:w="3576" w:type="dxa"/>
          </w:tcPr>
          <w:p w14:paraId="44CC0D11" w14:textId="77777777" w:rsidR="008827A6" w:rsidRPr="003728CF" w:rsidRDefault="008827A6" w:rsidP="00842DE8">
            <w:pPr>
              <w:spacing w:line="360" w:lineRule="auto"/>
              <w:jc w:val="both"/>
            </w:pPr>
            <w:r w:rsidRPr="003728CF">
              <w:t>2. Impactul asupra mediului concurențial și domeniului ajutoarelor de stat</w:t>
            </w:r>
          </w:p>
        </w:tc>
        <w:tc>
          <w:tcPr>
            <w:tcW w:w="6489" w:type="dxa"/>
            <w:vAlign w:val="center"/>
          </w:tcPr>
          <w:p w14:paraId="631E1FB0" w14:textId="77777777" w:rsidR="008827A6" w:rsidRPr="003728CF" w:rsidRDefault="008827A6" w:rsidP="00842DE8">
            <w:pPr>
              <w:pStyle w:val="ListParagraph"/>
              <w:spacing w:before="120" w:line="360" w:lineRule="auto"/>
              <w:ind w:left="0"/>
            </w:pPr>
            <w:r w:rsidRPr="003728CF">
              <w:t>Nu este cazul.</w:t>
            </w:r>
          </w:p>
        </w:tc>
      </w:tr>
      <w:tr w:rsidR="008827A6" w:rsidRPr="003728CF" w14:paraId="288DCF5C" w14:textId="77777777" w:rsidTr="001C2810">
        <w:tc>
          <w:tcPr>
            <w:tcW w:w="3576" w:type="dxa"/>
          </w:tcPr>
          <w:p w14:paraId="7DD69407" w14:textId="77777777" w:rsidR="008827A6" w:rsidRPr="003728CF" w:rsidRDefault="008827A6" w:rsidP="00842DE8">
            <w:pPr>
              <w:spacing w:line="360" w:lineRule="auto"/>
              <w:jc w:val="both"/>
            </w:pPr>
            <w:r w:rsidRPr="003728CF">
              <w:t>3. Impact asupra mediului de afaceri</w:t>
            </w:r>
          </w:p>
        </w:tc>
        <w:tc>
          <w:tcPr>
            <w:tcW w:w="6489" w:type="dxa"/>
            <w:vAlign w:val="center"/>
          </w:tcPr>
          <w:p w14:paraId="2BF9C881" w14:textId="77777777" w:rsidR="008827A6" w:rsidRPr="003728CF" w:rsidRDefault="008827A6" w:rsidP="00842DE8">
            <w:pPr>
              <w:pStyle w:val="ListParagraph"/>
              <w:spacing w:before="120" w:line="360" w:lineRule="auto"/>
              <w:ind w:left="0"/>
            </w:pPr>
            <w:r w:rsidRPr="003728CF">
              <w:t>Nu este cazul.</w:t>
            </w:r>
          </w:p>
        </w:tc>
      </w:tr>
      <w:tr w:rsidR="008827A6" w:rsidRPr="003728CF" w14:paraId="13D4593F" w14:textId="77777777" w:rsidTr="001C2810">
        <w:tc>
          <w:tcPr>
            <w:tcW w:w="3576" w:type="dxa"/>
          </w:tcPr>
          <w:p w14:paraId="6358D5BC" w14:textId="77777777" w:rsidR="008827A6" w:rsidRPr="003728CF" w:rsidRDefault="008827A6" w:rsidP="00842DE8">
            <w:pPr>
              <w:spacing w:line="360" w:lineRule="auto"/>
              <w:jc w:val="both"/>
            </w:pPr>
            <w:r w:rsidRPr="003728CF">
              <w:t>4. Implicații sociale</w:t>
            </w:r>
          </w:p>
        </w:tc>
        <w:tc>
          <w:tcPr>
            <w:tcW w:w="6489" w:type="dxa"/>
            <w:vAlign w:val="center"/>
          </w:tcPr>
          <w:p w14:paraId="620C7AEA" w14:textId="77777777" w:rsidR="008827A6" w:rsidRPr="003728CF" w:rsidRDefault="008827A6" w:rsidP="00842DE8">
            <w:pPr>
              <w:spacing w:line="360" w:lineRule="auto"/>
            </w:pPr>
            <w:r w:rsidRPr="003728CF">
              <w:t>Nu este cazul.</w:t>
            </w:r>
          </w:p>
        </w:tc>
      </w:tr>
      <w:tr w:rsidR="008827A6" w:rsidRPr="003728CF" w14:paraId="3DB1B0B0" w14:textId="77777777" w:rsidTr="001C2810">
        <w:tc>
          <w:tcPr>
            <w:tcW w:w="3576" w:type="dxa"/>
          </w:tcPr>
          <w:p w14:paraId="5470917D" w14:textId="77777777" w:rsidR="008827A6" w:rsidRPr="003728CF" w:rsidRDefault="008827A6" w:rsidP="00842DE8">
            <w:pPr>
              <w:spacing w:line="360" w:lineRule="auto"/>
              <w:jc w:val="both"/>
            </w:pPr>
            <w:r w:rsidRPr="003728CF">
              <w:t>5. Impact asupra mediului</w:t>
            </w:r>
          </w:p>
        </w:tc>
        <w:tc>
          <w:tcPr>
            <w:tcW w:w="6489" w:type="dxa"/>
            <w:vAlign w:val="center"/>
          </w:tcPr>
          <w:p w14:paraId="7D8A4CD0" w14:textId="77777777" w:rsidR="008827A6" w:rsidRPr="003728CF" w:rsidRDefault="008827A6" w:rsidP="00842DE8">
            <w:pPr>
              <w:spacing w:line="360" w:lineRule="auto"/>
            </w:pPr>
            <w:r w:rsidRPr="003728CF">
              <w:t>Nu este cazul.</w:t>
            </w:r>
          </w:p>
        </w:tc>
      </w:tr>
      <w:tr w:rsidR="008827A6" w:rsidRPr="003728CF" w14:paraId="3BB92DDE" w14:textId="77777777" w:rsidTr="001C2810">
        <w:tc>
          <w:tcPr>
            <w:tcW w:w="3576" w:type="dxa"/>
          </w:tcPr>
          <w:p w14:paraId="64D423C8" w14:textId="77777777" w:rsidR="008827A6" w:rsidRPr="003728CF" w:rsidRDefault="008827A6" w:rsidP="00842DE8">
            <w:pPr>
              <w:spacing w:line="360" w:lineRule="auto"/>
              <w:jc w:val="both"/>
            </w:pPr>
            <w:r w:rsidRPr="003728CF">
              <w:lastRenderedPageBreak/>
              <w:t>6. Alte informații</w:t>
            </w:r>
          </w:p>
        </w:tc>
        <w:tc>
          <w:tcPr>
            <w:tcW w:w="6489" w:type="dxa"/>
            <w:vAlign w:val="center"/>
          </w:tcPr>
          <w:p w14:paraId="396D9350" w14:textId="77777777" w:rsidR="008827A6" w:rsidRPr="003728CF" w:rsidRDefault="008827A6" w:rsidP="00842DE8">
            <w:pPr>
              <w:spacing w:line="360" w:lineRule="auto"/>
            </w:pPr>
            <w:r w:rsidRPr="003728CF">
              <w:t>Nu este cazul.</w:t>
            </w:r>
          </w:p>
        </w:tc>
      </w:tr>
    </w:tbl>
    <w:p w14:paraId="4A217444" w14:textId="77777777" w:rsidR="00985FDF" w:rsidRDefault="00985FDF" w:rsidP="00CA3334">
      <w:pPr>
        <w:spacing w:line="276" w:lineRule="auto"/>
        <w:rPr>
          <w:b/>
        </w:rPr>
      </w:pPr>
    </w:p>
    <w:p w14:paraId="00762DA6" w14:textId="77777777" w:rsidR="00CA3334" w:rsidRPr="003728CF" w:rsidRDefault="00CA3334" w:rsidP="00CA3334">
      <w:pPr>
        <w:spacing w:line="276" w:lineRule="auto"/>
        <w:rPr>
          <w:b/>
        </w:rPr>
      </w:pPr>
      <w:r w:rsidRPr="003728CF">
        <w:rPr>
          <w:b/>
        </w:rPr>
        <w:t xml:space="preserve">Secțiunea a 4-a – Mențiuni privind impactul financiar preconizat asupra bugetului ANRE </w:t>
      </w:r>
    </w:p>
    <w:p w14:paraId="50C1DDB8" w14:textId="77777777" w:rsidR="00CA3334" w:rsidRPr="003728CF" w:rsidRDefault="00CA3334" w:rsidP="00CA3334">
      <w:pPr>
        <w:spacing w:line="276" w:lineRule="auto"/>
        <w:rPr>
          <w:b/>
        </w:rPr>
      </w:pPr>
    </w:p>
    <w:p w14:paraId="3863C053" w14:textId="77777777" w:rsidR="00CA3334" w:rsidRPr="003728CF" w:rsidRDefault="00CA3334" w:rsidP="00CA3334">
      <w:pPr>
        <w:spacing w:line="276" w:lineRule="auto"/>
        <w:rPr>
          <w:b/>
        </w:rPr>
      </w:pPr>
      <w:r w:rsidRPr="003728CF">
        <w:rPr>
          <w:b/>
        </w:rPr>
        <w:t>Secțiunea a 5-a - Efectele proiectului de act normativ asupra legislației în vigoare</w:t>
      </w:r>
    </w:p>
    <w:p w14:paraId="65D60558" w14:textId="77777777" w:rsidR="00CA3334" w:rsidRPr="003728CF" w:rsidRDefault="00CA3334" w:rsidP="00CA3334">
      <w:pPr>
        <w:spacing w:line="276" w:lineRule="auto"/>
        <w:ind w:left="360"/>
        <w:rPr>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819"/>
      </w:tblGrid>
      <w:tr w:rsidR="00CA3334" w:rsidRPr="003728CF" w14:paraId="2606CAC1" w14:textId="77777777" w:rsidTr="001900F1">
        <w:trPr>
          <w:trHeight w:val="1789"/>
        </w:trPr>
        <w:tc>
          <w:tcPr>
            <w:tcW w:w="5246" w:type="dxa"/>
          </w:tcPr>
          <w:p w14:paraId="5E97EEF6" w14:textId="77777777" w:rsidR="00CA3334" w:rsidRPr="003728CF" w:rsidRDefault="00CA3334" w:rsidP="001900F1">
            <w:pPr>
              <w:spacing w:line="276" w:lineRule="auto"/>
              <w:jc w:val="both"/>
            </w:pPr>
            <w:r w:rsidRPr="003728CF">
              <w:t>1. Măsuri normative necesare pentru aplicarea prevederilor proiectului de act normativ:</w:t>
            </w:r>
          </w:p>
          <w:p w14:paraId="05B74616" w14:textId="77777777" w:rsidR="00CA3334" w:rsidRPr="003728CF" w:rsidRDefault="00CA3334" w:rsidP="001900F1">
            <w:pPr>
              <w:spacing w:line="276" w:lineRule="auto"/>
              <w:jc w:val="both"/>
            </w:pPr>
            <w:r w:rsidRPr="003728CF">
              <w:t>a) acte normative ce vor fi modificate sau abrogate, ca urmare a intrării în vigoare a proiectului de act normativ;</w:t>
            </w:r>
          </w:p>
          <w:p w14:paraId="630870FD" w14:textId="77777777" w:rsidR="00CC7CB7" w:rsidRDefault="00CC7CB7" w:rsidP="001900F1">
            <w:pPr>
              <w:spacing w:line="276" w:lineRule="auto"/>
            </w:pPr>
          </w:p>
          <w:p w14:paraId="55E38030" w14:textId="77777777" w:rsidR="00CC7CB7" w:rsidRDefault="00CC7CB7" w:rsidP="001900F1">
            <w:pPr>
              <w:spacing w:line="276" w:lineRule="auto"/>
            </w:pPr>
          </w:p>
          <w:p w14:paraId="13B988F5" w14:textId="77777777" w:rsidR="00CC7CB7" w:rsidRDefault="00CC7CB7" w:rsidP="001900F1">
            <w:pPr>
              <w:spacing w:line="276" w:lineRule="auto"/>
            </w:pPr>
          </w:p>
          <w:p w14:paraId="4FC7D879" w14:textId="77777777" w:rsidR="00CC7CB7" w:rsidRDefault="00CC7CB7" w:rsidP="001900F1">
            <w:pPr>
              <w:spacing w:line="276" w:lineRule="auto"/>
            </w:pPr>
          </w:p>
          <w:p w14:paraId="40C88002" w14:textId="77777777" w:rsidR="00CC7CB7" w:rsidRDefault="00CC7CB7" w:rsidP="001900F1">
            <w:pPr>
              <w:spacing w:line="276" w:lineRule="auto"/>
            </w:pPr>
          </w:p>
          <w:p w14:paraId="66E3B5B3" w14:textId="77777777" w:rsidR="00CC7CB7" w:rsidRDefault="00CC7CB7" w:rsidP="001900F1">
            <w:pPr>
              <w:spacing w:line="276" w:lineRule="auto"/>
            </w:pPr>
          </w:p>
          <w:p w14:paraId="48BE8039" w14:textId="77777777" w:rsidR="00CC7CB7" w:rsidRDefault="00CC7CB7" w:rsidP="001900F1">
            <w:pPr>
              <w:spacing w:line="276" w:lineRule="auto"/>
            </w:pPr>
          </w:p>
          <w:p w14:paraId="4F49EFA3" w14:textId="77777777" w:rsidR="00CC7CB7" w:rsidRDefault="00CC7CB7" w:rsidP="001900F1">
            <w:pPr>
              <w:spacing w:line="276" w:lineRule="auto"/>
            </w:pPr>
          </w:p>
          <w:p w14:paraId="627B0D64" w14:textId="77777777" w:rsidR="00EC0476" w:rsidRDefault="00EC0476" w:rsidP="001900F1">
            <w:pPr>
              <w:spacing w:line="276" w:lineRule="auto"/>
            </w:pPr>
          </w:p>
          <w:p w14:paraId="1D931B0E" w14:textId="77777777" w:rsidR="00DF694E" w:rsidRDefault="00DF694E" w:rsidP="001900F1">
            <w:pPr>
              <w:spacing w:line="276" w:lineRule="auto"/>
            </w:pPr>
          </w:p>
          <w:p w14:paraId="1BA6C490" w14:textId="77777777" w:rsidR="00DF694E" w:rsidRDefault="00DF694E" w:rsidP="001900F1">
            <w:pPr>
              <w:spacing w:line="276" w:lineRule="auto"/>
            </w:pPr>
          </w:p>
          <w:p w14:paraId="1FC98F2B" w14:textId="77777777" w:rsidR="00DF694E" w:rsidRDefault="00DF694E" w:rsidP="001900F1">
            <w:pPr>
              <w:spacing w:line="276" w:lineRule="auto"/>
            </w:pPr>
          </w:p>
          <w:p w14:paraId="535A2974" w14:textId="77777777" w:rsidR="00DF694E" w:rsidRDefault="00DF694E" w:rsidP="001900F1">
            <w:pPr>
              <w:spacing w:line="276" w:lineRule="auto"/>
            </w:pPr>
          </w:p>
          <w:p w14:paraId="09FF3A5E" w14:textId="77777777" w:rsidR="00DF694E" w:rsidRDefault="00DF694E" w:rsidP="001900F1">
            <w:pPr>
              <w:spacing w:line="276" w:lineRule="auto"/>
            </w:pPr>
          </w:p>
          <w:p w14:paraId="7E141674" w14:textId="77777777" w:rsidR="00DF694E" w:rsidRDefault="00DF694E" w:rsidP="001900F1">
            <w:pPr>
              <w:spacing w:line="276" w:lineRule="auto"/>
            </w:pPr>
          </w:p>
          <w:p w14:paraId="32908EDA" w14:textId="77777777" w:rsidR="00DF694E" w:rsidRDefault="00DF694E" w:rsidP="001900F1">
            <w:pPr>
              <w:spacing w:line="276" w:lineRule="auto"/>
            </w:pPr>
          </w:p>
          <w:p w14:paraId="25BD929E" w14:textId="63AE58C6" w:rsidR="00CA3334" w:rsidRPr="003728CF" w:rsidRDefault="00CA3334" w:rsidP="001900F1">
            <w:pPr>
              <w:spacing w:line="276" w:lineRule="auto"/>
            </w:pPr>
            <w:r w:rsidRPr="003728CF">
              <w:t>b) acte normative ce urmează a fi elaborate în vederea implementării noilor dispoziții.</w:t>
            </w:r>
          </w:p>
        </w:tc>
        <w:tc>
          <w:tcPr>
            <w:tcW w:w="4819" w:type="dxa"/>
          </w:tcPr>
          <w:p w14:paraId="6318BB9B" w14:textId="137959C1" w:rsidR="00EC65D8" w:rsidRDefault="00EC65D8" w:rsidP="00CD4426">
            <w:pPr>
              <w:pStyle w:val="ListParagraph"/>
              <w:numPr>
                <w:ilvl w:val="0"/>
                <w:numId w:val="18"/>
              </w:numPr>
              <w:spacing w:line="360" w:lineRule="auto"/>
              <w:ind w:left="181" w:hanging="270"/>
              <w:jc w:val="both"/>
            </w:pPr>
            <w:r>
              <w:t xml:space="preserve">Se </w:t>
            </w:r>
            <w:r w:rsidR="00DF694E">
              <w:t>abrogă</w:t>
            </w:r>
            <w:r>
              <w:t>:</w:t>
            </w:r>
          </w:p>
          <w:p w14:paraId="46E208D8" w14:textId="68331E3E" w:rsidR="0014198F" w:rsidRDefault="00EC65D8" w:rsidP="00EC65D8">
            <w:pPr>
              <w:spacing w:line="360" w:lineRule="auto"/>
              <w:jc w:val="both"/>
            </w:pPr>
            <w:r>
              <w:t xml:space="preserve">- </w:t>
            </w:r>
            <w:bookmarkStart w:id="2" w:name="_Hlk186453169"/>
            <w:r w:rsidR="00DF694E">
              <w:t xml:space="preserve">Regulamentul privind accesul la sistemele de distribuție a gazelor naturale, aprobat prin </w:t>
            </w:r>
            <w:r w:rsidR="00DF694E" w:rsidRPr="00DF694E">
              <w:t xml:space="preserve">Ordinul președintelui Autorității Naționale de Reglementare în Domeniul Energiei nr. 97/2018 </w:t>
            </w:r>
            <w:r w:rsidR="00DF694E">
              <w:t>pentru aprobarea Regulamentului privind accesul la sistemele de distribuție a gazelor naturale și de modificare a unor ordine ale președintelui Autorității Naționale de Reglementare în Domeniul Energiei</w:t>
            </w:r>
            <w:r w:rsidR="00160F88">
              <w:t xml:space="preserve">, </w:t>
            </w:r>
            <w:r w:rsidR="001D2A50" w:rsidRPr="00E50096">
              <w:t>cu modificările ulterioare</w:t>
            </w:r>
            <w:r w:rsidR="00073CA9">
              <w:t>;</w:t>
            </w:r>
          </w:p>
          <w:p w14:paraId="687A10A5" w14:textId="28E2AF47" w:rsidR="00EC65D8" w:rsidRDefault="0014198F" w:rsidP="00EC65D8">
            <w:pPr>
              <w:spacing w:line="360" w:lineRule="auto"/>
              <w:jc w:val="both"/>
            </w:pPr>
            <w:r>
              <w:t xml:space="preserve">- </w:t>
            </w:r>
            <w:r w:rsidR="00DF694E" w:rsidRPr="00DF694E">
              <w:t>Ordinul președintelui Autorității Naționale de Reglementare în Domeniul Energiei nr. 78/2</w:t>
            </w:r>
            <w:r w:rsidR="00DF694E">
              <w:t>020 privind aprobarea Contractului-cadru de distribuție a gazelor naturale și a Condițiilor generale de contractare pentru prestarea serviciului de distribuție a gazelor naturale</w:t>
            </w:r>
            <w:r w:rsidR="00CD08FD">
              <w:t>, cu modificările şi completările ulterioare</w:t>
            </w:r>
            <w:r w:rsidR="00026962">
              <w:t>.</w:t>
            </w:r>
          </w:p>
          <w:bookmarkEnd w:id="2"/>
          <w:p w14:paraId="2DDD8367" w14:textId="77777777" w:rsidR="00EC65D8" w:rsidRPr="003728CF" w:rsidRDefault="00EC65D8" w:rsidP="0014198F">
            <w:pPr>
              <w:spacing w:line="360" w:lineRule="auto"/>
              <w:jc w:val="both"/>
            </w:pPr>
            <w:r>
              <w:t xml:space="preserve">b) </w:t>
            </w:r>
            <w:r w:rsidRPr="003728CF">
              <w:t>Nu este cazul.</w:t>
            </w:r>
          </w:p>
        </w:tc>
      </w:tr>
      <w:tr w:rsidR="00CA3334" w:rsidRPr="003728CF" w14:paraId="2F5B42D9" w14:textId="77777777" w:rsidTr="001900F1">
        <w:tc>
          <w:tcPr>
            <w:tcW w:w="5246" w:type="dxa"/>
          </w:tcPr>
          <w:p w14:paraId="6D9D1AC3" w14:textId="77777777" w:rsidR="00CA3334" w:rsidRPr="003728CF" w:rsidRDefault="00CA3334" w:rsidP="001900F1">
            <w:pPr>
              <w:spacing w:line="276" w:lineRule="auto"/>
              <w:jc w:val="both"/>
            </w:pPr>
            <w:r w:rsidRPr="003728CF">
              <w:t>2. Conformitatea proiectului de act normativ cu legislația comunitară în cazul proiectelor ce transpun prevederi comunitare</w:t>
            </w:r>
          </w:p>
        </w:tc>
        <w:tc>
          <w:tcPr>
            <w:tcW w:w="4819" w:type="dxa"/>
          </w:tcPr>
          <w:p w14:paraId="3F18A413" w14:textId="73C99DE6" w:rsidR="00CA3334" w:rsidRPr="003728CF" w:rsidRDefault="00D77146" w:rsidP="001900F1">
            <w:pPr>
              <w:spacing w:line="360" w:lineRule="auto"/>
              <w:jc w:val="both"/>
            </w:pPr>
            <w:r w:rsidRPr="00D77146">
              <w:t>Proiectul de reglementare nu se referă la acest subiect.</w:t>
            </w:r>
          </w:p>
        </w:tc>
      </w:tr>
      <w:tr w:rsidR="00CA3334" w:rsidRPr="003728CF" w14:paraId="1D53C2C5" w14:textId="77777777" w:rsidTr="001900F1">
        <w:tc>
          <w:tcPr>
            <w:tcW w:w="5246" w:type="dxa"/>
          </w:tcPr>
          <w:p w14:paraId="5B203F6B" w14:textId="77777777" w:rsidR="00CA3334" w:rsidRPr="003728CF" w:rsidRDefault="00CA3334" w:rsidP="001900F1">
            <w:pPr>
              <w:spacing w:line="276" w:lineRule="auto"/>
            </w:pPr>
            <w:r w:rsidRPr="003728CF">
              <w:t>3. Alte acte normative și/sau documente internaționale din care decurg angajamente</w:t>
            </w:r>
          </w:p>
        </w:tc>
        <w:tc>
          <w:tcPr>
            <w:tcW w:w="4819" w:type="dxa"/>
            <w:vAlign w:val="center"/>
          </w:tcPr>
          <w:p w14:paraId="7F2DDBBC" w14:textId="77777777" w:rsidR="00CA3334" w:rsidRPr="003728CF" w:rsidRDefault="00833AA1" w:rsidP="001900F1">
            <w:pPr>
              <w:spacing w:line="360" w:lineRule="auto"/>
            </w:pPr>
            <w:r w:rsidRPr="003728CF">
              <w:t>Proiectul de act normativ nu se referă la acest subiect.</w:t>
            </w:r>
          </w:p>
        </w:tc>
      </w:tr>
      <w:tr w:rsidR="00CA3334" w:rsidRPr="003728CF" w14:paraId="1DB648C5" w14:textId="77777777" w:rsidTr="001900F1">
        <w:tc>
          <w:tcPr>
            <w:tcW w:w="5246" w:type="dxa"/>
          </w:tcPr>
          <w:p w14:paraId="3163C2A1" w14:textId="77777777" w:rsidR="00CA3334" w:rsidRPr="003728CF" w:rsidRDefault="00CA3334" w:rsidP="001900F1">
            <w:pPr>
              <w:spacing w:line="276" w:lineRule="auto"/>
            </w:pPr>
            <w:r w:rsidRPr="003728CF">
              <w:t>4. Alte informații</w:t>
            </w:r>
          </w:p>
        </w:tc>
        <w:tc>
          <w:tcPr>
            <w:tcW w:w="4819" w:type="dxa"/>
            <w:vAlign w:val="center"/>
          </w:tcPr>
          <w:p w14:paraId="5B2E63C4" w14:textId="59ACDFC6" w:rsidR="00CA3334" w:rsidRPr="0014198F" w:rsidRDefault="00DC2B1A" w:rsidP="00044A2C">
            <w:pPr>
              <w:spacing w:line="360" w:lineRule="auto"/>
              <w:jc w:val="both"/>
              <w:rPr>
                <w:highlight w:val="yellow"/>
              </w:rPr>
            </w:pPr>
            <w:r w:rsidRPr="003728CF">
              <w:rPr>
                <w:bCs/>
              </w:rPr>
              <w:t>Nu este cazul.</w:t>
            </w:r>
          </w:p>
        </w:tc>
      </w:tr>
    </w:tbl>
    <w:p w14:paraId="6151E46D" w14:textId="0FB4B669" w:rsidR="00CD4426" w:rsidRDefault="00CD4426" w:rsidP="00CA3334">
      <w:pPr>
        <w:spacing w:line="276" w:lineRule="auto"/>
        <w:rPr>
          <w:b/>
        </w:rPr>
      </w:pPr>
    </w:p>
    <w:p w14:paraId="22C6842E" w14:textId="34C9AEBB" w:rsidR="00F71D51" w:rsidRDefault="00F71D51" w:rsidP="00CA3334">
      <w:pPr>
        <w:spacing w:line="276" w:lineRule="auto"/>
        <w:rPr>
          <w:b/>
        </w:rPr>
      </w:pPr>
    </w:p>
    <w:p w14:paraId="3841037E" w14:textId="312FBE29" w:rsidR="00F71D51" w:rsidRDefault="00F71D51" w:rsidP="00CA3334">
      <w:pPr>
        <w:spacing w:line="276" w:lineRule="auto"/>
        <w:rPr>
          <w:b/>
        </w:rPr>
      </w:pPr>
    </w:p>
    <w:p w14:paraId="0F9EE604" w14:textId="5DEAE6FE" w:rsidR="00F71D51" w:rsidRDefault="00F71D51" w:rsidP="00CA3334">
      <w:pPr>
        <w:spacing w:line="276" w:lineRule="auto"/>
        <w:rPr>
          <w:b/>
        </w:rPr>
      </w:pPr>
    </w:p>
    <w:p w14:paraId="0CA37F48" w14:textId="7756A25A" w:rsidR="00F71D51" w:rsidRDefault="00F71D51" w:rsidP="00CA3334">
      <w:pPr>
        <w:spacing w:line="276" w:lineRule="auto"/>
        <w:rPr>
          <w:b/>
        </w:rPr>
      </w:pPr>
    </w:p>
    <w:p w14:paraId="519F558C" w14:textId="77777777" w:rsidR="00F71D51" w:rsidRDefault="00F71D51" w:rsidP="00CA3334">
      <w:pPr>
        <w:spacing w:line="276" w:lineRule="auto"/>
        <w:rPr>
          <w:b/>
        </w:rPr>
      </w:pPr>
    </w:p>
    <w:p w14:paraId="1DB526CE" w14:textId="77777777" w:rsidR="00CA3334" w:rsidRPr="003728CF" w:rsidRDefault="00CA3334" w:rsidP="00CA3334">
      <w:pPr>
        <w:spacing w:line="276" w:lineRule="auto"/>
        <w:rPr>
          <w:b/>
        </w:rPr>
      </w:pPr>
      <w:r w:rsidRPr="003728CF">
        <w:rPr>
          <w:b/>
        </w:rPr>
        <w:t>Secțiunea a 6-a - Consultările efectuate în vederea elaborării proiectului de act normativ</w:t>
      </w:r>
    </w:p>
    <w:p w14:paraId="499E7451" w14:textId="77777777" w:rsidR="00CA3334" w:rsidRPr="003728CF" w:rsidRDefault="00CA3334" w:rsidP="00CA3334">
      <w:pPr>
        <w:spacing w:line="276" w:lineRule="auto"/>
        <w:rPr>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5244"/>
      </w:tblGrid>
      <w:tr w:rsidR="00CA3334" w:rsidRPr="003728CF" w14:paraId="140B434E" w14:textId="77777777" w:rsidTr="001900F1">
        <w:tc>
          <w:tcPr>
            <w:tcW w:w="4821" w:type="dxa"/>
          </w:tcPr>
          <w:p w14:paraId="5EE12C34" w14:textId="77777777" w:rsidR="00CA3334" w:rsidRPr="003728CF" w:rsidRDefault="00CA3334" w:rsidP="001900F1">
            <w:pPr>
              <w:spacing w:line="276" w:lineRule="auto"/>
              <w:jc w:val="both"/>
            </w:pPr>
            <w:r w:rsidRPr="003728CF">
              <w:t>1. Informații privind procesul de consultare cu organizații neguvernamentale de specialitate și operatori economici din domeniu</w:t>
            </w:r>
          </w:p>
        </w:tc>
        <w:tc>
          <w:tcPr>
            <w:tcW w:w="5244" w:type="dxa"/>
            <w:vAlign w:val="center"/>
          </w:tcPr>
          <w:p w14:paraId="7F69AC7D" w14:textId="77777777" w:rsidR="00CA3334" w:rsidRPr="003728CF" w:rsidRDefault="00CA3334" w:rsidP="001900F1">
            <w:pPr>
              <w:spacing w:line="360" w:lineRule="auto"/>
              <w:jc w:val="both"/>
              <w:rPr>
                <w:bCs/>
              </w:rPr>
            </w:pPr>
            <w:r w:rsidRPr="003728CF">
              <w:rPr>
                <w:bCs/>
              </w:rPr>
              <w:t xml:space="preserve"> </w:t>
            </w:r>
            <w:r w:rsidR="000612BE" w:rsidRPr="003728CF">
              <w:rPr>
                <w:bCs/>
              </w:rPr>
              <w:t>Nu este cazul.</w:t>
            </w:r>
          </w:p>
        </w:tc>
      </w:tr>
      <w:tr w:rsidR="00CA3334" w:rsidRPr="003728CF" w14:paraId="21064331" w14:textId="77777777" w:rsidTr="001900F1">
        <w:tc>
          <w:tcPr>
            <w:tcW w:w="4821" w:type="dxa"/>
          </w:tcPr>
          <w:p w14:paraId="0F21BF9C" w14:textId="77777777" w:rsidR="00CA3334" w:rsidRPr="003728CF" w:rsidRDefault="00CA3334" w:rsidP="001900F1">
            <w:pPr>
              <w:spacing w:line="276" w:lineRule="auto"/>
              <w:jc w:val="both"/>
            </w:pPr>
            <w:r w:rsidRPr="003728CF">
              <w:t>2. Consultările organizate cu autoritățile administrației publice locale, în situația în care proiectul de act normativ are ca obiect activități ale acestor autorități</w:t>
            </w:r>
          </w:p>
        </w:tc>
        <w:tc>
          <w:tcPr>
            <w:tcW w:w="5244" w:type="dxa"/>
          </w:tcPr>
          <w:p w14:paraId="1CC086F6" w14:textId="77777777" w:rsidR="00CA3334" w:rsidRPr="003728CF" w:rsidRDefault="00841C45" w:rsidP="001900F1">
            <w:pPr>
              <w:spacing w:line="360" w:lineRule="auto"/>
            </w:pPr>
            <w:r w:rsidRPr="003728CF">
              <w:t>Proiectul de act normativ nu are ca obiect activități ale autorităților administrației publice.</w:t>
            </w:r>
          </w:p>
        </w:tc>
      </w:tr>
      <w:tr w:rsidR="00CA3334" w:rsidRPr="003728CF" w14:paraId="0B67293B" w14:textId="77777777" w:rsidTr="001900F1">
        <w:tc>
          <w:tcPr>
            <w:tcW w:w="4821" w:type="dxa"/>
          </w:tcPr>
          <w:p w14:paraId="084C6EA5" w14:textId="77777777" w:rsidR="00CA3334" w:rsidRPr="003728CF" w:rsidRDefault="00CA3334" w:rsidP="001900F1">
            <w:pPr>
              <w:spacing w:line="276" w:lineRule="auto"/>
            </w:pPr>
            <w:r w:rsidRPr="003728CF">
              <w:t>3. Informații privind avizarea de către:</w:t>
            </w:r>
          </w:p>
          <w:p w14:paraId="773D5A1F" w14:textId="77777777" w:rsidR="00CA3334" w:rsidRPr="003728CF" w:rsidRDefault="00CA3334" w:rsidP="001900F1">
            <w:pPr>
              <w:spacing w:line="276" w:lineRule="auto"/>
            </w:pPr>
            <w:r w:rsidRPr="003728CF">
              <w:t>a) Consiliul legislativ</w:t>
            </w:r>
          </w:p>
          <w:p w14:paraId="07B76195" w14:textId="77777777" w:rsidR="00CA3334" w:rsidRPr="003728CF" w:rsidRDefault="00CA3334" w:rsidP="001900F1">
            <w:pPr>
              <w:spacing w:line="276" w:lineRule="auto"/>
            </w:pPr>
            <w:r w:rsidRPr="003728CF">
              <w:t>b) Consiliul Suprem de Apărare a Țării</w:t>
            </w:r>
          </w:p>
          <w:p w14:paraId="21275098" w14:textId="77777777" w:rsidR="00CA3334" w:rsidRPr="003728CF" w:rsidRDefault="00CA3334" w:rsidP="001900F1">
            <w:pPr>
              <w:spacing w:line="276" w:lineRule="auto"/>
            </w:pPr>
            <w:r w:rsidRPr="003728CF">
              <w:t>c) Consiliul Economic și Social</w:t>
            </w:r>
          </w:p>
          <w:p w14:paraId="7C4BAB49" w14:textId="77777777" w:rsidR="00CA3334" w:rsidRPr="003728CF" w:rsidRDefault="00CA3334" w:rsidP="001900F1">
            <w:pPr>
              <w:spacing w:line="276" w:lineRule="auto"/>
            </w:pPr>
            <w:r w:rsidRPr="003728CF">
              <w:t xml:space="preserve">d) Consiliul Concurenței </w:t>
            </w:r>
          </w:p>
          <w:p w14:paraId="7DF70813" w14:textId="77777777" w:rsidR="00CA3334" w:rsidRPr="003728CF" w:rsidRDefault="00CA3334" w:rsidP="001900F1">
            <w:pPr>
              <w:spacing w:line="276" w:lineRule="auto"/>
            </w:pPr>
            <w:r w:rsidRPr="003728CF">
              <w:t>e) Curtea de Conturi</w:t>
            </w:r>
          </w:p>
        </w:tc>
        <w:tc>
          <w:tcPr>
            <w:tcW w:w="5244" w:type="dxa"/>
            <w:vAlign w:val="center"/>
          </w:tcPr>
          <w:p w14:paraId="08FDCB26" w14:textId="77777777" w:rsidR="00CA3334" w:rsidRPr="003728CF" w:rsidRDefault="000612BE" w:rsidP="001900F1">
            <w:pPr>
              <w:spacing w:line="276" w:lineRule="auto"/>
            </w:pPr>
            <w:r w:rsidRPr="003728CF">
              <w:rPr>
                <w:bCs/>
              </w:rPr>
              <w:t>Nu este cazul.</w:t>
            </w:r>
          </w:p>
        </w:tc>
      </w:tr>
      <w:tr w:rsidR="00CA3334" w:rsidRPr="003728CF" w14:paraId="448DDE64" w14:textId="77777777" w:rsidTr="001900F1">
        <w:tc>
          <w:tcPr>
            <w:tcW w:w="4821" w:type="dxa"/>
          </w:tcPr>
          <w:p w14:paraId="0FA5674C" w14:textId="77777777" w:rsidR="00CA3334" w:rsidRPr="003728CF" w:rsidRDefault="00CA3334" w:rsidP="001900F1">
            <w:pPr>
              <w:spacing w:line="276" w:lineRule="auto"/>
            </w:pPr>
            <w:r w:rsidRPr="003728CF">
              <w:t>4. Alte informații</w:t>
            </w:r>
          </w:p>
        </w:tc>
        <w:tc>
          <w:tcPr>
            <w:tcW w:w="5244" w:type="dxa"/>
            <w:vAlign w:val="center"/>
          </w:tcPr>
          <w:p w14:paraId="57787E30" w14:textId="77777777" w:rsidR="00CA3334" w:rsidRPr="003728CF" w:rsidRDefault="000612BE" w:rsidP="001900F1">
            <w:pPr>
              <w:spacing w:line="276" w:lineRule="auto"/>
            </w:pPr>
            <w:r w:rsidRPr="003728CF">
              <w:rPr>
                <w:bCs/>
              </w:rPr>
              <w:t>Nu este cazul.</w:t>
            </w:r>
          </w:p>
        </w:tc>
      </w:tr>
    </w:tbl>
    <w:p w14:paraId="7827E847" w14:textId="2E06E52E" w:rsidR="002A7C06" w:rsidRDefault="002A7C06">
      <w:pPr>
        <w:spacing w:line="360" w:lineRule="auto"/>
        <w:jc w:val="both"/>
        <w:rPr>
          <w:b/>
        </w:rPr>
      </w:pPr>
    </w:p>
    <w:p w14:paraId="1BC085F7" w14:textId="77777777" w:rsidR="002A7C06" w:rsidRDefault="002A7C06" w:rsidP="002A7C06">
      <w:pPr>
        <w:spacing w:line="360" w:lineRule="auto"/>
        <w:ind w:firstLine="720"/>
      </w:pPr>
      <w:bookmarkStart w:id="3" w:name="_GoBack"/>
      <w:bookmarkEnd w:id="3"/>
    </w:p>
    <w:p w14:paraId="43E004C2" w14:textId="77777777" w:rsidR="002A7C06" w:rsidRDefault="002A7C06" w:rsidP="002A7C06">
      <w:pPr>
        <w:spacing w:line="360" w:lineRule="auto"/>
        <w:ind w:firstLine="720"/>
      </w:pPr>
    </w:p>
    <w:p w14:paraId="5EAE1884" w14:textId="3B0235BC" w:rsidR="002A7C06" w:rsidRDefault="002A7C06" w:rsidP="002A7C06">
      <w:pPr>
        <w:spacing w:line="360" w:lineRule="auto"/>
        <w:ind w:firstLine="720"/>
      </w:pPr>
    </w:p>
    <w:p w14:paraId="57EF634F" w14:textId="77777777" w:rsidR="002A7C06" w:rsidRDefault="002A7C06" w:rsidP="002A7C06">
      <w:pPr>
        <w:spacing w:line="360" w:lineRule="auto"/>
        <w:ind w:firstLine="720"/>
      </w:pPr>
    </w:p>
    <w:p w14:paraId="0149C1C5" w14:textId="77777777" w:rsidR="002A7C06" w:rsidRDefault="002A7C06">
      <w:pPr>
        <w:spacing w:line="360" w:lineRule="auto"/>
        <w:jc w:val="both"/>
        <w:rPr>
          <w:b/>
        </w:rPr>
      </w:pPr>
    </w:p>
    <w:sectPr w:rsidR="002A7C06" w:rsidSect="00122DE3">
      <w:footerReference w:type="default" r:id="rId8"/>
      <w:pgSz w:w="11906" w:h="16838"/>
      <w:pgMar w:top="1134" w:right="1304" w:bottom="226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ECCD4" w14:textId="77777777" w:rsidR="00122DE3" w:rsidRDefault="00122DE3" w:rsidP="00FD17D5">
      <w:r>
        <w:separator/>
      </w:r>
    </w:p>
  </w:endnote>
  <w:endnote w:type="continuationSeparator" w:id="0">
    <w:p w14:paraId="6768DC15" w14:textId="77777777" w:rsidR="00122DE3" w:rsidRDefault="00122DE3" w:rsidP="00FD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charset w:val="00"/>
    <w:family w:val="auto"/>
    <w:pitch w:val="default"/>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E142" w14:textId="77777777" w:rsidR="0034585C" w:rsidRDefault="0034585C" w:rsidP="00D610D6">
    <w:pPr>
      <w:pStyle w:val="Footer"/>
      <w:jc w:val="center"/>
    </w:pPr>
    <w:r>
      <w:fldChar w:fldCharType="begin"/>
    </w:r>
    <w:r>
      <w:instrText xml:space="preserve"> PAGE   \* MERGEFORMAT </w:instrText>
    </w:r>
    <w:r>
      <w:fldChar w:fldCharType="separate"/>
    </w:r>
    <w:r w:rsidR="00D06745">
      <w:rPr>
        <w:noProof/>
      </w:rPr>
      <w:t>18</w:t>
    </w:r>
    <w:r>
      <w:rPr>
        <w:noProof/>
      </w:rPr>
      <w:fldChar w:fldCharType="end"/>
    </w:r>
  </w:p>
  <w:p w14:paraId="0DA76C95" w14:textId="77777777" w:rsidR="0034585C" w:rsidRDefault="0034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07040" w14:textId="77777777" w:rsidR="00122DE3" w:rsidRDefault="00122DE3" w:rsidP="00FD17D5">
      <w:r>
        <w:separator/>
      </w:r>
    </w:p>
  </w:footnote>
  <w:footnote w:type="continuationSeparator" w:id="0">
    <w:p w14:paraId="79DF876F" w14:textId="77777777" w:rsidR="00122DE3" w:rsidRDefault="00122DE3" w:rsidP="00FD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75F"/>
    <w:multiLevelType w:val="hybridMultilevel"/>
    <w:tmpl w:val="158AC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0857"/>
    <w:multiLevelType w:val="hybridMultilevel"/>
    <w:tmpl w:val="1EF64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66ACB"/>
    <w:multiLevelType w:val="hybridMultilevel"/>
    <w:tmpl w:val="7024B240"/>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3" w15:restartNumberingAfterBreak="0">
    <w:nsid w:val="1B2C1CA5"/>
    <w:multiLevelType w:val="hybridMultilevel"/>
    <w:tmpl w:val="3C0297E4"/>
    <w:lvl w:ilvl="0" w:tplc="08090003">
      <w:start w:val="1"/>
      <w:numFmt w:val="bullet"/>
      <w:lvlText w:val="o"/>
      <w:lvlJc w:val="left"/>
      <w:pPr>
        <w:ind w:left="1525" w:hanging="360"/>
      </w:pPr>
      <w:rPr>
        <w:rFonts w:ascii="Courier New" w:hAnsi="Courier New" w:cs="Courier New" w:hint="default"/>
      </w:rPr>
    </w:lvl>
    <w:lvl w:ilvl="1" w:tplc="08090003" w:tentative="1">
      <w:start w:val="1"/>
      <w:numFmt w:val="bullet"/>
      <w:lvlText w:val="o"/>
      <w:lvlJc w:val="left"/>
      <w:pPr>
        <w:ind w:left="2245" w:hanging="360"/>
      </w:pPr>
      <w:rPr>
        <w:rFonts w:ascii="Courier New" w:hAnsi="Courier New" w:cs="Courier New" w:hint="default"/>
      </w:rPr>
    </w:lvl>
    <w:lvl w:ilvl="2" w:tplc="08090005" w:tentative="1">
      <w:start w:val="1"/>
      <w:numFmt w:val="bullet"/>
      <w:lvlText w:val=""/>
      <w:lvlJc w:val="left"/>
      <w:pPr>
        <w:ind w:left="2965" w:hanging="360"/>
      </w:pPr>
      <w:rPr>
        <w:rFonts w:ascii="Wingdings" w:hAnsi="Wingdings" w:hint="default"/>
      </w:rPr>
    </w:lvl>
    <w:lvl w:ilvl="3" w:tplc="08090001" w:tentative="1">
      <w:start w:val="1"/>
      <w:numFmt w:val="bullet"/>
      <w:lvlText w:val=""/>
      <w:lvlJc w:val="left"/>
      <w:pPr>
        <w:ind w:left="3685" w:hanging="360"/>
      </w:pPr>
      <w:rPr>
        <w:rFonts w:ascii="Symbol" w:hAnsi="Symbol" w:hint="default"/>
      </w:rPr>
    </w:lvl>
    <w:lvl w:ilvl="4" w:tplc="08090003" w:tentative="1">
      <w:start w:val="1"/>
      <w:numFmt w:val="bullet"/>
      <w:lvlText w:val="o"/>
      <w:lvlJc w:val="left"/>
      <w:pPr>
        <w:ind w:left="4405" w:hanging="360"/>
      </w:pPr>
      <w:rPr>
        <w:rFonts w:ascii="Courier New" w:hAnsi="Courier New" w:cs="Courier New" w:hint="default"/>
      </w:rPr>
    </w:lvl>
    <w:lvl w:ilvl="5" w:tplc="08090005" w:tentative="1">
      <w:start w:val="1"/>
      <w:numFmt w:val="bullet"/>
      <w:lvlText w:val=""/>
      <w:lvlJc w:val="left"/>
      <w:pPr>
        <w:ind w:left="5125" w:hanging="360"/>
      </w:pPr>
      <w:rPr>
        <w:rFonts w:ascii="Wingdings" w:hAnsi="Wingdings" w:hint="default"/>
      </w:rPr>
    </w:lvl>
    <w:lvl w:ilvl="6" w:tplc="08090001" w:tentative="1">
      <w:start w:val="1"/>
      <w:numFmt w:val="bullet"/>
      <w:lvlText w:val=""/>
      <w:lvlJc w:val="left"/>
      <w:pPr>
        <w:ind w:left="5845" w:hanging="360"/>
      </w:pPr>
      <w:rPr>
        <w:rFonts w:ascii="Symbol" w:hAnsi="Symbol" w:hint="default"/>
      </w:rPr>
    </w:lvl>
    <w:lvl w:ilvl="7" w:tplc="08090003" w:tentative="1">
      <w:start w:val="1"/>
      <w:numFmt w:val="bullet"/>
      <w:lvlText w:val="o"/>
      <w:lvlJc w:val="left"/>
      <w:pPr>
        <w:ind w:left="6565" w:hanging="360"/>
      </w:pPr>
      <w:rPr>
        <w:rFonts w:ascii="Courier New" w:hAnsi="Courier New" w:cs="Courier New" w:hint="default"/>
      </w:rPr>
    </w:lvl>
    <w:lvl w:ilvl="8" w:tplc="08090005" w:tentative="1">
      <w:start w:val="1"/>
      <w:numFmt w:val="bullet"/>
      <w:lvlText w:val=""/>
      <w:lvlJc w:val="left"/>
      <w:pPr>
        <w:ind w:left="7285" w:hanging="360"/>
      </w:pPr>
      <w:rPr>
        <w:rFonts w:ascii="Wingdings" w:hAnsi="Wingdings" w:hint="default"/>
      </w:rPr>
    </w:lvl>
  </w:abstractNum>
  <w:abstractNum w:abstractNumId="4" w15:restartNumberingAfterBreak="0">
    <w:nsid w:val="1CAF27AE"/>
    <w:multiLevelType w:val="hybridMultilevel"/>
    <w:tmpl w:val="683E73DC"/>
    <w:lvl w:ilvl="0" w:tplc="BAD4C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1143E"/>
    <w:multiLevelType w:val="hybridMultilevel"/>
    <w:tmpl w:val="80E2DC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B568C8"/>
    <w:multiLevelType w:val="hybridMultilevel"/>
    <w:tmpl w:val="E5A218F8"/>
    <w:lvl w:ilvl="0" w:tplc="EF02CD7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E1C9F"/>
    <w:multiLevelType w:val="hybridMultilevel"/>
    <w:tmpl w:val="13FCF1F6"/>
    <w:lvl w:ilvl="0" w:tplc="C5C2154A">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15:restartNumberingAfterBreak="0">
    <w:nsid w:val="34AB5360"/>
    <w:multiLevelType w:val="hybridMultilevel"/>
    <w:tmpl w:val="D31425E0"/>
    <w:lvl w:ilvl="0" w:tplc="7E04F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4207E"/>
    <w:multiLevelType w:val="hybridMultilevel"/>
    <w:tmpl w:val="597431A2"/>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0" w15:restartNumberingAfterBreak="0">
    <w:nsid w:val="44D865D6"/>
    <w:multiLevelType w:val="hybridMultilevel"/>
    <w:tmpl w:val="239C61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170D62"/>
    <w:multiLevelType w:val="hybridMultilevel"/>
    <w:tmpl w:val="79BE08A0"/>
    <w:lvl w:ilvl="0" w:tplc="CDBAE270">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25221D"/>
    <w:multiLevelType w:val="hybridMultilevel"/>
    <w:tmpl w:val="2FBED71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D371E"/>
    <w:multiLevelType w:val="hybridMultilevel"/>
    <w:tmpl w:val="6B308B32"/>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4" w15:restartNumberingAfterBreak="0">
    <w:nsid w:val="4DB97A03"/>
    <w:multiLevelType w:val="hybridMultilevel"/>
    <w:tmpl w:val="4CBC2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DC3D18"/>
    <w:multiLevelType w:val="hybridMultilevel"/>
    <w:tmpl w:val="2DFE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0F347A"/>
    <w:multiLevelType w:val="hybridMultilevel"/>
    <w:tmpl w:val="6F0CC136"/>
    <w:lvl w:ilvl="0" w:tplc="50D0C148">
      <w:numFmt w:val="bullet"/>
      <w:lvlText w:val="–"/>
      <w:lvlJc w:val="left"/>
      <w:pPr>
        <w:ind w:left="1080" w:hanging="360"/>
      </w:pPr>
      <w:rPr>
        <w:rFonts w:ascii="Times New Roman" w:eastAsia="Times New Roman" w:hAnsi="Times New Roman" w:cs="Times New Roman"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9D31A8"/>
    <w:multiLevelType w:val="hybridMultilevel"/>
    <w:tmpl w:val="6FA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97FE8"/>
    <w:multiLevelType w:val="hybridMultilevel"/>
    <w:tmpl w:val="782C9158"/>
    <w:lvl w:ilvl="0" w:tplc="876219C4">
      <w:start w:val="1"/>
      <w:numFmt w:val="lowerLetter"/>
      <w:lvlText w:val="%1)"/>
      <w:lvlJc w:val="left"/>
      <w:pPr>
        <w:ind w:left="720" w:hanging="360"/>
      </w:pPr>
      <w:rPr>
        <w:rFonts w:ascii="Times New Roman" w:eastAsia="Times New Roman" w:hAnsi="Times New Roman" w:cs="Times New Roman"/>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D2277"/>
    <w:multiLevelType w:val="hybridMultilevel"/>
    <w:tmpl w:val="25FE0E00"/>
    <w:lvl w:ilvl="0" w:tplc="95E4C0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285420"/>
    <w:multiLevelType w:val="hybridMultilevel"/>
    <w:tmpl w:val="87D09B42"/>
    <w:lvl w:ilvl="0" w:tplc="EB6AEE44">
      <w:start w:val="1"/>
      <w:numFmt w:val="lowerLetter"/>
      <w:lvlText w:val="%1)"/>
      <w:lvlJc w:val="right"/>
      <w:pPr>
        <w:tabs>
          <w:tab w:val="num" w:pos="990"/>
        </w:tabs>
        <w:ind w:left="990" w:hanging="180"/>
      </w:pPr>
      <w:rPr>
        <w:rFonts w:ascii="Times New Roman" w:eastAsia="Batang" w:hAnsi="Times New Roman" w:cs="Arial"/>
      </w:rPr>
    </w:lvl>
    <w:lvl w:ilvl="1" w:tplc="2DE62414">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450CE"/>
    <w:multiLevelType w:val="hybridMultilevel"/>
    <w:tmpl w:val="E4C025A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735D0D3D"/>
    <w:multiLevelType w:val="hybridMultilevel"/>
    <w:tmpl w:val="F9DE7162"/>
    <w:lvl w:ilvl="0" w:tplc="08090003">
      <w:start w:val="1"/>
      <w:numFmt w:val="bullet"/>
      <w:lvlText w:val="o"/>
      <w:lvlJc w:val="left"/>
      <w:pPr>
        <w:ind w:left="1525" w:hanging="360"/>
      </w:pPr>
      <w:rPr>
        <w:rFonts w:ascii="Courier New" w:hAnsi="Courier New" w:cs="Courier New" w:hint="default"/>
      </w:rPr>
    </w:lvl>
    <w:lvl w:ilvl="1" w:tplc="08090003" w:tentative="1">
      <w:start w:val="1"/>
      <w:numFmt w:val="bullet"/>
      <w:lvlText w:val="o"/>
      <w:lvlJc w:val="left"/>
      <w:pPr>
        <w:ind w:left="2245" w:hanging="360"/>
      </w:pPr>
      <w:rPr>
        <w:rFonts w:ascii="Courier New" w:hAnsi="Courier New" w:cs="Courier New" w:hint="default"/>
      </w:rPr>
    </w:lvl>
    <w:lvl w:ilvl="2" w:tplc="08090005" w:tentative="1">
      <w:start w:val="1"/>
      <w:numFmt w:val="bullet"/>
      <w:lvlText w:val=""/>
      <w:lvlJc w:val="left"/>
      <w:pPr>
        <w:ind w:left="2965" w:hanging="360"/>
      </w:pPr>
      <w:rPr>
        <w:rFonts w:ascii="Wingdings" w:hAnsi="Wingdings" w:hint="default"/>
      </w:rPr>
    </w:lvl>
    <w:lvl w:ilvl="3" w:tplc="08090001" w:tentative="1">
      <w:start w:val="1"/>
      <w:numFmt w:val="bullet"/>
      <w:lvlText w:val=""/>
      <w:lvlJc w:val="left"/>
      <w:pPr>
        <w:ind w:left="3685" w:hanging="360"/>
      </w:pPr>
      <w:rPr>
        <w:rFonts w:ascii="Symbol" w:hAnsi="Symbol" w:hint="default"/>
      </w:rPr>
    </w:lvl>
    <w:lvl w:ilvl="4" w:tplc="08090003" w:tentative="1">
      <w:start w:val="1"/>
      <w:numFmt w:val="bullet"/>
      <w:lvlText w:val="o"/>
      <w:lvlJc w:val="left"/>
      <w:pPr>
        <w:ind w:left="4405" w:hanging="360"/>
      </w:pPr>
      <w:rPr>
        <w:rFonts w:ascii="Courier New" w:hAnsi="Courier New" w:cs="Courier New" w:hint="default"/>
      </w:rPr>
    </w:lvl>
    <w:lvl w:ilvl="5" w:tplc="08090005" w:tentative="1">
      <w:start w:val="1"/>
      <w:numFmt w:val="bullet"/>
      <w:lvlText w:val=""/>
      <w:lvlJc w:val="left"/>
      <w:pPr>
        <w:ind w:left="5125" w:hanging="360"/>
      </w:pPr>
      <w:rPr>
        <w:rFonts w:ascii="Wingdings" w:hAnsi="Wingdings" w:hint="default"/>
      </w:rPr>
    </w:lvl>
    <w:lvl w:ilvl="6" w:tplc="08090001" w:tentative="1">
      <w:start w:val="1"/>
      <w:numFmt w:val="bullet"/>
      <w:lvlText w:val=""/>
      <w:lvlJc w:val="left"/>
      <w:pPr>
        <w:ind w:left="5845" w:hanging="360"/>
      </w:pPr>
      <w:rPr>
        <w:rFonts w:ascii="Symbol" w:hAnsi="Symbol" w:hint="default"/>
      </w:rPr>
    </w:lvl>
    <w:lvl w:ilvl="7" w:tplc="08090003" w:tentative="1">
      <w:start w:val="1"/>
      <w:numFmt w:val="bullet"/>
      <w:lvlText w:val="o"/>
      <w:lvlJc w:val="left"/>
      <w:pPr>
        <w:ind w:left="6565" w:hanging="360"/>
      </w:pPr>
      <w:rPr>
        <w:rFonts w:ascii="Courier New" w:hAnsi="Courier New" w:cs="Courier New" w:hint="default"/>
      </w:rPr>
    </w:lvl>
    <w:lvl w:ilvl="8" w:tplc="08090005" w:tentative="1">
      <w:start w:val="1"/>
      <w:numFmt w:val="bullet"/>
      <w:lvlText w:val=""/>
      <w:lvlJc w:val="left"/>
      <w:pPr>
        <w:ind w:left="7285" w:hanging="360"/>
      </w:pPr>
      <w:rPr>
        <w:rFonts w:ascii="Wingdings" w:hAnsi="Wingdings" w:hint="default"/>
      </w:rPr>
    </w:lvl>
  </w:abstractNum>
  <w:abstractNum w:abstractNumId="23" w15:restartNumberingAfterBreak="0">
    <w:nsid w:val="74232F7E"/>
    <w:multiLevelType w:val="hybridMultilevel"/>
    <w:tmpl w:val="54C80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A3E75"/>
    <w:multiLevelType w:val="hybridMultilevel"/>
    <w:tmpl w:val="0908B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E13BD"/>
    <w:multiLevelType w:val="hybridMultilevel"/>
    <w:tmpl w:val="8034CBEE"/>
    <w:lvl w:ilvl="0" w:tplc="6AD4DD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317FF"/>
    <w:multiLevelType w:val="hybridMultilevel"/>
    <w:tmpl w:val="ABB2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F4149"/>
    <w:multiLevelType w:val="hybridMultilevel"/>
    <w:tmpl w:val="042A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8"/>
  </w:num>
  <w:num w:numId="4">
    <w:abstractNumId w:val="4"/>
  </w:num>
  <w:num w:numId="5">
    <w:abstractNumId w:val="6"/>
  </w:num>
  <w:num w:numId="6">
    <w:abstractNumId w:val="5"/>
  </w:num>
  <w:num w:numId="7">
    <w:abstractNumId w:val="9"/>
  </w:num>
  <w:num w:numId="8">
    <w:abstractNumId w:val="2"/>
  </w:num>
  <w:num w:numId="9">
    <w:abstractNumId w:val="13"/>
  </w:num>
  <w:num w:numId="10">
    <w:abstractNumId w:val="22"/>
  </w:num>
  <w:num w:numId="11">
    <w:abstractNumId w:val="3"/>
  </w:num>
  <w:num w:numId="12">
    <w:abstractNumId w:val="16"/>
  </w:num>
  <w:num w:numId="13">
    <w:abstractNumId w:val="24"/>
  </w:num>
  <w:num w:numId="14">
    <w:abstractNumId w:val="27"/>
  </w:num>
  <w:num w:numId="15">
    <w:abstractNumId w:val="26"/>
  </w:num>
  <w:num w:numId="16">
    <w:abstractNumId w:val="14"/>
  </w:num>
  <w:num w:numId="17">
    <w:abstractNumId w:val="23"/>
  </w:num>
  <w:num w:numId="18">
    <w:abstractNumId w:val="0"/>
  </w:num>
  <w:num w:numId="19">
    <w:abstractNumId w:val="25"/>
  </w:num>
  <w:num w:numId="20">
    <w:abstractNumId w:val="15"/>
  </w:num>
  <w:num w:numId="21">
    <w:abstractNumId w:val="19"/>
  </w:num>
  <w:num w:numId="22">
    <w:abstractNumId w:val="17"/>
  </w:num>
  <w:num w:numId="23">
    <w:abstractNumId w:val="20"/>
  </w:num>
  <w:num w:numId="24">
    <w:abstractNumId w:val="1"/>
  </w:num>
  <w:num w:numId="25">
    <w:abstractNumId w:val="1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5C"/>
    <w:rsid w:val="000036A3"/>
    <w:rsid w:val="00006139"/>
    <w:rsid w:val="000064C3"/>
    <w:rsid w:val="00007E35"/>
    <w:rsid w:val="0001036D"/>
    <w:rsid w:val="00012997"/>
    <w:rsid w:val="00012E84"/>
    <w:rsid w:val="00013B58"/>
    <w:rsid w:val="00016551"/>
    <w:rsid w:val="000208CF"/>
    <w:rsid w:val="000216AD"/>
    <w:rsid w:val="0002186C"/>
    <w:rsid w:val="000218B7"/>
    <w:rsid w:val="0002209C"/>
    <w:rsid w:val="000230A3"/>
    <w:rsid w:val="0002417A"/>
    <w:rsid w:val="000245AB"/>
    <w:rsid w:val="000262AF"/>
    <w:rsid w:val="00026962"/>
    <w:rsid w:val="000319EE"/>
    <w:rsid w:val="00033AC0"/>
    <w:rsid w:val="00034A77"/>
    <w:rsid w:val="0003635D"/>
    <w:rsid w:val="00036ABC"/>
    <w:rsid w:val="000375A1"/>
    <w:rsid w:val="000377F4"/>
    <w:rsid w:val="000403AB"/>
    <w:rsid w:val="00041344"/>
    <w:rsid w:val="00043062"/>
    <w:rsid w:val="00044A2C"/>
    <w:rsid w:val="00046495"/>
    <w:rsid w:val="00046BEA"/>
    <w:rsid w:val="00046E40"/>
    <w:rsid w:val="000477DA"/>
    <w:rsid w:val="000523D4"/>
    <w:rsid w:val="00053393"/>
    <w:rsid w:val="000544E8"/>
    <w:rsid w:val="00054A35"/>
    <w:rsid w:val="00055C78"/>
    <w:rsid w:val="00057784"/>
    <w:rsid w:val="000612BE"/>
    <w:rsid w:val="00061E43"/>
    <w:rsid w:val="000622FA"/>
    <w:rsid w:val="00062FA7"/>
    <w:rsid w:val="000631CC"/>
    <w:rsid w:val="00064D98"/>
    <w:rsid w:val="00065874"/>
    <w:rsid w:val="000665DE"/>
    <w:rsid w:val="000669A8"/>
    <w:rsid w:val="000676C7"/>
    <w:rsid w:val="0007239C"/>
    <w:rsid w:val="00072CB2"/>
    <w:rsid w:val="00073251"/>
    <w:rsid w:val="0007399B"/>
    <w:rsid w:val="00073A89"/>
    <w:rsid w:val="00073CA9"/>
    <w:rsid w:val="00073DA3"/>
    <w:rsid w:val="000752FD"/>
    <w:rsid w:val="000758CF"/>
    <w:rsid w:val="0007680A"/>
    <w:rsid w:val="00080236"/>
    <w:rsid w:val="0008095E"/>
    <w:rsid w:val="000814F2"/>
    <w:rsid w:val="000823AA"/>
    <w:rsid w:val="00084C4F"/>
    <w:rsid w:val="0008765A"/>
    <w:rsid w:val="000906A1"/>
    <w:rsid w:val="00093243"/>
    <w:rsid w:val="00094032"/>
    <w:rsid w:val="00094A6F"/>
    <w:rsid w:val="0009522E"/>
    <w:rsid w:val="0009558D"/>
    <w:rsid w:val="00095673"/>
    <w:rsid w:val="00095719"/>
    <w:rsid w:val="000959D7"/>
    <w:rsid w:val="0009711C"/>
    <w:rsid w:val="000975AB"/>
    <w:rsid w:val="000A36FD"/>
    <w:rsid w:val="000B1199"/>
    <w:rsid w:val="000B22D0"/>
    <w:rsid w:val="000B2FF6"/>
    <w:rsid w:val="000B72DD"/>
    <w:rsid w:val="000D08DE"/>
    <w:rsid w:val="000D16DB"/>
    <w:rsid w:val="000D2433"/>
    <w:rsid w:val="000D33C0"/>
    <w:rsid w:val="000D47DB"/>
    <w:rsid w:val="000D4AC0"/>
    <w:rsid w:val="000D5535"/>
    <w:rsid w:val="000D5EAC"/>
    <w:rsid w:val="000E171F"/>
    <w:rsid w:val="000E19D3"/>
    <w:rsid w:val="000E2053"/>
    <w:rsid w:val="000E21E4"/>
    <w:rsid w:val="000E3E96"/>
    <w:rsid w:val="000E74B0"/>
    <w:rsid w:val="000F0367"/>
    <w:rsid w:val="000F05DA"/>
    <w:rsid w:val="000F128C"/>
    <w:rsid w:val="000F4DD2"/>
    <w:rsid w:val="000F7288"/>
    <w:rsid w:val="000F728D"/>
    <w:rsid w:val="000F7420"/>
    <w:rsid w:val="001001F5"/>
    <w:rsid w:val="00100F1D"/>
    <w:rsid w:val="00102A73"/>
    <w:rsid w:val="00103817"/>
    <w:rsid w:val="001058A2"/>
    <w:rsid w:val="00106AE9"/>
    <w:rsid w:val="001072C7"/>
    <w:rsid w:val="0011057C"/>
    <w:rsid w:val="00110CDF"/>
    <w:rsid w:val="00111938"/>
    <w:rsid w:val="00112969"/>
    <w:rsid w:val="00112B1C"/>
    <w:rsid w:val="00113702"/>
    <w:rsid w:val="001140E5"/>
    <w:rsid w:val="0011525C"/>
    <w:rsid w:val="00115DE9"/>
    <w:rsid w:val="00116FFD"/>
    <w:rsid w:val="00117F91"/>
    <w:rsid w:val="001210F9"/>
    <w:rsid w:val="001211DA"/>
    <w:rsid w:val="00122DE3"/>
    <w:rsid w:val="00123711"/>
    <w:rsid w:val="00123CCB"/>
    <w:rsid w:val="0012401F"/>
    <w:rsid w:val="00124C24"/>
    <w:rsid w:val="00124C33"/>
    <w:rsid w:val="001256AB"/>
    <w:rsid w:val="00125C1F"/>
    <w:rsid w:val="00125D16"/>
    <w:rsid w:val="00127B72"/>
    <w:rsid w:val="00130018"/>
    <w:rsid w:val="001306C4"/>
    <w:rsid w:val="00131CBE"/>
    <w:rsid w:val="00136E2C"/>
    <w:rsid w:val="001372BA"/>
    <w:rsid w:val="001377C7"/>
    <w:rsid w:val="00137827"/>
    <w:rsid w:val="00140FEC"/>
    <w:rsid w:val="0014177C"/>
    <w:rsid w:val="0014198F"/>
    <w:rsid w:val="00141DB4"/>
    <w:rsid w:val="00142FF3"/>
    <w:rsid w:val="00143056"/>
    <w:rsid w:val="00146C10"/>
    <w:rsid w:val="001470E6"/>
    <w:rsid w:val="00152194"/>
    <w:rsid w:val="0015501E"/>
    <w:rsid w:val="0016052E"/>
    <w:rsid w:val="00160F88"/>
    <w:rsid w:val="00162312"/>
    <w:rsid w:val="001653B7"/>
    <w:rsid w:val="00165B09"/>
    <w:rsid w:val="0016629A"/>
    <w:rsid w:val="00167C7E"/>
    <w:rsid w:val="00170F0E"/>
    <w:rsid w:val="00170FDE"/>
    <w:rsid w:val="00171218"/>
    <w:rsid w:val="00171304"/>
    <w:rsid w:val="00172065"/>
    <w:rsid w:val="00174C52"/>
    <w:rsid w:val="001752B7"/>
    <w:rsid w:val="001760D7"/>
    <w:rsid w:val="00176339"/>
    <w:rsid w:val="00176C66"/>
    <w:rsid w:val="00180E55"/>
    <w:rsid w:val="00182439"/>
    <w:rsid w:val="00183082"/>
    <w:rsid w:val="00184952"/>
    <w:rsid w:val="00186E06"/>
    <w:rsid w:val="00187CCF"/>
    <w:rsid w:val="001900F1"/>
    <w:rsid w:val="00191ED9"/>
    <w:rsid w:val="001940EE"/>
    <w:rsid w:val="001941BA"/>
    <w:rsid w:val="00195CAD"/>
    <w:rsid w:val="00196257"/>
    <w:rsid w:val="00196CD1"/>
    <w:rsid w:val="001974AE"/>
    <w:rsid w:val="001A1088"/>
    <w:rsid w:val="001A1336"/>
    <w:rsid w:val="001A13BE"/>
    <w:rsid w:val="001A1CCD"/>
    <w:rsid w:val="001A206C"/>
    <w:rsid w:val="001A3F02"/>
    <w:rsid w:val="001A468F"/>
    <w:rsid w:val="001A4903"/>
    <w:rsid w:val="001A6BF8"/>
    <w:rsid w:val="001A6D3E"/>
    <w:rsid w:val="001A764A"/>
    <w:rsid w:val="001B0023"/>
    <w:rsid w:val="001B0A9B"/>
    <w:rsid w:val="001B184A"/>
    <w:rsid w:val="001B41BE"/>
    <w:rsid w:val="001B478C"/>
    <w:rsid w:val="001B4F03"/>
    <w:rsid w:val="001B50B7"/>
    <w:rsid w:val="001B59CA"/>
    <w:rsid w:val="001C01BC"/>
    <w:rsid w:val="001C051E"/>
    <w:rsid w:val="001C08FB"/>
    <w:rsid w:val="001C08FE"/>
    <w:rsid w:val="001C0D5C"/>
    <w:rsid w:val="001C1981"/>
    <w:rsid w:val="001C259F"/>
    <w:rsid w:val="001C2810"/>
    <w:rsid w:val="001C4E6A"/>
    <w:rsid w:val="001D2A50"/>
    <w:rsid w:val="001D2EAB"/>
    <w:rsid w:val="001D641A"/>
    <w:rsid w:val="001D6609"/>
    <w:rsid w:val="001E1734"/>
    <w:rsid w:val="001E31A8"/>
    <w:rsid w:val="001E358B"/>
    <w:rsid w:val="001E3838"/>
    <w:rsid w:val="001E3A0E"/>
    <w:rsid w:val="001E66DD"/>
    <w:rsid w:val="001F2133"/>
    <w:rsid w:val="001F2143"/>
    <w:rsid w:val="001F2D86"/>
    <w:rsid w:val="001F2EF2"/>
    <w:rsid w:val="001F5D78"/>
    <w:rsid w:val="001F5F86"/>
    <w:rsid w:val="001F7732"/>
    <w:rsid w:val="001F79CA"/>
    <w:rsid w:val="001F7D5F"/>
    <w:rsid w:val="002000A8"/>
    <w:rsid w:val="0020041E"/>
    <w:rsid w:val="0020265A"/>
    <w:rsid w:val="00202D48"/>
    <w:rsid w:val="002032F5"/>
    <w:rsid w:val="00203685"/>
    <w:rsid w:val="0020462F"/>
    <w:rsid w:val="00205248"/>
    <w:rsid w:val="00211770"/>
    <w:rsid w:val="00211E26"/>
    <w:rsid w:val="00211EFE"/>
    <w:rsid w:val="002131D4"/>
    <w:rsid w:val="0021510D"/>
    <w:rsid w:val="00217ECC"/>
    <w:rsid w:val="002207E8"/>
    <w:rsid w:val="002215DD"/>
    <w:rsid w:val="002239DE"/>
    <w:rsid w:val="002246E9"/>
    <w:rsid w:val="002268E2"/>
    <w:rsid w:val="0022755E"/>
    <w:rsid w:val="00227787"/>
    <w:rsid w:val="002311F8"/>
    <w:rsid w:val="00231576"/>
    <w:rsid w:val="002340D8"/>
    <w:rsid w:val="002353F7"/>
    <w:rsid w:val="002356EF"/>
    <w:rsid w:val="002361D3"/>
    <w:rsid w:val="0024079E"/>
    <w:rsid w:val="00241428"/>
    <w:rsid w:val="0024153D"/>
    <w:rsid w:val="0024224E"/>
    <w:rsid w:val="00242D83"/>
    <w:rsid w:val="002464C9"/>
    <w:rsid w:val="0024677D"/>
    <w:rsid w:val="00247D8A"/>
    <w:rsid w:val="0025070F"/>
    <w:rsid w:val="00251BCB"/>
    <w:rsid w:val="002523CA"/>
    <w:rsid w:val="002529A3"/>
    <w:rsid w:val="00252AD5"/>
    <w:rsid w:val="00253312"/>
    <w:rsid w:val="002538C7"/>
    <w:rsid w:val="002542AF"/>
    <w:rsid w:val="00254600"/>
    <w:rsid w:val="00255A12"/>
    <w:rsid w:val="00255B3A"/>
    <w:rsid w:val="002573C9"/>
    <w:rsid w:val="00262125"/>
    <w:rsid w:val="0026303F"/>
    <w:rsid w:val="002632AF"/>
    <w:rsid w:val="0026528E"/>
    <w:rsid w:val="00265F7D"/>
    <w:rsid w:val="0026646C"/>
    <w:rsid w:val="00267008"/>
    <w:rsid w:val="002679FA"/>
    <w:rsid w:val="00270D4F"/>
    <w:rsid w:val="00271913"/>
    <w:rsid w:val="0027404B"/>
    <w:rsid w:val="00275B93"/>
    <w:rsid w:val="00277732"/>
    <w:rsid w:val="00280E59"/>
    <w:rsid w:val="002833AF"/>
    <w:rsid w:val="002870C8"/>
    <w:rsid w:val="0028776F"/>
    <w:rsid w:val="0029028E"/>
    <w:rsid w:val="002908C9"/>
    <w:rsid w:val="00290BBA"/>
    <w:rsid w:val="002924C6"/>
    <w:rsid w:val="002925BF"/>
    <w:rsid w:val="002934A6"/>
    <w:rsid w:val="0029583D"/>
    <w:rsid w:val="002964FB"/>
    <w:rsid w:val="002974FF"/>
    <w:rsid w:val="002A064C"/>
    <w:rsid w:val="002A2AF3"/>
    <w:rsid w:val="002A6130"/>
    <w:rsid w:val="002A6FF7"/>
    <w:rsid w:val="002A76AA"/>
    <w:rsid w:val="002A7C06"/>
    <w:rsid w:val="002B0A0F"/>
    <w:rsid w:val="002B1B96"/>
    <w:rsid w:val="002B3EF9"/>
    <w:rsid w:val="002B78CE"/>
    <w:rsid w:val="002C22F6"/>
    <w:rsid w:val="002C29C1"/>
    <w:rsid w:val="002C34A4"/>
    <w:rsid w:val="002C3870"/>
    <w:rsid w:val="002C3BB9"/>
    <w:rsid w:val="002D0860"/>
    <w:rsid w:val="002D37CD"/>
    <w:rsid w:val="002D46B2"/>
    <w:rsid w:val="002D4C6D"/>
    <w:rsid w:val="002D74CF"/>
    <w:rsid w:val="002E28C8"/>
    <w:rsid w:val="002E34D3"/>
    <w:rsid w:val="002E3A78"/>
    <w:rsid w:val="002E4D7F"/>
    <w:rsid w:val="002E4DEB"/>
    <w:rsid w:val="002E4EC1"/>
    <w:rsid w:val="002E58C7"/>
    <w:rsid w:val="002E5AFC"/>
    <w:rsid w:val="002E72A8"/>
    <w:rsid w:val="002E762A"/>
    <w:rsid w:val="002E7D73"/>
    <w:rsid w:val="002F142C"/>
    <w:rsid w:val="002F4A74"/>
    <w:rsid w:val="002F6AEE"/>
    <w:rsid w:val="002F7766"/>
    <w:rsid w:val="002F7CEB"/>
    <w:rsid w:val="00300746"/>
    <w:rsid w:val="003021A6"/>
    <w:rsid w:val="00302D2D"/>
    <w:rsid w:val="00303227"/>
    <w:rsid w:val="0030322A"/>
    <w:rsid w:val="003043DC"/>
    <w:rsid w:val="003048D1"/>
    <w:rsid w:val="00305A8B"/>
    <w:rsid w:val="003066FB"/>
    <w:rsid w:val="00307D22"/>
    <w:rsid w:val="00307DE7"/>
    <w:rsid w:val="00310901"/>
    <w:rsid w:val="003113F8"/>
    <w:rsid w:val="00312A20"/>
    <w:rsid w:val="0031407C"/>
    <w:rsid w:val="003204CA"/>
    <w:rsid w:val="00320A74"/>
    <w:rsid w:val="00320DA4"/>
    <w:rsid w:val="00321848"/>
    <w:rsid w:val="00322DDD"/>
    <w:rsid w:val="00323AD5"/>
    <w:rsid w:val="00326C85"/>
    <w:rsid w:val="0032757A"/>
    <w:rsid w:val="0033140D"/>
    <w:rsid w:val="00332616"/>
    <w:rsid w:val="00332F81"/>
    <w:rsid w:val="00334377"/>
    <w:rsid w:val="00334FA0"/>
    <w:rsid w:val="00335D73"/>
    <w:rsid w:val="00335F8A"/>
    <w:rsid w:val="003413D7"/>
    <w:rsid w:val="003428BB"/>
    <w:rsid w:val="00342C48"/>
    <w:rsid w:val="00343595"/>
    <w:rsid w:val="0034484D"/>
    <w:rsid w:val="003457D2"/>
    <w:rsid w:val="0034585C"/>
    <w:rsid w:val="003466C1"/>
    <w:rsid w:val="0035079A"/>
    <w:rsid w:val="00350F0F"/>
    <w:rsid w:val="003519DA"/>
    <w:rsid w:val="00352C5F"/>
    <w:rsid w:val="00353E50"/>
    <w:rsid w:val="0035471D"/>
    <w:rsid w:val="00354922"/>
    <w:rsid w:val="00354B2A"/>
    <w:rsid w:val="00355514"/>
    <w:rsid w:val="00355E19"/>
    <w:rsid w:val="00355FCA"/>
    <w:rsid w:val="00356175"/>
    <w:rsid w:val="00356B8F"/>
    <w:rsid w:val="00356CAC"/>
    <w:rsid w:val="0035720C"/>
    <w:rsid w:val="003574F8"/>
    <w:rsid w:val="00357589"/>
    <w:rsid w:val="00360310"/>
    <w:rsid w:val="003603BB"/>
    <w:rsid w:val="00360909"/>
    <w:rsid w:val="00360C5A"/>
    <w:rsid w:val="00360D54"/>
    <w:rsid w:val="003615BB"/>
    <w:rsid w:val="00364F89"/>
    <w:rsid w:val="003651D4"/>
    <w:rsid w:val="00365406"/>
    <w:rsid w:val="003728CF"/>
    <w:rsid w:val="00373798"/>
    <w:rsid w:val="00373FA5"/>
    <w:rsid w:val="00376279"/>
    <w:rsid w:val="00382B06"/>
    <w:rsid w:val="00382EBD"/>
    <w:rsid w:val="00383319"/>
    <w:rsid w:val="0038335E"/>
    <w:rsid w:val="003846D5"/>
    <w:rsid w:val="00384E7B"/>
    <w:rsid w:val="003861E7"/>
    <w:rsid w:val="0038709B"/>
    <w:rsid w:val="00392684"/>
    <w:rsid w:val="00392875"/>
    <w:rsid w:val="00393786"/>
    <w:rsid w:val="00394092"/>
    <w:rsid w:val="003948E0"/>
    <w:rsid w:val="00396CAC"/>
    <w:rsid w:val="00397CD8"/>
    <w:rsid w:val="003A0986"/>
    <w:rsid w:val="003A545D"/>
    <w:rsid w:val="003A69A1"/>
    <w:rsid w:val="003A7CEA"/>
    <w:rsid w:val="003B10B8"/>
    <w:rsid w:val="003B1268"/>
    <w:rsid w:val="003B4248"/>
    <w:rsid w:val="003B5474"/>
    <w:rsid w:val="003B55C9"/>
    <w:rsid w:val="003B5A50"/>
    <w:rsid w:val="003B5AAB"/>
    <w:rsid w:val="003B763E"/>
    <w:rsid w:val="003C350F"/>
    <w:rsid w:val="003C478E"/>
    <w:rsid w:val="003C6018"/>
    <w:rsid w:val="003C6B38"/>
    <w:rsid w:val="003C705B"/>
    <w:rsid w:val="003C7A61"/>
    <w:rsid w:val="003C7C7A"/>
    <w:rsid w:val="003D2020"/>
    <w:rsid w:val="003D293E"/>
    <w:rsid w:val="003D4EB6"/>
    <w:rsid w:val="003D52E0"/>
    <w:rsid w:val="003D5CAE"/>
    <w:rsid w:val="003D7495"/>
    <w:rsid w:val="003D7736"/>
    <w:rsid w:val="003E0121"/>
    <w:rsid w:val="003E0570"/>
    <w:rsid w:val="003E0FD5"/>
    <w:rsid w:val="003E1551"/>
    <w:rsid w:val="003E166F"/>
    <w:rsid w:val="003E2713"/>
    <w:rsid w:val="003E4353"/>
    <w:rsid w:val="003E4839"/>
    <w:rsid w:val="003E684D"/>
    <w:rsid w:val="003E7C3F"/>
    <w:rsid w:val="003F1CFB"/>
    <w:rsid w:val="003F63A7"/>
    <w:rsid w:val="003F7425"/>
    <w:rsid w:val="004009B5"/>
    <w:rsid w:val="004018E2"/>
    <w:rsid w:val="00401B97"/>
    <w:rsid w:val="004021A9"/>
    <w:rsid w:val="0040282E"/>
    <w:rsid w:val="00402B93"/>
    <w:rsid w:val="0040435D"/>
    <w:rsid w:val="00404C0C"/>
    <w:rsid w:val="00405320"/>
    <w:rsid w:val="00406B3F"/>
    <w:rsid w:val="00407C86"/>
    <w:rsid w:val="00411594"/>
    <w:rsid w:val="00412C22"/>
    <w:rsid w:val="00415B6C"/>
    <w:rsid w:val="00416271"/>
    <w:rsid w:val="00416FF1"/>
    <w:rsid w:val="00420548"/>
    <w:rsid w:val="00421AE2"/>
    <w:rsid w:val="00422CDD"/>
    <w:rsid w:val="00423D8B"/>
    <w:rsid w:val="004246EC"/>
    <w:rsid w:val="004269C4"/>
    <w:rsid w:val="00427B39"/>
    <w:rsid w:val="00433DF9"/>
    <w:rsid w:val="00440BE2"/>
    <w:rsid w:val="00441226"/>
    <w:rsid w:val="00441D2C"/>
    <w:rsid w:val="00442565"/>
    <w:rsid w:val="00442F86"/>
    <w:rsid w:val="00443257"/>
    <w:rsid w:val="00446057"/>
    <w:rsid w:val="004469B6"/>
    <w:rsid w:val="00447617"/>
    <w:rsid w:val="00447FC8"/>
    <w:rsid w:val="00450AA1"/>
    <w:rsid w:val="00453182"/>
    <w:rsid w:val="00454498"/>
    <w:rsid w:val="00460467"/>
    <w:rsid w:val="004606C9"/>
    <w:rsid w:val="00462285"/>
    <w:rsid w:val="00463348"/>
    <w:rsid w:val="004647B5"/>
    <w:rsid w:val="00465C3E"/>
    <w:rsid w:val="00466681"/>
    <w:rsid w:val="004670E7"/>
    <w:rsid w:val="00467611"/>
    <w:rsid w:val="00470290"/>
    <w:rsid w:val="00471AD9"/>
    <w:rsid w:val="00471B08"/>
    <w:rsid w:val="00471E2A"/>
    <w:rsid w:val="0047444F"/>
    <w:rsid w:val="004777E8"/>
    <w:rsid w:val="00480713"/>
    <w:rsid w:val="00480BB1"/>
    <w:rsid w:val="0048255A"/>
    <w:rsid w:val="00483736"/>
    <w:rsid w:val="00484374"/>
    <w:rsid w:val="0048477D"/>
    <w:rsid w:val="00484C52"/>
    <w:rsid w:val="00485D01"/>
    <w:rsid w:val="00486F28"/>
    <w:rsid w:val="00490E05"/>
    <w:rsid w:val="00492E02"/>
    <w:rsid w:val="0049352F"/>
    <w:rsid w:val="00494BF1"/>
    <w:rsid w:val="0049564D"/>
    <w:rsid w:val="00495EAA"/>
    <w:rsid w:val="00496EAF"/>
    <w:rsid w:val="004978FF"/>
    <w:rsid w:val="004A3AE6"/>
    <w:rsid w:val="004A4267"/>
    <w:rsid w:val="004A65D5"/>
    <w:rsid w:val="004A66F1"/>
    <w:rsid w:val="004A6FDD"/>
    <w:rsid w:val="004B402A"/>
    <w:rsid w:val="004B4DDF"/>
    <w:rsid w:val="004B4F6E"/>
    <w:rsid w:val="004B5513"/>
    <w:rsid w:val="004B5E89"/>
    <w:rsid w:val="004B68D3"/>
    <w:rsid w:val="004B6D80"/>
    <w:rsid w:val="004B7CC8"/>
    <w:rsid w:val="004B7DF7"/>
    <w:rsid w:val="004C0343"/>
    <w:rsid w:val="004C1606"/>
    <w:rsid w:val="004D2B3E"/>
    <w:rsid w:val="004D2C17"/>
    <w:rsid w:val="004D3407"/>
    <w:rsid w:val="004D525E"/>
    <w:rsid w:val="004D7DFB"/>
    <w:rsid w:val="004E21FD"/>
    <w:rsid w:val="004E28A9"/>
    <w:rsid w:val="004E4875"/>
    <w:rsid w:val="004E49DD"/>
    <w:rsid w:val="004E5838"/>
    <w:rsid w:val="004E7F32"/>
    <w:rsid w:val="004F0346"/>
    <w:rsid w:val="004F1076"/>
    <w:rsid w:val="004F119C"/>
    <w:rsid w:val="004F2207"/>
    <w:rsid w:val="004F28CF"/>
    <w:rsid w:val="004F56A1"/>
    <w:rsid w:val="004F615A"/>
    <w:rsid w:val="004F623F"/>
    <w:rsid w:val="004F64BF"/>
    <w:rsid w:val="004F7DD2"/>
    <w:rsid w:val="00500C2F"/>
    <w:rsid w:val="00501197"/>
    <w:rsid w:val="00502E4E"/>
    <w:rsid w:val="00505819"/>
    <w:rsid w:val="0051258A"/>
    <w:rsid w:val="00513195"/>
    <w:rsid w:val="005131BD"/>
    <w:rsid w:val="0051512D"/>
    <w:rsid w:val="00515338"/>
    <w:rsid w:val="00516619"/>
    <w:rsid w:val="00520035"/>
    <w:rsid w:val="00520FCA"/>
    <w:rsid w:val="00522A4A"/>
    <w:rsid w:val="00522CC9"/>
    <w:rsid w:val="0052346E"/>
    <w:rsid w:val="005239ED"/>
    <w:rsid w:val="00524357"/>
    <w:rsid w:val="00526685"/>
    <w:rsid w:val="00526EE1"/>
    <w:rsid w:val="00532D7D"/>
    <w:rsid w:val="005332B0"/>
    <w:rsid w:val="00533767"/>
    <w:rsid w:val="00533BA8"/>
    <w:rsid w:val="005353F0"/>
    <w:rsid w:val="00535E53"/>
    <w:rsid w:val="005378B0"/>
    <w:rsid w:val="0054115F"/>
    <w:rsid w:val="00541A04"/>
    <w:rsid w:val="00542258"/>
    <w:rsid w:val="0054299E"/>
    <w:rsid w:val="00542F82"/>
    <w:rsid w:val="005460B5"/>
    <w:rsid w:val="00546685"/>
    <w:rsid w:val="00547A92"/>
    <w:rsid w:val="00550F4D"/>
    <w:rsid w:val="00550F69"/>
    <w:rsid w:val="0055122E"/>
    <w:rsid w:val="00553866"/>
    <w:rsid w:val="005546E6"/>
    <w:rsid w:val="0055478F"/>
    <w:rsid w:val="0055516E"/>
    <w:rsid w:val="00555318"/>
    <w:rsid w:val="00556792"/>
    <w:rsid w:val="00556A79"/>
    <w:rsid w:val="00557BD5"/>
    <w:rsid w:val="00560ED9"/>
    <w:rsid w:val="0056243D"/>
    <w:rsid w:val="005658CC"/>
    <w:rsid w:val="00567AC0"/>
    <w:rsid w:val="00570D6D"/>
    <w:rsid w:val="005710CB"/>
    <w:rsid w:val="005714DB"/>
    <w:rsid w:val="0057177B"/>
    <w:rsid w:val="00572B13"/>
    <w:rsid w:val="00572B1A"/>
    <w:rsid w:val="005745F0"/>
    <w:rsid w:val="0057533C"/>
    <w:rsid w:val="00576A34"/>
    <w:rsid w:val="00576CF3"/>
    <w:rsid w:val="005778B6"/>
    <w:rsid w:val="00581901"/>
    <w:rsid w:val="00582F84"/>
    <w:rsid w:val="00586ACD"/>
    <w:rsid w:val="00586B0A"/>
    <w:rsid w:val="005900E4"/>
    <w:rsid w:val="00590C73"/>
    <w:rsid w:val="00590F30"/>
    <w:rsid w:val="0059103B"/>
    <w:rsid w:val="0059110B"/>
    <w:rsid w:val="0059288E"/>
    <w:rsid w:val="00593B8A"/>
    <w:rsid w:val="00593D10"/>
    <w:rsid w:val="00594B71"/>
    <w:rsid w:val="00595152"/>
    <w:rsid w:val="0059610C"/>
    <w:rsid w:val="005A69F8"/>
    <w:rsid w:val="005A72F2"/>
    <w:rsid w:val="005A7A3F"/>
    <w:rsid w:val="005B0BCA"/>
    <w:rsid w:val="005B4EA5"/>
    <w:rsid w:val="005B5DFE"/>
    <w:rsid w:val="005B6F54"/>
    <w:rsid w:val="005C0584"/>
    <w:rsid w:val="005C0F70"/>
    <w:rsid w:val="005C21D4"/>
    <w:rsid w:val="005C24F7"/>
    <w:rsid w:val="005C3126"/>
    <w:rsid w:val="005C4FA1"/>
    <w:rsid w:val="005C5030"/>
    <w:rsid w:val="005C7A9A"/>
    <w:rsid w:val="005D049D"/>
    <w:rsid w:val="005D1B44"/>
    <w:rsid w:val="005D2907"/>
    <w:rsid w:val="005D3BE4"/>
    <w:rsid w:val="005D4432"/>
    <w:rsid w:val="005D48AC"/>
    <w:rsid w:val="005D5C97"/>
    <w:rsid w:val="005D65D6"/>
    <w:rsid w:val="005E07A4"/>
    <w:rsid w:val="005E128D"/>
    <w:rsid w:val="005E2CB8"/>
    <w:rsid w:val="005E44FA"/>
    <w:rsid w:val="005E49EE"/>
    <w:rsid w:val="005E4C60"/>
    <w:rsid w:val="005E5B55"/>
    <w:rsid w:val="005E66F4"/>
    <w:rsid w:val="005E704F"/>
    <w:rsid w:val="005E7D67"/>
    <w:rsid w:val="005F1013"/>
    <w:rsid w:val="005F267F"/>
    <w:rsid w:val="005F343C"/>
    <w:rsid w:val="005F5109"/>
    <w:rsid w:val="005F515B"/>
    <w:rsid w:val="005F676D"/>
    <w:rsid w:val="006008D2"/>
    <w:rsid w:val="006013B7"/>
    <w:rsid w:val="0060141F"/>
    <w:rsid w:val="00602367"/>
    <w:rsid w:val="00605DFC"/>
    <w:rsid w:val="00610623"/>
    <w:rsid w:val="00611BBD"/>
    <w:rsid w:val="00611D17"/>
    <w:rsid w:val="00612295"/>
    <w:rsid w:val="00613476"/>
    <w:rsid w:val="00613B42"/>
    <w:rsid w:val="0061443C"/>
    <w:rsid w:val="0061574C"/>
    <w:rsid w:val="0061634E"/>
    <w:rsid w:val="00621E65"/>
    <w:rsid w:val="006234BB"/>
    <w:rsid w:val="006235C3"/>
    <w:rsid w:val="006236F8"/>
    <w:rsid w:val="0062375C"/>
    <w:rsid w:val="006251BC"/>
    <w:rsid w:val="00625926"/>
    <w:rsid w:val="0062643F"/>
    <w:rsid w:val="00626983"/>
    <w:rsid w:val="00626B44"/>
    <w:rsid w:val="00630200"/>
    <w:rsid w:val="00632CC4"/>
    <w:rsid w:val="00632D80"/>
    <w:rsid w:val="00640877"/>
    <w:rsid w:val="006432A5"/>
    <w:rsid w:val="00643658"/>
    <w:rsid w:val="00643E86"/>
    <w:rsid w:val="00646AF7"/>
    <w:rsid w:val="006505BB"/>
    <w:rsid w:val="00653A0D"/>
    <w:rsid w:val="006548E0"/>
    <w:rsid w:val="00656360"/>
    <w:rsid w:val="00660051"/>
    <w:rsid w:val="0066114C"/>
    <w:rsid w:val="00664D7D"/>
    <w:rsid w:val="0066676C"/>
    <w:rsid w:val="00667A6F"/>
    <w:rsid w:val="00667D33"/>
    <w:rsid w:val="00670E97"/>
    <w:rsid w:val="0067163E"/>
    <w:rsid w:val="0067356F"/>
    <w:rsid w:val="00673942"/>
    <w:rsid w:val="006741E2"/>
    <w:rsid w:val="00674340"/>
    <w:rsid w:val="0067530B"/>
    <w:rsid w:val="00676941"/>
    <w:rsid w:val="00676DCA"/>
    <w:rsid w:val="0068016E"/>
    <w:rsid w:val="0068050C"/>
    <w:rsid w:val="00680AEA"/>
    <w:rsid w:val="00682119"/>
    <w:rsid w:val="006847E3"/>
    <w:rsid w:val="00685261"/>
    <w:rsid w:val="00685A0A"/>
    <w:rsid w:val="00686821"/>
    <w:rsid w:val="00692342"/>
    <w:rsid w:val="00692EFE"/>
    <w:rsid w:val="00693261"/>
    <w:rsid w:val="006943C3"/>
    <w:rsid w:val="0069528A"/>
    <w:rsid w:val="00697A23"/>
    <w:rsid w:val="006A1E51"/>
    <w:rsid w:val="006A2836"/>
    <w:rsid w:val="006A428F"/>
    <w:rsid w:val="006A481D"/>
    <w:rsid w:val="006A64FA"/>
    <w:rsid w:val="006A6D35"/>
    <w:rsid w:val="006B29E8"/>
    <w:rsid w:val="006B39E8"/>
    <w:rsid w:val="006B3F04"/>
    <w:rsid w:val="006B6585"/>
    <w:rsid w:val="006B67F3"/>
    <w:rsid w:val="006B7B22"/>
    <w:rsid w:val="006C0D99"/>
    <w:rsid w:val="006C2205"/>
    <w:rsid w:val="006C27FE"/>
    <w:rsid w:val="006C2A7B"/>
    <w:rsid w:val="006C6430"/>
    <w:rsid w:val="006C7830"/>
    <w:rsid w:val="006C79D1"/>
    <w:rsid w:val="006D1D7E"/>
    <w:rsid w:val="006D3041"/>
    <w:rsid w:val="006D5163"/>
    <w:rsid w:val="006D53AC"/>
    <w:rsid w:val="006D5CC4"/>
    <w:rsid w:val="006D794E"/>
    <w:rsid w:val="006D7E86"/>
    <w:rsid w:val="006E1F9B"/>
    <w:rsid w:val="006E28C9"/>
    <w:rsid w:val="006E530F"/>
    <w:rsid w:val="006E62C9"/>
    <w:rsid w:val="006F0074"/>
    <w:rsid w:val="006F0A1E"/>
    <w:rsid w:val="006F0A56"/>
    <w:rsid w:val="006F1334"/>
    <w:rsid w:val="006F225F"/>
    <w:rsid w:val="006F2CD3"/>
    <w:rsid w:val="006F2DA2"/>
    <w:rsid w:val="006F35F8"/>
    <w:rsid w:val="006F4C2E"/>
    <w:rsid w:val="006F52F4"/>
    <w:rsid w:val="006F7551"/>
    <w:rsid w:val="00701089"/>
    <w:rsid w:val="00701CFA"/>
    <w:rsid w:val="00701F84"/>
    <w:rsid w:val="00703B9E"/>
    <w:rsid w:val="00703D13"/>
    <w:rsid w:val="007043C6"/>
    <w:rsid w:val="00707EAE"/>
    <w:rsid w:val="007132BC"/>
    <w:rsid w:val="00713587"/>
    <w:rsid w:val="00714CEE"/>
    <w:rsid w:val="0071522D"/>
    <w:rsid w:val="007154CB"/>
    <w:rsid w:val="00716B3D"/>
    <w:rsid w:val="0071795C"/>
    <w:rsid w:val="00717DE0"/>
    <w:rsid w:val="007210AA"/>
    <w:rsid w:val="00727181"/>
    <w:rsid w:val="007272FD"/>
    <w:rsid w:val="00727B06"/>
    <w:rsid w:val="00730423"/>
    <w:rsid w:val="00730D38"/>
    <w:rsid w:val="00732E88"/>
    <w:rsid w:val="007334A6"/>
    <w:rsid w:val="00733769"/>
    <w:rsid w:val="0073435C"/>
    <w:rsid w:val="00735794"/>
    <w:rsid w:val="0073606A"/>
    <w:rsid w:val="00736962"/>
    <w:rsid w:val="00737F82"/>
    <w:rsid w:val="007403F6"/>
    <w:rsid w:val="0074055A"/>
    <w:rsid w:val="00741885"/>
    <w:rsid w:val="00742C9B"/>
    <w:rsid w:val="00745220"/>
    <w:rsid w:val="00745621"/>
    <w:rsid w:val="00747888"/>
    <w:rsid w:val="00747CCB"/>
    <w:rsid w:val="007506A7"/>
    <w:rsid w:val="00750E14"/>
    <w:rsid w:val="00750FDB"/>
    <w:rsid w:val="007524EE"/>
    <w:rsid w:val="00753BAF"/>
    <w:rsid w:val="00753D2B"/>
    <w:rsid w:val="00755AAC"/>
    <w:rsid w:val="00757AF7"/>
    <w:rsid w:val="007600B4"/>
    <w:rsid w:val="0076268F"/>
    <w:rsid w:val="0076358E"/>
    <w:rsid w:val="00764443"/>
    <w:rsid w:val="007661EE"/>
    <w:rsid w:val="00767692"/>
    <w:rsid w:val="007676DB"/>
    <w:rsid w:val="00767A76"/>
    <w:rsid w:val="00771136"/>
    <w:rsid w:val="007729E2"/>
    <w:rsid w:val="00774843"/>
    <w:rsid w:val="00775D36"/>
    <w:rsid w:val="007761E0"/>
    <w:rsid w:val="00776AF6"/>
    <w:rsid w:val="00777017"/>
    <w:rsid w:val="007775A2"/>
    <w:rsid w:val="00777CB2"/>
    <w:rsid w:val="00780368"/>
    <w:rsid w:val="0078162A"/>
    <w:rsid w:val="00781892"/>
    <w:rsid w:val="00782712"/>
    <w:rsid w:val="00782DC4"/>
    <w:rsid w:val="0078335A"/>
    <w:rsid w:val="007848F1"/>
    <w:rsid w:val="00784E8A"/>
    <w:rsid w:val="00785A33"/>
    <w:rsid w:val="00786892"/>
    <w:rsid w:val="00786E0B"/>
    <w:rsid w:val="00787EC2"/>
    <w:rsid w:val="0079351B"/>
    <w:rsid w:val="00793A82"/>
    <w:rsid w:val="007947AE"/>
    <w:rsid w:val="007949B9"/>
    <w:rsid w:val="007972E1"/>
    <w:rsid w:val="007A1D92"/>
    <w:rsid w:val="007A1DC6"/>
    <w:rsid w:val="007A3D27"/>
    <w:rsid w:val="007A5A28"/>
    <w:rsid w:val="007A6889"/>
    <w:rsid w:val="007A77C8"/>
    <w:rsid w:val="007A7CB6"/>
    <w:rsid w:val="007B1B11"/>
    <w:rsid w:val="007B1FDB"/>
    <w:rsid w:val="007B3640"/>
    <w:rsid w:val="007B4531"/>
    <w:rsid w:val="007B45FF"/>
    <w:rsid w:val="007B5F6D"/>
    <w:rsid w:val="007B718A"/>
    <w:rsid w:val="007B7DA9"/>
    <w:rsid w:val="007C046E"/>
    <w:rsid w:val="007C18C8"/>
    <w:rsid w:val="007C3639"/>
    <w:rsid w:val="007C386F"/>
    <w:rsid w:val="007C3C9C"/>
    <w:rsid w:val="007C52CC"/>
    <w:rsid w:val="007C6EE2"/>
    <w:rsid w:val="007D21CA"/>
    <w:rsid w:val="007D23F2"/>
    <w:rsid w:val="007D26BB"/>
    <w:rsid w:val="007D3CA2"/>
    <w:rsid w:val="007D6C4E"/>
    <w:rsid w:val="007E02F2"/>
    <w:rsid w:val="007E0DF0"/>
    <w:rsid w:val="007E1C27"/>
    <w:rsid w:val="007E228F"/>
    <w:rsid w:val="007E296A"/>
    <w:rsid w:val="007E478D"/>
    <w:rsid w:val="007E5DD8"/>
    <w:rsid w:val="007E660B"/>
    <w:rsid w:val="007F118A"/>
    <w:rsid w:val="007F20E4"/>
    <w:rsid w:val="007F2489"/>
    <w:rsid w:val="007F30C6"/>
    <w:rsid w:val="007F3FE7"/>
    <w:rsid w:val="007F4A38"/>
    <w:rsid w:val="007F4BF0"/>
    <w:rsid w:val="007F76A6"/>
    <w:rsid w:val="0080000D"/>
    <w:rsid w:val="00800182"/>
    <w:rsid w:val="00803C45"/>
    <w:rsid w:val="0080747A"/>
    <w:rsid w:val="00807AD7"/>
    <w:rsid w:val="00810A5D"/>
    <w:rsid w:val="00810A80"/>
    <w:rsid w:val="00810ACC"/>
    <w:rsid w:val="00810D03"/>
    <w:rsid w:val="008118BC"/>
    <w:rsid w:val="00812714"/>
    <w:rsid w:val="008127AB"/>
    <w:rsid w:val="00812930"/>
    <w:rsid w:val="008205DF"/>
    <w:rsid w:val="008206E0"/>
    <w:rsid w:val="00820B90"/>
    <w:rsid w:val="0082621E"/>
    <w:rsid w:val="00826F1F"/>
    <w:rsid w:val="0083309A"/>
    <w:rsid w:val="00833AA1"/>
    <w:rsid w:val="00834AD9"/>
    <w:rsid w:val="00835982"/>
    <w:rsid w:val="00835E19"/>
    <w:rsid w:val="00835F04"/>
    <w:rsid w:val="00837AFA"/>
    <w:rsid w:val="00841C45"/>
    <w:rsid w:val="00842CA3"/>
    <w:rsid w:val="00842DE8"/>
    <w:rsid w:val="00843E3C"/>
    <w:rsid w:val="008445EE"/>
    <w:rsid w:val="008445F5"/>
    <w:rsid w:val="008446FF"/>
    <w:rsid w:val="00845418"/>
    <w:rsid w:val="00845FDA"/>
    <w:rsid w:val="008460F5"/>
    <w:rsid w:val="00850E71"/>
    <w:rsid w:val="008515EA"/>
    <w:rsid w:val="0085191E"/>
    <w:rsid w:val="008521DE"/>
    <w:rsid w:val="0085519A"/>
    <w:rsid w:val="00857880"/>
    <w:rsid w:val="00857D01"/>
    <w:rsid w:val="008620F8"/>
    <w:rsid w:val="00862860"/>
    <w:rsid w:val="008642CB"/>
    <w:rsid w:val="008703E2"/>
    <w:rsid w:val="00871147"/>
    <w:rsid w:val="00871592"/>
    <w:rsid w:val="008729C1"/>
    <w:rsid w:val="008732F5"/>
    <w:rsid w:val="008759C8"/>
    <w:rsid w:val="00875A40"/>
    <w:rsid w:val="00875E9B"/>
    <w:rsid w:val="00876804"/>
    <w:rsid w:val="00877C2B"/>
    <w:rsid w:val="00880598"/>
    <w:rsid w:val="00881CA0"/>
    <w:rsid w:val="00881F06"/>
    <w:rsid w:val="0088228A"/>
    <w:rsid w:val="008827A6"/>
    <w:rsid w:val="00883255"/>
    <w:rsid w:val="0088392B"/>
    <w:rsid w:val="0088540C"/>
    <w:rsid w:val="0088555D"/>
    <w:rsid w:val="00886547"/>
    <w:rsid w:val="0088697C"/>
    <w:rsid w:val="008935CE"/>
    <w:rsid w:val="00893D85"/>
    <w:rsid w:val="00894F7E"/>
    <w:rsid w:val="008955F4"/>
    <w:rsid w:val="00895F00"/>
    <w:rsid w:val="00896956"/>
    <w:rsid w:val="008A0E55"/>
    <w:rsid w:val="008A11B8"/>
    <w:rsid w:val="008A134E"/>
    <w:rsid w:val="008A2519"/>
    <w:rsid w:val="008A4E13"/>
    <w:rsid w:val="008A5639"/>
    <w:rsid w:val="008A572E"/>
    <w:rsid w:val="008A6B6B"/>
    <w:rsid w:val="008A6DF6"/>
    <w:rsid w:val="008A7F52"/>
    <w:rsid w:val="008B230A"/>
    <w:rsid w:val="008B2442"/>
    <w:rsid w:val="008B352F"/>
    <w:rsid w:val="008B5D1F"/>
    <w:rsid w:val="008B5D4D"/>
    <w:rsid w:val="008B6088"/>
    <w:rsid w:val="008B68ED"/>
    <w:rsid w:val="008C0346"/>
    <w:rsid w:val="008C0674"/>
    <w:rsid w:val="008C0D39"/>
    <w:rsid w:val="008C0FE3"/>
    <w:rsid w:val="008C1C94"/>
    <w:rsid w:val="008C2711"/>
    <w:rsid w:val="008C3B57"/>
    <w:rsid w:val="008C5DDB"/>
    <w:rsid w:val="008C6076"/>
    <w:rsid w:val="008D2647"/>
    <w:rsid w:val="008D30E6"/>
    <w:rsid w:val="008D4BAE"/>
    <w:rsid w:val="008D512A"/>
    <w:rsid w:val="008D51A0"/>
    <w:rsid w:val="008D5301"/>
    <w:rsid w:val="008D74DA"/>
    <w:rsid w:val="008D7AF9"/>
    <w:rsid w:val="008E0BD4"/>
    <w:rsid w:val="008E475F"/>
    <w:rsid w:val="008E4CC7"/>
    <w:rsid w:val="008E4D8B"/>
    <w:rsid w:val="008E5625"/>
    <w:rsid w:val="008E572E"/>
    <w:rsid w:val="008E781D"/>
    <w:rsid w:val="008E7C53"/>
    <w:rsid w:val="008F0E28"/>
    <w:rsid w:val="008F2024"/>
    <w:rsid w:val="008F3AE6"/>
    <w:rsid w:val="008F4821"/>
    <w:rsid w:val="008F4A7B"/>
    <w:rsid w:val="00901586"/>
    <w:rsid w:val="00902AD8"/>
    <w:rsid w:val="00902FB6"/>
    <w:rsid w:val="00905A1C"/>
    <w:rsid w:val="00905AC7"/>
    <w:rsid w:val="0090627C"/>
    <w:rsid w:val="00911274"/>
    <w:rsid w:val="00913A06"/>
    <w:rsid w:val="00914E74"/>
    <w:rsid w:val="00914FF1"/>
    <w:rsid w:val="00915345"/>
    <w:rsid w:val="0092264A"/>
    <w:rsid w:val="00925186"/>
    <w:rsid w:val="00927C85"/>
    <w:rsid w:val="00930FE5"/>
    <w:rsid w:val="00931AB6"/>
    <w:rsid w:val="009321C2"/>
    <w:rsid w:val="0093340F"/>
    <w:rsid w:val="00936D8C"/>
    <w:rsid w:val="00937E83"/>
    <w:rsid w:val="00940F45"/>
    <w:rsid w:val="00942F13"/>
    <w:rsid w:val="009435A0"/>
    <w:rsid w:val="00944EF5"/>
    <w:rsid w:val="009453CD"/>
    <w:rsid w:val="009460D0"/>
    <w:rsid w:val="00946361"/>
    <w:rsid w:val="00946AF5"/>
    <w:rsid w:val="00946FAA"/>
    <w:rsid w:val="00950891"/>
    <w:rsid w:val="00951BDB"/>
    <w:rsid w:val="009533D5"/>
    <w:rsid w:val="00953981"/>
    <w:rsid w:val="00954500"/>
    <w:rsid w:val="00956068"/>
    <w:rsid w:val="00957E9B"/>
    <w:rsid w:val="00960879"/>
    <w:rsid w:val="00963814"/>
    <w:rsid w:val="00963D27"/>
    <w:rsid w:val="009640C8"/>
    <w:rsid w:val="00964271"/>
    <w:rsid w:val="00965FE4"/>
    <w:rsid w:val="00967390"/>
    <w:rsid w:val="00967DDB"/>
    <w:rsid w:val="009713C4"/>
    <w:rsid w:val="00971DDC"/>
    <w:rsid w:val="009743C4"/>
    <w:rsid w:val="0097729C"/>
    <w:rsid w:val="00982342"/>
    <w:rsid w:val="00982713"/>
    <w:rsid w:val="00982FE5"/>
    <w:rsid w:val="0098341C"/>
    <w:rsid w:val="00984205"/>
    <w:rsid w:val="0098427A"/>
    <w:rsid w:val="0098470C"/>
    <w:rsid w:val="00985DCD"/>
    <w:rsid w:val="00985FDF"/>
    <w:rsid w:val="00986B23"/>
    <w:rsid w:val="00990E21"/>
    <w:rsid w:val="00994183"/>
    <w:rsid w:val="0099522D"/>
    <w:rsid w:val="00995483"/>
    <w:rsid w:val="00996304"/>
    <w:rsid w:val="00996DC9"/>
    <w:rsid w:val="0099717A"/>
    <w:rsid w:val="009978A9"/>
    <w:rsid w:val="00997FCE"/>
    <w:rsid w:val="009A21A8"/>
    <w:rsid w:val="009A2729"/>
    <w:rsid w:val="009A32C4"/>
    <w:rsid w:val="009A33EA"/>
    <w:rsid w:val="009A56A4"/>
    <w:rsid w:val="009A6669"/>
    <w:rsid w:val="009A7E85"/>
    <w:rsid w:val="009B0600"/>
    <w:rsid w:val="009B100E"/>
    <w:rsid w:val="009B1350"/>
    <w:rsid w:val="009B14B5"/>
    <w:rsid w:val="009B2E8C"/>
    <w:rsid w:val="009B3222"/>
    <w:rsid w:val="009B5E11"/>
    <w:rsid w:val="009B62D6"/>
    <w:rsid w:val="009B69AB"/>
    <w:rsid w:val="009B6B9E"/>
    <w:rsid w:val="009B79CA"/>
    <w:rsid w:val="009C0EB5"/>
    <w:rsid w:val="009C3313"/>
    <w:rsid w:val="009C5AEC"/>
    <w:rsid w:val="009C6FDA"/>
    <w:rsid w:val="009D12AF"/>
    <w:rsid w:val="009D1F7D"/>
    <w:rsid w:val="009D43A5"/>
    <w:rsid w:val="009D6952"/>
    <w:rsid w:val="009D6F02"/>
    <w:rsid w:val="009E07FC"/>
    <w:rsid w:val="009E08F1"/>
    <w:rsid w:val="009E0A7D"/>
    <w:rsid w:val="009E3EB0"/>
    <w:rsid w:val="009E3F4F"/>
    <w:rsid w:val="009E5FF3"/>
    <w:rsid w:val="009E64CC"/>
    <w:rsid w:val="009E7F0C"/>
    <w:rsid w:val="009F0276"/>
    <w:rsid w:val="009F0A9A"/>
    <w:rsid w:val="009F0AF2"/>
    <w:rsid w:val="009F0E26"/>
    <w:rsid w:val="009F0F03"/>
    <w:rsid w:val="009F40B0"/>
    <w:rsid w:val="009F4279"/>
    <w:rsid w:val="009F51A2"/>
    <w:rsid w:val="009F5C59"/>
    <w:rsid w:val="009F63FB"/>
    <w:rsid w:val="00A00154"/>
    <w:rsid w:val="00A0023E"/>
    <w:rsid w:val="00A00932"/>
    <w:rsid w:val="00A023AB"/>
    <w:rsid w:val="00A0441E"/>
    <w:rsid w:val="00A04739"/>
    <w:rsid w:val="00A0540B"/>
    <w:rsid w:val="00A06790"/>
    <w:rsid w:val="00A10D72"/>
    <w:rsid w:val="00A10F63"/>
    <w:rsid w:val="00A12064"/>
    <w:rsid w:val="00A13CF3"/>
    <w:rsid w:val="00A14898"/>
    <w:rsid w:val="00A17135"/>
    <w:rsid w:val="00A20734"/>
    <w:rsid w:val="00A21FBA"/>
    <w:rsid w:val="00A22896"/>
    <w:rsid w:val="00A2328B"/>
    <w:rsid w:val="00A24ABA"/>
    <w:rsid w:val="00A256A3"/>
    <w:rsid w:val="00A263AB"/>
    <w:rsid w:val="00A27B92"/>
    <w:rsid w:val="00A304FC"/>
    <w:rsid w:val="00A3220E"/>
    <w:rsid w:val="00A3279B"/>
    <w:rsid w:val="00A33368"/>
    <w:rsid w:val="00A3375B"/>
    <w:rsid w:val="00A35C49"/>
    <w:rsid w:val="00A36D88"/>
    <w:rsid w:val="00A418F1"/>
    <w:rsid w:val="00A41908"/>
    <w:rsid w:val="00A4217B"/>
    <w:rsid w:val="00A4225A"/>
    <w:rsid w:val="00A427C1"/>
    <w:rsid w:val="00A42F14"/>
    <w:rsid w:val="00A45BD2"/>
    <w:rsid w:val="00A46957"/>
    <w:rsid w:val="00A4786C"/>
    <w:rsid w:val="00A50505"/>
    <w:rsid w:val="00A50BE0"/>
    <w:rsid w:val="00A51116"/>
    <w:rsid w:val="00A51D92"/>
    <w:rsid w:val="00A52C66"/>
    <w:rsid w:val="00A52CDD"/>
    <w:rsid w:val="00A531BA"/>
    <w:rsid w:val="00A56F35"/>
    <w:rsid w:val="00A60A71"/>
    <w:rsid w:val="00A670D1"/>
    <w:rsid w:val="00A70F15"/>
    <w:rsid w:val="00A71572"/>
    <w:rsid w:val="00A724EB"/>
    <w:rsid w:val="00A72D8B"/>
    <w:rsid w:val="00A73E09"/>
    <w:rsid w:val="00A75144"/>
    <w:rsid w:val="00A77511"/>
    <w:rsid w:val="00A81951"/>
    <w:rsid w:val="00A823BD"/>
    <w:rsid w:val="00A82420"/>
    <w:rsid w:val="00A82460"/>
    <w:rsid w:val="00A82B6E"/>
    <w:rsid w:val="00A83C3D"/>
    <w:rsid w:val="00A83D34"/>
    <w:rsid w:val="00A84713"/>
    <w:rsid w:val="00A8496E"/>
    <w:rsid w:val="00A8512B"/>
    <w:rsid w:val="00A8630A"/>
    <w:rsid w:val="00A9004B"/>
    <w:rsid w:val="00A90F30"/>
    <w:rsid w:val="00A90F34"/>
    <w:rsid w:val="00A91C59"/>
    <w:rsid w:val="00A92297"/>
    <w:rsid w:val="00A923C3"/>
    <w:rsid w:val="00A92853"/>
    <w:rsid w:val="00A937B0"/>
    <w:rsid w:val="00A93D22"/>
    <w:rsid w:val="00A94216"/>
    <w:rsid w:val="00A9434C"/>
    <w:rsid w:val="00A9684A"/>
    <w:rsid w:val="00A972DB"/>
    <w:rsid w:val="00AA1395"/>
    <w:rsid w:val="00AA1716"/>
    <w:rsid w:val="00AA1AB5"/>
    <w:rsid w:val="00AA1B78"/>
    <w:rsid w:val="00AA4397"/>
    <w:rsid w:val="00AA4BF8"/>
    <w:rsid w:val="00AA5059"/>
    <w:rsid w:val="00AA5421"/>
    <w:rsid w:val="00AA6349"/>
    <w:rsid w:val="00AA7334"/>
    <w:rsid w:val="00AA7CDE"/>
    <w:rsid w:val="00AB101C"/>
    <w:rsid w:val="00AB2735"/>
    <w:rsid w:val="00AC2699"/>
    <w:rsid w:val="00AC342B"/>
    <w:rsid w:val="00AC3840"/>
    <w:rsid w:val="00AC3A6A"/>
    <w:rsid w:val="00AC4294"/>
    <w:rsid w:val="00AC48F0"/>
    <w:rsid w:val="00AC5491"/>
    <w:rsid w:val="00AC5A3D"/>
    <w:rsid w:val="00AC7936"/>
    <w:rsid w:val="00AC7D80"/>
    <w:rsid w:val="00AD0DF3"/>
    <w:rsid w:val="00AD1061"/>
    <w:rsid w:val="00AD21BD"/>
    <w:rsid w:val="00AD30A5"/>
    <w:rsid w:val="00AD480C"/>
    <w:rsid w:val="00AD5093"/>
    <w:rsid w:val="00AD6528"/>
    <w:rsid w:val="00AD7C16"/>
    <w:rsid w:val="00AD7F20"/>
    <w:rsid w:val="00AE019F"/>
    <w:rsid w:val="00AE02A0"/>
    <w:rsid w:val="00AE0513"/>
    <w:rsid w:val="00AE11D1"/>
    <w:rsid w:val="00AE3DEB"/>
    <w:rsid w:val="00AE44A7"/>
    <w:rsid w:val="00AE674A"/>
    <w:rsid w:val="00AE748F"/>
    <w:rsid w:val="00AE7574"/>
    <w:rsid w:val="00AF00D8"/>
    <w:rsid w:val="00AF0A76"/>
    <w:rsid w:val="00AF0DA7"/>
    <w:rsid w:val="00AF10DF"/>
    <w:rsid w:val="00AF168F"/>
    <w:rsid w:val="00AF3240"/>
    <w:rsid w:val="00AF3415"/>
    <w:rsid w:val="00AF6ED2"/>
    <w:rsid w:val="00B013E5"/>
    <w:rsid w:val="00B02AF7"/>
    <w:rsid w:val="00B03120"/>
    <w:rsid w:val="00B03F5E"/>
    <w:rsid w:val="00B069E4"/>
    <w:rsid w:val="00B10BAC"/>
    <w:rsid w:val="00B132E2"/>
    <w:rsid w:val="00B14AB5"/>
    <w:rsid w:val="00B15167"/>
    <w:rsid w:val="00B16AC7"/>
    <w:rsid w:val="00B1766E"/>
    <w:rsid w:val="00B20159"/>
    <w:rsid w:val="00B20C97"/>
    <w:rsid w:val="00B24A90"/>
    <w:rsid w:val="00B26BF9"/>
    <w:rsid w:val="00B271EA"/>
    <w:rsid w:val="00B3000B"/>
    <w:rsid w:val="00B30563"/>
    <w:rsid w:val="00B30E19"/>
    <w:rsid w:val="00B32556"/>
    <w:rsid w:val="00B34279"/>
    <w:rsid w:val="00B359CE"/>
    <w:rsid w:val="00B36FF3"/>
    <w:rsid w:val="00B37460"/>
    <w:rsid w:val="00B402B8"/>
    <w:rsid w:val="00B44327"/>
    <w:rsid w:val="00B467AA"/>
    <w:rsid w:val="00B47273"/>
    <w:rsid w:val="00B53EC8"/>
    <w:rsid w:val="00B5587A"/>
    <w:rsid w:val="00B5638E"/>
    <w:rsid w:val="00B56B8C"/>
    <w:rsid w:val="00B600CB"/>
    <w:rsid w:val="00B60617"/>
    <w:rsid w:val="00B610D1"/>
    <w:rsid w:val="00B6220A"/>
    <w:rsid w:val="00B626CE"/>
    <w:rsid w:val="00B65A76"/>
    <w:rsid w:val="00B664C8"/>
    <w:rsid w:val="00B67661"/>
    <w:rsid w:val="00B7013F"/>
    <w:rsid w:val="00B71593"/>
    <w:rsid w:val="00B71B88"/>
    <w:rsid w:val="00B71C0A"/>
    <w:rsid w:val="00B7293E"/>
    <w:rsid w:val="00B7498A"/>
    <w:rsid w:val="00B74DA1"/>
    <w:rsid w:val="00B75944"/>
    <w:rsid w:val="00B75FB6"/>
    <w:rsid w:val="00B77427"/>
    <w:rsid w:val="00B82333"/>
    <w:rsid w:val="00B82F81"/>
    <w:rsid w:val="00B84279"/>
    <w:rsid w:val="00B84ACB"/>
    <w:rsid w:val="00B855D2"/>
    <w:rsid w:val="00B876BE"/>
    <w:rsid w:val="00B92055"/>
    <w:rsid w:val="00B92843"/>
    <w:rsid w:val="00B93F87"/>
    <w:rsid w:val="00B949B7"/>
    <w:rsid w:val="00B94BE7"/>
    <w:rsid w:val="00B94C90"/>
    <w:rsid w:val="00B967B3"/>
    <w:rsid w:val="00B96A01"/>
    <w:rsid w:val="00B96BEF"/>
    <w:rsid w:val="00BA04E7"/>
    <w:rsid w:val="00BA145C"/>
    <w:rsid w:val="00BA18F1"/>
    <w:rsid w:val="00BA2FCB"/>
    <w:rsid w:val="00BA3084"/>
    <w:rsid w:val="00BA6826"/>
    <w:rsid w:val="00BA7760"/>
    <w:rsid w:val="00BB05DC"/>
    <w:rsid w:val="00BB17B0"/>
    <w:rsid w:val="00BB2DC3"/>
    <w:rsid w:val="00BB4511"/>
    <w:rsid w:val="00BC047F"/>
    <w:rsid w:val="00BC0ABD"/>
    <w:rsid w:val="00BC0F84"/>
    <w:rsid w:val="00BC1147"/>
    <w:rsid w:val="00BC263C"/>
    <w:rsid w:val="00BC2A1E"/>
    <w:rsid w:val="00BC2BDE"/>
    <w:rsid w:val="00BC35D6"/>
    <w:rsid w:val="00BC4F5A"/>
    <w:rsid w:val="00BC631D"/>
    <w:rsid w:val="00BC69F4"/>
    <w:rsid w:val="00BC7D64"/>
    <w:rsid w:val="00BD001B"/>
    <w:rsid w:val="00BD0731"/>
    <w:rsid w:val="00BD0B64"/>
    <w:rsid w:val="00BD0FDC"/>
    <w:rsid w:val="00BD3CE7"/>
    <w:rsid w:val="00BD576C"/>
    <w:rsid w:val="00BD620D"/>
    <w:rsid w:val="00BD65A6"/>
    <w:rsid w:val="00BD66D5"/>
    <w:rsid w:val="00BE12D3"/>
    <w:rsid w:val="00BE2316"/>
    <w:rsid w:val="00BE2460"/>
    <w:rsid w:val="00BE2A54"/>
    <w:rsid w:val="00BE5750"/>
    <w:rsid w:val="00BF3A69"/>
    <w:rsid w:val="00BF3DB8"/>
    <w:rsid w:val="00BF4C91"/>
    <w:rsid w:val="00BF7E1D"/>
    <w:rsid w:val="00C0082D"/>
    <w:rsid w:val="00C015E5"/>
    <w:rsid w:val="00C01874"/>
    <w:rsid w:val="00C03716"/>
    <w:rsid w:val="00C03F1C"/>
    <w:rsid w:val="00C054FD"/>
    <w:rsid w:val="00C059AA"/>
    <w:rsid w:val="00C137A2"/>
    <w:rsid w:val="00C1417D"/>
    <w:rsid w:val="00C1730D"/>
    <w:rsid w:val="00C17DBC"/>
    <w:rsid w:val="00C207E7"/>
    <w:rsid w:val="00C20879"/>
    <w:rsid w:val="00C20AF6"/>
    <w:rsid w:val="00C20D98"/>
    <w:rsid w:val="00C213C4"/>
    <w:rsid w:val="00C21BAD"/>
    <w:rsid w:val="00C2364D"/>
    <w:rsid w:val="00C24E18"/>
    <w:rsid w:val="00C2512C"/>
    <w:rsid w:val="00C26601"/>
    <w:rsid w:val="00C32DB7"/>
    <w:rsid w:val="00C34C4F"/>
    <w:rsid w:val="00C3659F"/>
    <w:rsid w:val="00C4143C"/>
    <w:rsid w:val="00C41B8A"/>
    <w:rsid w:val="00C426B4"/>
    <w:rsid w:val="00C429BD"/>
    <w:rsid w:val="00C42D78"/>
    <w:rsid w:val="00C43B58"/>
    <w:rsid w:val="00C45071"/>
    <w:rsid w:val="00C45F23"/>
    <w:rsid w:val="00C47178"/>
    <w:rsid w:val="00C50B0E"/>
    <w:rsid w:val="00C514A5"/>
    <w:rsid w:val="00C5156B"/>
    <w:rsid w:val="00C516D0"/>
    <w:rsid w:val="00C521BC"/>
    <w:rsid w:val="00C55186"/>
    <w:rsid w:val="00C55B05"/>
    <w:rsid w:val="00C57485"/>
    <w:rsid w:val="00C63C1D"/>
    <w:rsid w:val="00C640F8"/>
    <w:rsid w:val="00C72966"/>
    <w:rsid w:val="00C73C70"/>
    <w:rsid w:val="00C74198"/>
    <w:rsid w:val="00C76E90"/>
    <w:rsid w:val="00C7733A"/>
    <w:rsid w:val="00C80023"/>
    <w:rsid w:val="00C80079"/>
    <w:rsid w:val="00C8072B"/>
    <w:rsid w:val="00C83BC9"/>
    <w:rsid w:val="00C85260"/>
    <w:rsid w:val="00C87A64"/>
    <w:rsid w:val="00C90769"/>
    <w:rsid w:val="00C90F59"/>
    <w:rsid w:val="00C933E1"/>
    <w:rsid w:val="00C93F86"/>
    <w:rsid w:val="00C951A6"/>
    <w:rsid w:val="00CA116D"/>
    <w:rsid w:val="00CA166D"/>
    <w:rsid w:val="00CA30A4"/>
    <w:rsid w:val="00CA3334"/>
    <w:rsid w:val="00CA3443"/>
    <w:rsid w:val="00CA35D4"/>
    <w:rsid w:val="00CA4387"/>
    <w:rsid w:val="00CA5743"/>
    <w:rsid w:val="00CA59AC"/>
    <w:rsid w:val="00CA688E"/>
    <w:rsid w:val="00CA6F7E"/>
    <w:rsid w:val="00CB09DB"/>
    <w:rsid w:val="00CB2CF9"/>
    <w:rsid w:val="00CB507B"/>
    <w:rsid w:val="00CC17CA"/>
    <w:rsid w:val="00CC2D4A"/>
    <w:rsid w:val="00CC2D72"/>
    <w:rsid w:val="00CC2F5B"/>
    <w:rsid w:val="00CC5AC5"/>
    <w:rsid w:val="00CC60E3"/>
    <w:rsid w:val="00CC76C9"/>
    <w:rsid w:val="00CC7CB7"/>
    <w:rsid w:val="00CD08FD"/>
    <w:rsid w:val="00CD3B34"/>
    <w:rsid w:val="00CD4426"/>
    <w:rsid w:val="00CD47FC"/>
    <w:rsid w:val="00CD4A8C"/>
    <w:rsid w:val="00CD5A01"/>
    <w:rsid w:val="00CD5AEE"/>
    <w:rsid w:val="00CD5F0F"/>
    <w:rsid w:val="00CE0055"/>
    <w:rsid w:val="00CE03B6"/>
    <w:rsid w:val="00CE199F"/>
    <w:rsid w:val="00CE24D5"/>
    <w:rsid w:val="00CE2E88"/>
    <w:rsid w:val="00CE4834"/>
    <w:rsid w:val="00CE4A41"/>
    <w:rsid w:val="00CE4B70"/>
    <w:rsid w:val="00CE4D49"/>
    <w:rsid w:val="00CE4D4A"/>
    <w:rsid w:val="00CE52C3"/>
    <w:rsid w:val="00CE7A3D"/>
    <w:rsid w:val="00CE7BA3"/>
    <w:rsid w:val="00CF0612"/>
    <w:rsid w:val="00CF0C7D"/>
    <w:rsid w:val="00CF194D"/>
    <w:rsid w:val="00CF2B7A"/>
    <w:rsid w:val="00CF5807"/>
    <w:rsid w:val="00CF58C4"/>
    <w:rsid w:val="00CF69BC"/>
    <w:rsid w:val="00CF7008"/>
    <w:rsid w:val="00D00423"/>
    <w:rsid w:val="00D005A1"/>
    <w:rsid w:val="00D01E02"/>
    <w:rsid w:val="00D034F1"/>
    <w:rsid w:val="00D03E0D"/>
    <w:rsid w:val="00D06745"/>
    <w:rsid w:val="00D078AD"/>
    <w:rsid w:val="00D11356"/>
    <w:rsid w:val="00D125D8"/>
    <w:rsid w:val="00D14DB4"/>
    <w:rsid w:val="00D1540A"/>
    <w:rsid w:val="00D174D4"/>
    <w:rsid w:val="00D21233"/>
    <w:rsid w:val="00D2180A"/>
    <w:rsid w:val="00D21A65"/>
    <w:rsid w:val="00D21DD5"/>
    <w:rsid w:val="00D23127"/>
    <w:rsid w:val="00D2432F"/>
    <w:rsid w:val="00D2442A"/>
    <w:rsid w:val="00D26F72"/>
    <w:rsid w:val="00D27383"/>
    <w:rsid w:val="00D306DC"/>
    <w:rsid w:val="00D30ABA"/>
    <w:rsid w:val="00D3428B"/>
    <w:rsid w:val="00D34A54"/>
    <w:rsid w:val="00D360DA"/>
    <w:rsid w:val="00D4192A"/>
    <w:rsid w:val="00D42B01"/>
    <w:rsid w:val="00D42E7A"/>
    <w:rsid w:val="00D45843"/>
    <w:rsid w:val="00D5314C"/>
    <w:rsid w:val="00D548FC"/>
    <w:rsid w:val="00D54A46"/>
    <w:rsid w:val="00D54B07"/>
    <w:rsid w:val="00D56ED2"/>
    <w:rsid w:val="00D60F00"/>
    <w:rsid w:val="00D610D6"/>
    <w:rsid w:val="00D61296"/>
    <w:rsid w:val="00D6549A"/>
    <w:rsid w:val="00D65686"/>
    <w:rsid w:val="00D65FEF"/>
    <w:rsid w:val="00D7037A"/>
    <w:rsid w:val="00D71D94"/>
    <w:rsid w:val="00D71EB1"/>
    <w:rsid w:val="00D72441"/>
    <w:rsid w:val="00D72C7B"/>
    <w:rsid w:val="00D73082"/>
    <w:rsid w:val="00D7334F"/>
    <w:rsid w:val="00D73DB4"/>
    <w:rsid w:val="00D74B30"/>
    <w:rsid w:val="00D7693E"/>
    <w:rsid w:val="00D77146"/>
    <w:rsid w:val="00D80156"/>
    <w:rsid w:val="00D80AC3"/>
    <w:rsid w:val="00D826EC"/>
    <w:rsid w:val="00D8297A"/>
    <w:rsid w:val="00D83D46"/>
    <w:rsid w:val="00D83EE5"/>
    <w:rsid w:val="00D86BFA"/>
    <w:rsid w:val="00D904A8"/>
    <w:rsid w:val="00D912A9"/>
    <w:rsid w:val="00D91973"/>
    <w:rsid w:val="00D929F6"/>
    <w:rsid w:val="00D937AB"/>
    <w:rsid w:val="00D937E2"/>
    <w:rsid w:val="00D94A7A"/>
    <w:rsid w:val="00D950F8"/>
    <w:rsid w:val="00D95169"/>
    <w:rsid w:val="00D954DE"/>
    <w:rsid w:val="00D97CD6"/>
    <w:rsid w:val="00DA0E89"/>
    <w:rsid w:val="00DA3C89"/>
    <w:rsid w:val="00DA3F02"/>
    <w:rsid w:val="00DA41F4"/>
    <w:rsid w:val="00DA4202"/>
    <w:rsid w:val="00DB0152"/>
    <w:rsid w:val="00DB0816"/>
    <w:rsid w:val="00DB4D04"/>
    <w:rsid w:val="00DB6F3A"/>
    <w:rsid w:val="00DB7BF8"/>
    <w:rsid w:val="00DC1167"/>
    <w:rsid w:val="00DC22C3"/>
    <w:rsid w:val="00DC295A"/>
    <w:rsid w:val="00DC2B1A"/>
    <w:rsid w:val="00DC3A93"/>
    <w:rsid w:val="00DC3C9D"/>
    <w:rsid w:val="00DC48EB"/>
    <w:rsid w:val="00DC4E6A"/>
    <w:rsid w:val="00DD1243"/>
    <w:rsid w:val="00DD30A3"/>
    <w:rsid w:val="00DD3CFA"/>
    <w:rsid w:val="00DD438F"/>
    <w:rsid w:val="00DD58AF"/>
    <w:rsid w:val="00DD72AA"/>
    <w:rsid w:val="00DD7856"/>
    <w:rsid w:val="00DE0129"/>
    <w:rsid w:val="00DE05DA"/>
    <w:rsid w:val="00DE0A50"/>
    <w:rsid w:val="00DE0EC8"/>
    <w:rsid w:val="00DE1E54"/>
    <w:rsid w:val="00DE4ADF"/>
    <w:rsid w:val="00DE6D1F"/>
    <w:rsid w:val="00DE6F41"/>
    <w:rsid w:val="00DE7D83"/>
    <w:rsid w:val="00DF233D"/>
    <w:rsid w:val="00DF463F"/>
    <w:rsid w:val="00DF52D3"/>
    <w:rsid w:val="00DF551F"/>
    <w:rsid w:val="00DF5931"/>
    <w:rsid w:val="00DF694E"/>
    <w:rsid w:val="00DF70DE"/>
    <w:rsid w:val="00E053AF"/>
    <w:rsid w:val="00E06697"/>
    <w:rsid w:val="00E079B2"/>
    <w:rsid w:val="00E116AE"/>
    <w:rsid w:val="00E11B03"/>
    <w:rsid w:val="00E11B98"/>
    <w:rsid w:val="00E11CCC"/>
    <w:rsid w:val="00E12092"/>
    <w:rsid w:val="00E13E20"/>
    <w:rsid w:val="00E1590F"/>
    <w:rsid w:val="00E179AC"/>
    <w:rsid w:val="00E25101"/>
    <w:rsid w:val="00E32994"/>
    <w:rsid w:val="00E339BA"/>
    <w:rsid w:val="00E364D6"/>
    <w:rsid w:val="00E3751C"/>
    <w:rsid w:val="00E40BD5"/>
    <w:rsid w:val="00E41C4B"/>
    <w:rsid w:val="00E41D09"/>
    <w:rsid w:val="00E41ECB"/>
    <w:rsid w:val="00E429E2"/>
    <w:rsid w:val="00E42B2A"/>
    <w:rsid w:val="00E43037"/>
    <w:rsid w:val="00E45D8C"/>
    <w:rsid w:val="00E46F7E"/>
    <w:rsid w:val="00E5067B"/>
    <w:rsid w:val="00E507D9"/>
    <w:rsid w:val="00E50C6F"/>
    <w:rsid w:val="00E5114A"/>
    <w:rsid w:val="00E5181B"/>
    <w:rsid w:val="00E55022"/>
    <w:rsid w:val="00E559EA"/>
    <w:rsid w:val="00E61D78"/>
    <w:rsid w:val="00E63721"/>
    <w:rsid w:val="00E6506D"/>
    <w:rsid w:val="00E65F52"/>
    <w:rsid w:val="00E6691C"/>
    <w:rsid w:val="00E67E04"/>
    <w:rsid w:val="00E67E72"/>
    <w:rsid w:val="00E72BC8"/>
    <w:rsid w:val="00E73C4B"/>
    <w:rsid w:val="00E74BC7"/>
    <w:rsid w:val="00E7518C"/>
    <w:rsid w:val="00E75747"/>
    <w:rsid w:val="00E75CA9"/>
    <w:rsid w:val="00E76714"/>
    <w:rsid w:val="00E807EC"/>
    <w:rsid w:val="00E81495"/>
    <w:rsid w:val="00E82EEF"/>
    <w:rsid w:val="00E84992"/>
    <w:rsid w:val="00E86EAC"/>
    <w:rsid w:val="00E90ED9"/>
    <w:rsid w:val="00E92659"/>
    <w:rsid w:val="00E9492A"/>
    <w:rsid w:val="00E9682B"/>
    <w:rsid w:val="00E97D37"/>
    <w:rsid w:val="00EA2236"/>
    <w:rsid w:val="00EA3D91"/>
    <w:rsid w:val="00EA4C0B"/>
    <w:rsid w:val="00EA4C41"/>
    <w:rsid w:val="00EA4FFD"/>
    <w:rsid w:val="00EA5842"/>
    <w:rsid w:val="00EA5D47"/>
    <w:rsid w:val="00EA6269"/>
    <w:rsid w:val="00EA77FB"/>
    <w:rsid w:val="00EA7E1F"/>
    <w:rsid w:val="00EB04F5"/>
    <w:rsid w:val="00EB0C6A"/>
    <w:rsid w:val="00EB187D"/>
    <w:rsid w:val="00EB188D"/>
    <w:rsid w:val="00EB33EE"/>
    <w:rsid w:val="00EB5F77"/>
    <w:rsid w:val="00EB6ECF"/>
    <w:rsid w:val="00EC032A"/>
    <w:rsid w:val="00EC0476"/>
    <w:rsid w:val="00EC0B0B"/>
    <w:rsid w:val="00EC149C"/>
    <w:rsid w:val="00EC55DF"/>
    <w:rsid w:val="00EC65D8"/>
    <w:rsid w:val="00EC6948"/>
    <w:rsid w:val="00EC6E93"/>
    <w:rsid w:val="00ED3971"/>
    <w:rsid w:val="00ED4C97"/>
    <w:rsid w:val="00ED55A9"/>
    <w:rsid w:val="00ED7BBA"/>
    <w:rsid w:val="00EE07E2"/>
    <w:rsid w:val="00EE0A11"/>
    <w:rsid w:val="00EE15B9"/>
    <w:rsid w:val="00EE1630"/>
    <w:rsid w:val="00EE218A"/>
    <w:rsid w:val="00EE500A"/>
    <w:rsid w:val="00EE5428"/>
    <w:rsid w:val="00EE6CF3"/>
    <w:rsid w:val="00EF01B0"/>
    <w:rsid w:val="00EF2FDE"/>
    <w:rsid w:val="00EF3A67"/>
    <w:rsid w:val="00EF5080"/>
    <w:rsid w:val="00EF5426"/>
    <w:rsid w:val="00EF57EE"/>
    <w:rsid w:val="00EF5A06"/>
    <w:rsid w:val="00EF5C7D"/>
    <w:rsid w:val="00EF5DD9"/>
    <w:rsid w:val="00EF5FE3"/>
    <w:rsid w:val="00EF652A"/>
    <w:rsid w:val="00EF7FA9"/>
    <w:rsid w:val="00F001A2"/>
    <w:rsid w:val="00F003FD"/>
    <w:rsid w:val="00F00B75"/>
    <w:rsid w:val="00F05DD5"/>
    <w:rsid w:val="00F10D9A"/>
    <w:rsid w:val="00F1108F"/>
    <w:rsid w:val="00F12E91"/>
    <w:rsid w:val="00F151BA"/>
    <w:rsid w:val="00F16877"/>
    <w:rsid w:val="00F20AEE"/>
    <w:rsid w:val="00F20DBF"/>
    <w:rsid w:val="00F211E7"/>
    <w:rsid w:val="00F2124F"/>
    <w:rsid w:val="00F21A3B"/>
    <w:rsid w:val="00F21D27"/>
    <w:rsid w:val="00F22E9B"/>
    <w:rsid w:val="00F2429F"/>
    <w:rsid w:val="00F24505"/>
    <w:rsid w:val="00F2467D"/>
    <w:rsid w:val="00F25062"/>
    <w:rsid w:val="00F25DE8"/>
    <w:rsid w:val="00F2655F"/>
    <w:rsid w:val="00F269C3"/>
    <w:rsid w:val="00F31CE0"/>
    <w:rsid w:val="00F31DD8"/>
    <w:rsid w:val="00F334AB"/>
    <w:rsid w:val="00F36CA8"/>
    <w:rsid w:val="00F4178D"/>
    <w:rsid w:val="00F4219E"/>
    <w:rsid w:val="00F4796B"/>
    <w:rsid w:val="00F56352"/>
    <w:rsid w:val="00F56674"/>
    <w:rsid w:val="00F571D8"/>
    <w:rsid w:val="00F57480"/>
    <w:rsid w:val="00F6036F"/>
    <w:rsid w:val="00F60579"/>
    <w:rsid w:val="00F639F5"/>
    <w:rsid w:val="00F65A4D"/>
    <w:rsid w:val="00F65C88"/>
    <w:rsid w:val="00F700C6"/>
    <w:rsid w:val="00F70877"/>
    <w:rsid w:val="00F70D3B"/>
    <w:rsid w:val="00F713B7"/>
    <w:rsid w:val="00F71D51"/>
    <w:rsid w:val="00F72537"/>
    <w:rsid w:val="00F735D8"/>
    <w:rsid w:val="00F774BF"/>
    <w:rsid w:val="00F77913"/>
    <w:rsid w:val="00F80320"/>
    <w:rsid w:val="00F80593"/>
    <w:rsid w:val="00F824F9"/>
    <w:rsid w:val="00F82674"/>
    <w:rsid w:val="00F934E9"/>
    <w:rsid w:val="00F96F24"/>
    <w:rsid w:val="00FA021F"/>
    <w:rsid w:val="00FA4A81"/>
    <w:rsid w:val="00FA62B6"/>
    <w:rsid w:val="00FA6703"/>
    <w:rsid w:val="00FA6758"/>
    <w:rsid w:val="00FA762D"/>
    <w:rsid w:val="00FA77F9"/>
    <w:rsid w:val="00FB02D2"/>
    <w:rsid w:val="00FB153B"/>
    <w:rsid w:val="00FB1A19"/>
    <w:rsid w:val="00FB3330"/>
    <w:rsid w:val="00FB337F"/>
    <w:rsid w:val="00FB3DD1"/>
    <w:rsid w:val="00FB6378"/>
    <w:rsid w:val="00FB648A"/>
    <w:rsid w:val="00FB74A5"/>
    <w:rsid w:val="00FC20CF"/>
    <w:rsid w:val="00FC36F2"/>
    <w:rsid w:val="00FC7158"/>
    <w:rsid w:val="00FC7DC9"/>
    <w:rsid w:val="00FD0E83"/>
    <w:rsid w:val="00FD17D5"/>
    <w:rsid w:val="00FD49C1"/>
    <w:rsid w:val="00FD4BA6"/>
    <w:rsid w:val="00FD71BD"/>
    <w:rsid w:val="00FE0C94"/>
    <w:rsid w:val="00FE1F91"/>
    <w:rsid w:val="00FE24FE"/>
    <w:rsid w:val="00FE30CF"/>
    <w:rsid w:val="00FE437C"/>
    <w:rsid w:val="00FE75B4"/>
    <w:rsid w:val="00FF27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8984"/>
  <w15:chartTrackingRefBased/>
  <w15:docId w15:val="{6114B58E-741D-43AE-B911-BC88F66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64D"/>
    <w:rPr>
      <w:rFonts w:ascii="Times New Roman" w:eastAsia="Times New Roman" w:hAnsi="Times New Roman"/>
      <w:sz w:val="24"/>
      <w:szCs w:val="24"/>
      <w:lang w:eastAsia="en-US"/>
    </w:rPr>
  </w:style>
  <w:style w:type="paragraph" w:styleId="Heading6">
    <w:name w:val="heading 6"/>
    <w:basedOn w:val="Normal"/>
    <w:next w:val="Normal"/>
    <w:link w:val="Heading6Char"/>
    <w:qFormat/>
    <w:rsid w:val="008827A6"/>
    <w:pPr>
      <w:keepNext/>
      <w:spacing w:before="120" w:after="120"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C0C"/>
    <w:rPr>
      <w:rFonts w:ascii="Segoe UI" w:hAnsi="Segoe UI" w:cs="Segoe UI"/>
      <w:sz w:val="18"/>
      <w:szCs w:val="18"/>
    </w:rPr>
  </w:style>
  <w:style w:type="character" w:customStyle="1" w:styleId="BalloonTextChar">
    <w:name w:val="Balloon Text Char"/>
    <w:link w:val="BalloonText"/>
    <w:uiPriority w:val="99"/>
    <w:semiHidden/>
    <w:rsid w:val="00404C0C"/>
    <w:rPr>
      <w:rFonts w:ascii="Segoe UI" w:eastAsia="Times New Roman" w:hAnsi="Segoe UI" w:cs="Segoe UI"/>
      <w:sz w:val="18"/>
      <w:szCs w:val="18"/>
    </w:r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E339BA"/>
    <w:pPr>
      <w:ind w:left="720"/>
      <w:contextualSpacing/>
    </w:pPr>
  </w:style>
  <w:style w:type="character" w:styleId="CommentReference">
    <w:name w:val="annotation reference"/>
    <w:uiPriority w:val="99"/>
    <w:semiHidden/>
    <w:unhideWhenUsed/>
    <w:rsid w:val="00A82B6E"/>
    <w:rPr>
      <w:sz w:val="16"/>
      <w:szCs w:val="16"/>
    </w:rPr>
  </w:style>
  <w:style w:type="paragraph" w:styleId="CommentText">
    <w:name w:val="annotation text"/>
    <w:basedOn w:val="Normal"/>
    <w:link w:val="CommentTextChar"/>
    <w:uiPriority w:val="99"/>
    <w:semiHidden/>
    <w:unhideWhenUsed/>
    <w:rsid w:val="00A82B6E"/>
    <w:rPr>
      <w:sz w:val="20"/>
      <w:szCs w:val="20"/>
    </w:rPr>
  </w:style>
  <w:style w:type="character" w:customStyle="1" w:styleId="CommentTextChar">
    <w:name w:val="Comment Text Char"/>
    <w:link w:val="CommentText"/>
    <w:uiPriority w:val="99"/>
    <w:semiHidden/>
    <w:rsid w:val="00A82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B6E"/>
    <w:rPr>
      <w:b/>
      <w:bCs/>
    </w:rPr>
  </w:style>
  <w:style w:type="character" w:customStyle="1" w:styleId="CommentSubjectChar">
    <w:name w:val="Comment Subject Char"/>
    <w:link w:val="CommentSubject"/>
    <w:uiPriority w:val="99"/>
    <w:semiHidden/>
    <w:rsid w:val="00A82B6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17D5"/>
    <w:pPr>
      <w:tabs>
        <w:tab w:val="center" w:pos="4536"/>
        <w:tab w:val="right" w:pos="9072"/>
      </w:tabs>
    </w:pPr>
  </w:style>
  <w:style w:type="character" w:customStyle="1" w:styleId="HeaderChar">
    <w:name w:val="Header Char"/>
    <w:link w:val="Header"/>
    <w:uiPriority w:val="99"/>
    <w:rsid w:val="00FD17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17D5"/>
    <w:pPr>
      <w:tabs>
        <w:tab w:val="center" w:pos="4536"/>
        <w:tab w:val="right" w:pos="9072"/>
      </w:tabs>
    </w:pPr>
  </w:style>
  <w:style w:type="character" w:customStyle="1" w:styleId="FooterChar">
    <w:name w:val="Footer Char"/>
    <w:link w:val="Footer"/>
    <w:uiPriority w:val="99"/>
    <w:rsid w:val="00FD17D5"/>
    <w:rPr>
      <w:rFonts w:ascii="Times New Roman" w:eastAsia="Times New Roman" w:hAnsi="Times New Roman" w:cs="Times New Roman"/>
      <w:sz w:val="24"/>
      <w:szCs w:val="24"/>
    </w:rPr>
  </w:style>
  <w:style w:type="table" w:styleId="TableGrid">
    <w:name w:val="Table Grid"/>
    <w:basedOn w:val="TableNormal"/>
    <w:uiPriority w:val="99"/>
    <w:rsid w:val="00A0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2055"/>
    <w:pPr>
      <w:autoSpaceDE w:val="0"/>
      <w:autoSpaceDN w:val="0"/>
      <w:adjustRightInd w:val="0"/>
    </w:pPr>
    <w:rPr>
      <w:rFonts w:ascii="EUAlbertina" w:hAnsi="EUAlbertina" w:cs="EUAlbertina"/>
      <w:color w:val="000000"/>
      <w:sz w:val="24"/>
      <w:szCs w:val="24"/>
    </w:rPr>
  </w:style>
  <w:style w:type="paragraph" w:styleId="BodyText">
    <w:name w:val="Body Text"/>
    <w:basedOn w:val="Normal"/>
    <w:link w:val="BodyTextChar"/>
    <w:rsid w:val="00AE674A"/>
    <w:pPr>
      <w:spacing w:after="120"/>
    </w:pPr>
    <w:rPr>
      <w:lang w:eastAsia="ro-RO"/>
    </w:rPr>
  </w:style>
  <w:style w:type="character" w:customStyle="1" w:styleId="BodyTextChar">
    <w:name w:val="Body Text Char"/>
    <w:link w:val="BodyText"/>
    <w:rsid w:val="00AE674A"/>
    <w:rPr>
      <w:rFonts w:ascii="Times New Roman" w:eastAsia="Times New Roman" w:hAnsi="Times New Roman"/>
      <w:sz w:val="24"/>
      <w:szCs w:val="24"/>
    </w:r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link w:val="ListParagraph"/>
    <w:uiPriority w:val="34"/>
    <w:locked/>
    <w:rsid w:val="00F77913"/>
    <w:rPr>
      <w:rFonts w:ascii="Times New Roman" w:eastAsia="Times New Roman" w:hAnsi="Times New Roman"/>
      <w:sz w:val="24"/>
      <w:szCs w:val="24"/>
      <w:lang w:val="ro-RO" w:eastAsia="en-US"/>
    </w:rPr>
  </w:style>
  <w:style w:type="character" w:customStyle="1" w:styleId="rvts2">
    <w:name w:val="rvts2"/>
    <w:rsid w:val="00CD4A8C"/>
    <w:rPr>
      <w:b/>
      <w:bCs/>
      <w:color w:val="191919"/>
    </w:rPr>
  </w:style>
  <w:style w:type="character" w:customStyle="1" w:styleId="Heading6Char">
    <w:name w:val="Heading 6 Char"/>
    <w:link w:val="Heading6"/>
    <w:rsid w:val="008827A6"/>
    <w:rPr>
      <w:rFonts w:ascii="Times New Roman" w:eastAsia="Times New Roman" w:hAnsi="Times New Roman"/>
      <w:b/>
      <w:sz w:val="28"/>
      <w:szCs w:val="24"/>
      <w:lang w:val="ro-RO" w:eastAsia="en-US"/>
    </w:rPr>
  </w:style>
  <w:style w:type="paragraph" w:styleId="Title">
    <w:name w:val="Title"/>
    <w:basedOn w:val="Normal"/>
    <w:link w:val="TitleChar"/>
    <w:qFormat/>
    <w:rsid w:val="008827A6"/>
    <w:pPr>
      <w:spacing w:line="360" w:lineRule="auto"/>
      <w:jc w:val="center"/>
    </w:pPr>
    <w:rPr>
      <w:b/>
      <w:sz w:val="32"/>
      <w:szCs w:val="32"/>
    </w:rPr>
  </w:style>
  <w:style w:type="character" w:customStyle="1" w:styleId="TitleChar">
    <w:name w:val="Title Char"/>
    <w:link w:val="Title"/>
    <w:rsid w:val="008827A6"/>
    <w:rPr>
      <w:rFonts w:ascii="Times New Roman" w:eastAsia="Times New Roman" w:hAnsi="Times New Roman"/>
      <w:b/>
      <w:sz w:val="32"/>
      <w:szCs w:val="32"/>
      <w:lang w:val="ro-RO" w:eastAsia="en-US"/>
    </w:rPr>
  </w:style>
  <w:style w:type="paragraph" w:styleId="BodyText2">
    <w:name w:val="Body Text 2"/>
    <w:basedOn w:val="Normal"/>
    <w:link w:val="BodyText2Char"/>
    <w:uiPriority w:val="99"/>
    <w:semiHidden/>
    <w:unhideWhenUsed/>
    <w:rsid w:val="008827A6"/>
    <w:pPr>
      <w:spacing w:after="120" w:line="480" w:lineRule="auto"/>
    </w:pPr>
  </w:style>
  <w:style w:type="character" w:customStyle="1" w:styleId="BodyText2Char">
    <w:name w:val="Body Text 2 Char"/>
    <w:link w:val="BodyText2"/>
    <w:uiPriority w:val="99"/>
    <w:semiHidden/>
    <w:rsid w:val="008827A6"/>
    <w:rPr>
      <w:rFonts w:ascii="Times New Roman" w:eastAsia="Times New Roman" w:hAnsi="Times New Roman"/>
      <w:sz w:val="24"/>
      <w:szCs w:val="24"/>
      <w:lang w:val="ro-RO" w:eastAsia="en-US"/>
    </w:rPr>
  </w:style>
  <w:style w:type="paragraph" w:styleId="BodyTextIndent3">
    <w:name w:val="Body Text Indent 3"/>
    <w:basedOn w:val="Normal"/>
    <w:link w:val="BodyTextIndent3Char"/>
    <w:semiHidden/>
    <w:rsid w:val="009D6952"/>
    <w:pPr>
      <w:spacing w:after="120"/>
      <w:ind w:left="283"/>
    </w:pPr>
    <w:rPr>
      <w:sz w:val="16"/>
      <w:szCs w:val="16"/>
    </w:rPr>
  </w:style>
  <w:style w:type="character" w:customStyle="1" w:styleId="BodyTextIndent3Char">
    <w:name w:val="Body Text Indent 3 Char"/>
    <w:link w:val="BodyTextIndent3"/>
    <w:semiHidden/>
    <w:rsid w:val="009D6952"/>
    <w:rPr>
      <w:rFonts w:ascii="Times New Roman" w:eastAsia="Times New Roman" w:hAnsi="Times New Roman"/>
      <w:sz w:val="16"/>
      <w:szCs w:val="16"/>
      <w:lang w:val="ro-RO" w:eastAsia="en-US"/>
    </w:rPr>
  </w:style>
  <w:style w:type="paragraph" w:styleId="BodyTextIndent2">
    <w:name w:val="Body Text Indent 2"/>
    <w:basedOn w:val="Normal"/>
    <w:link w:val="BodyTextIndent2Char"/>
    <w:uiPriority w:val="99"/>
    <w:semiHidden/>
    <w:unhideWhenUsed/>
    <w:rsid w:val="009D6952"/>
    <w:pPr>
      <w:spacing w:after="120" w:line="480" w:lineRule="auto"/>
      <w:ind w:left="283"/>
    </w:pPr>
  </w:style>
  <w:style w:type="character" w:customStyle="1" w:styleId="BodyTextIndent2Char">
    <w:name w:val="Body Text Indent 2 Char"/>
    <w:link w:val="BodyTextIndent2"/>
    <w:uiPriority w:val="99"/>
    <w:semiHidden/>
    <w:rsid w:val="009D6952"/>
    <w:rPr>
      <w:rFonts w:ascii="Times New Roman" w:eastAsia="Times New Roman" w:hAnsi="Times New Roman"/>
      <w:sz w:val="24"/>
      <w:szCs w:val="24"/>
      <w:lang w:val="ro-RO" w:eastAsia="en-US"/>
    </w:rPr>
  </w:style>
  <w:style w:type="character" w:customStyle="1" w:styleId="yiv351784985preambul1">
    <w:name w:val="yiv351784985preambul1"/>
    <w:rsid w:val="00C45F23"/>
    <w:rPr>
      <w:rFonts w:ascii="Times New Roman" w:hAnsi="Times New Roman" w:cs="Times New Roman" w:hint="default"/>
    </w:rPr>
  </w:style>
  <w:style w:type="character" w:customStyle="1" w:styleId="saln">
    <w:name w:val="s_aln"/>
    <w:rsid w:val="001B478C"/>
  </w:style>
  <w:style w:type="character" w:customStyle="1" w:styleId="salnttl">
    <w:name w:val="s_aln_ttl"/>
    <w:rsid w:val="001B478C"/>
  </w:style>
  <w:style w:type="character" w:customStyle="1" w:styleId="salnbdy">
    <w:name w:val="s_aln_bdy"/>
    <w:rsid w:val="001B478C"/>
  </w:style>
  <w:style w:type="character" w:customStyle="1" w:styleId="slitbdy">
    <w:name w:val="s_lit_bdy"/>
    <w:rsid w:val="00EC55DF"/>
  </w:style>
  <w:style w:type="character" w:customStyle="1" w:styleId="spar">
    <w:name w:val="s_par"/>
    <w:rsid w:val="00F65A4D"/>
  </w:style>
  <w:style w:type="paragraph" w:styleId="Revision">
    <w:name w:val="Revision"/>
    <w:hidden/>
    <w:uiPriority w:val="99"/>
    <w:semiHidden/>
    <w:rsid w:val="00183082"/>
    <w:rPr>
      <w:rFonts w:ascii="Times New Roman" w:eastAsia="Times New Roman" w:hAnsi="Times New Roman"/>
      <w:sz w:val="24"/>
      <w:szCs w:val="24"/>
      <w:lang w:eastAsia="en-US"/>
    </w:rPr>
  </w:style>
  <w:style w:type="paragraph" w:styleId="BodyText3">
    <w:name w:val="Body Text 3"/>
    <w:basedOn w:val="Normal"/>
    <w:link w:val="BodyText3Char"/>
    <w:uiPriority w:val="99"/>
    <w:semiHidden/>
    <w:unhideWhenUsed/>
    <w:rsid w:val="009B0600"/>
    <w:pPr>
      <w:spacing w:after="120"/>
    </w:pPr>
    <w:rPr>
      <w:sz w:val="16"/>
      <w:szCs w:val="16"/>
    </w:rPr>
  </w:style>
  <w:style w:type="character" w:customStyle="1" w:styleId="BodyText3Char">
    <w:name w:val="Body Text 3 Char"/>
    <w:basedOn w:val="DefaultParagraphFont"/>
    <w:link w:val="BodyText3"/>
    <w:uiPriority w:val="99"/>
    <w:semiHidden/>
    <w:rsid w:val="009B0600"/>
    <w:rPr>
      <w:rFonts w:ascii="Times New Roman" w:eastAsia="Times New Roman" w:hAnsi="Times New Roman"/>
      <w:sz w:val="16"/>
      <w:szCs w:val="16"/>
      <w:lang w:eastAsia="en-US"/>
    </w:rPr>
  </w:style>
  <w:style w:type="character" w:styleId="Hyperlink">
    <w:name w:val="Hyperlink"/>
    <w:basedOn w:val="DefaultParagraphFont"/>
    <w:uiPriority w:val="99"/>
    <w:unhideWhenUsed/>
    <w:rsid w:val="0022755E"/>
    <w:rPr>
      <w:color w:val="0563C1" w:themeColor="hyperlink"/>
      <w:u w:val="single"/>
    </w:rPr>
  </w:style>
  <w:style w:type="character" w:styleId="UnresolvedMention">
    <w:name w:val="Unresolved Mention"/>
    <w:basedOn w:val="DefaultParagraphFont"/>
    <w:uiPriority w:val="99"/>
    <w:semiHidden/>
    <w:unhideWhenUsed/>
    <w:rsid w:val="0022755E"/>
    <w:rPr>
      <w:color w:val="605E5C"/>
      <w:shd w:val="clear" w:color="auto" w:fill="E1DFDD"/>
    </w:rPr>
  </w:style>
  <w:style w:type="paragraph" w:styleId="NormalWeb">
    <w:name w:val="Normal (Web)"/>
    <w:basedOn w:val="Normal"/>
    <w:uiPriority w:val="99"/>
    <w:semiHidden/>
    <w:unhideWhenUsed/>
    <w:rsid w:val="0085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4494">
      <w:bodyDiv w:val="1"/>
      <w:marLeft w:val="0"/>
      <w:marRight w:val="0"/>
      <w:marTop w:val="0"/>
      <w:marBottom w:val="0"/>
      <w:divBdr>
        <w:top w:val="none" w:sz="0" w:space="0" w:color="auto"/>
        <w:left w:val="none" w:sz="0" w:space="0" w:color="auto"/>
        <w:bottom w:val="none" w:sz="0" w:space="0" w:color="auto"/>
        <w:right w:val="none" w:sz="0" w:space="0" w:color="auto"/>
      </w:divBdr>
    </w:div>
    <w:div w:id="27680257">
      <w:bodyDiv w:val="1"/>
      <w:marLeft w:val="0"/>
      <w:marRight w:val="0"/>
      <w:marTop w:val="0"/>
      <w:marBottom w:val="0"/>
      <w:divBdr>
        <w:top w:val="none" w:sz="0" w:space="0" w:color="auto"/>
        <w:left w:val="none" w:sz="0" w:space="0" w:color="auto"/>
        <w:bottom w:val="none" w:sz="0" w:space="0" w:color="auto"/>
        <w:right w:val="none" w:sz="0" w:space="0" w:color="auto"/>
      </w:divBdr>
    </w:div>
    <w:div w:id="71508667">
      <w:bodyDiv w:val="1"/>
      <w:marLeft w:val="0"/>
      <w:marRight w:val="0"/>
      <w:marTop w:val="0"/>
      <w:marBottom w:val="0"/>
      <w:divBdr>
        <w:top w:val="none" w:sz="0" w:space="0" w:color="auto"/>
        <w:left w:val="none" w:sz="0" w:space="0" w:color="auto"/>
        <w:bottom w:val="none" w:sz="0" w:space="0" w:color="auto"/>
        <w:right w:val="none" w:sz="0" w:space="0" w:color="auto"/>
      </w:divBdr>
    </w:div>
    <w:div w:id="118884973">
      <w:bodyDiv w:val="1"/>
      <w:marLeft w:val="0"/>
      <w:marRight w:val="0"/>
      <w:marTop w:val="0"/>
      <w:marBottom w:val="0"/>
      <w:divBdr>
        <w:top w:val="none" w:sz="0" w:space="0" w:color="auto"/>
        <w:left w:val="none" w:sz="0" w:space="0" w:color="auto"/>
        <w:bottom w:val="none" w:sz="0" w:space="0" w:color="auto"/>
        <w:right w:val="none" w:sz="0" w:space="0" w:color="auto"/>
      </w:divBdr>
      <w:divsChild>
        <w:div w:id="1959296553">
          <w:marLeft w:val="0"/>
          <w:marRight w:val="0"/>
          <w:marTop w:val="0"/>
          <w:marBottom w:val="0"/>
          <w:divBdr>
            <w:top w:val="none" w:sz="0" w:space="0" w:color="auto"/>
            <w:left w:val="none" w:sz="0" w:space="0" w:color="auto"/>
            <w:bottom w:val="none" w:sz="0" w:space="0" w:color="auto"/>
            <w:right w:val="none" w:sz="0" w:space="0" w:color="auto"/>
          </w:divBdr>
          <w:divsChild>
            <w:div w:id="780952912">
              <w:marLeft w:val="0"/>
              <w:marRight w:val="0"/>
              <w:marTop w:val="0"/>
              <w:marBottom w:val="0"/>
              <w:divBdr>
                <w:top w:val="none" w:sz="0" w:space="0" w:color="auto"/>
                <w:left w:val="none" w:sz="0" w:space="0" w:color="auto"/>
                <w:bottom w:val="none" w:sz="0" w:space="0" w:color="auto"/>
                <w:right w:val="none" w:sz="0" w:space="0" w:color="auto"/>
              </w:divBdr>
              <w:divsChild>
                <w:div w:id="1185826863">
                  <w:marLeft w:val="0"/>
                  <w:marRight w:val="0"/>
                  <w:marTop w:val="0"/>
                  <w:marBottom w:val="0"/>
                  <w:divBdr>
                    <w:top w:val="none" w:sz="0" w:space="0" w:color="auto"/>
                    <w:left w:val="none" w:sz="0" w:space="0" w:color="auto"/>
                    <w:bottom w:val="none" w:sz="0" w:space="0" w:color="auto"/>
                    <w:right w:val="none" w:sz="0" w:space="0" w:color="auto"/>
                  </w:divBdr>
                </w:div>
                <w:div w:id="1453742168">
                  <w:marLeft w:val="0"/>
                  <w:marRight w:val="0"/>
                  <w:marTop w:val="0"/>
                  <w:marBottom w:val="0"/>
                  <w:divBdr>
                    <w:top w:val="none" w:sz="0" w:space="0" w:color="auto"/>
                    <w:left w:val="none" w:sz="0" w:space="0" w:color="auto"/>
                    <w:bottom w:val="none" w:sz="0" w:space="0" w:color="auto"/>
                    <w:right w:val="none" w:sz="0" w:space="0" w:color="auto"/>
                  </w:divBdr>
                </w:div>
                <w:div w:id="945423301">
                  <w:marLeft w:val="0"/>
                  <w:marRight w:val="0"/>
                  <w:marTop w:val="0"/>
                  <w:marBottom w:val="0"/>
                  <w:divBdr>
                    <w:top w:val="none" w:sz="0" w:space="0" w:color="auto"/>
                    <w:left w:val="none" w:sz="0" w:space="0" w:color="auto"/>
                    <w:bottom w:val="none" w:sz="0" w:space="0" w:color="auto"/>
                    <w:right w:val="none" w:sz="0" w:space="0" w:color="auto"/>
                  </w:divBdr>
                </w:div>
                <w:div w:id="791634183">
                  <w:marLeft w:val="0"/>
                  <w:marRight w:val="0"/>
                  <w:marTop w:val="0"/>
                  <w:marBottom w:val="0"/>
                  <w:divBdr>
                    <w:top w:val="none" w:sz="0" w:space="0" w:color="auto"/>
                    <w:left w:val="none" w:sz="0" w:space="0" w:color="auto"/>
                    <w:bottom w:val="none" w:sz="0" w:space="0" w:color="auto"/>
                    <w:right w:val="none" w:sz="0" w:space="0" w:color="auto"/>
                  </w:divBdr>
                </w:div>
                <w:div w:id="1923486449">
                  <w:marLeft w:val="0"/>
                  <w:marRight w:val="0"/>
                  <w:marTop w:val="0"/>
                  <w:marBottom w:val="0"/>
                  <w:divBdr>
                    <w:top w:val="none" w:sz="0" w:space="0" w:color="auto"/>
                    <w:left w:val="none" w:sz="0" w:space="0" w:color="auto"/>
                    <w:bottom w:val="none" w:sz="0" w:space="0" w:color="auto"/>
                    <w:right w:val="none" w:sz="0" w:space="0" w:color="auto"/>
                  </w:divBdr>
                </w:div>
                <w:div w:id="670640029">
                  <w:marLeft w:val="0"/>
                  <w:marRight w:val="0"/>
                  <w:marTop w:val="0"/>
                  <w:marBottom w:val="0"/>
                  <w:divBdr>
                    <w:top w:val="none" w:sz="0" w:space="0" w:color="auto"/>
                    <w:left w:val="none" w:sz="0" w:space="0" w:color="auto"/>
                    <w:bottom w:val="none" w:sz="0" w:space="0" w:color="auto"/>
                    <w:right w:val="none" w:sz="0" w:space="0" w:color="auto"/>
                  </w:divBdr>
                </w:div>
                <w:div w:id="941491959">
                  <w:marLeft w:val="0"/>
                  <w:marRight w:val="0"/>
                  <w:marTop w:val="0"/>
                  <w:marBottom w:val="0"/>
                  <w:divBdr>
                    <w:top w:val="none" w:sz="0" w:space="0" w:color="auto"/>
                    <w:left w:val="none" w:sz="0" w:space="0" w:color="auto"/>
                    <w:bottom w:val="none" w:sz="0" w:space="0" w:color="auto"/>
                    <w:right w:val="none" w:sz="0" w:space="0" w:color="auto"/>
                  </w:divBdr>
                </w:div>
                <w:div w:id="683366687">
                  <w:marLeft w:val="0"/>
                  <w:marRight w:val="0"/>
                  <w:marTop w:val="0"/>
                  <w:marBottom w:val="0"/>
                  <w:divBdr>
                    <w:top w:val="none" w:sz="0" w:space="0" w:color="auto"/>
                    <w:left w:val="none" w:sz="0" w:space="0" w:color="auto"/>
                    <w:bottom w:val="none" w:sz="0" w:space="0" w:color="auto"/>
                    <w:right w:val="none" w:sz="0" w:space="0" w:color="auto"/>
                  </w:divBdr>
                </w:div>
              </w:divsChild>
            </w:div>
            <w:div w:id="1413356790">
              <w:marLeft w:val="0"/>
              <w:marRight w:val="0"/>
              <w:marTop w:val="0"/>
              <w:marBottom w:val="0"/>
              <w:divBdr>
                <w:top w:val="none" w:sz="0" w:space="0" w:color="auto"/>
                <w:left w:val="none" w:sz="0" w:space="0" w:color="auto"/>
                <w:bottom w:val="none" w:sz="0" w:space="0" w:color="auto"/>
                <w:right w:val="none" w:sz="0" w:space="0" w:color="auto"/>
              </w:divBdr>
            </w:div>
            <w:div w:id="250815580">
              <w:marLeft w:val="0"/>
              <w:marRight w:val="0"/>
              <w:marTop w:val="0"/>
              <w:marBottom w:val="0"/>
              <w:divBdr>
                <w:top w:val="none" w:sz="0" w:space="0" w:color="auto"/>
                <w:left w:val="none" w:sz="0" w:space="0" w:color="auto"/>
                <w:bottom w:val="none" w:sz="0" w:space="0" w:color="auto"/>
                <w:right w:val="none" w:sz="0" w:space="0" w:color="auto"/>
              </w:divBdr>
            </w:div>
            <w:div w:id="1716654504">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269">
      <w:bodyDiv w:val="1"/>
      <w:marLeft w:val="0"/>
      <w:marRight w:val="0"/>
      <w:marTop w:val="0"/>
      <w:marBottom w:val="0"/>
      <w:divBdr>
        <w:top w:val="none" w:sz="0" w:space="0" w:color="auto"/>
        <w:left w:val="none" w:sz="0" w:space="0" w:color="auto"/>
        <w:bottom w:val="none" w:sz="0" w:space="0" w:color="auto"/>
        <w:right w:val="none" w:sz="0" w:space="0" w:color="auto"/>
      </w:divBdr>
      <w:divsChild>
        <w:div w:id="580408486">
          <w:marLeft w:val="0"/>
          <w:marRight w:val="0"/>
          <w:marTop w:val="0"/>
          <w:marBottom w:val="0"/>
          <w:divBdr>
            <w:top w:val="none" w:sz="0" w:space="0" w:color="auto"/>
            <w:left w:val="none" w:sz="0" w:space="0" w:color="auto"/>
            <w:bottom w:val="none" w:sz="0" w:space="0" w:color="auto"/>
            <w:right w:val="none" w:sz="0" w:space="0" w:color="auto"/>
          </w:divBdr>
        </w:div>
      </w:divsChild>
    </w:div>
    <w:div w:id="261107231">
      <w:bodyDiv w:val="1"/>
      <w:marLeft w:val="0"/>
      <w:marRight w:val="0"/>
      <w:marTop w:val="0"/>
      <w:marBottom w:val="0"/>
      <w:divBdr>
        <w:top w:val="none" w:sz="0" w:space="0" w:color="auto"/>
        <w:left w:val="none" w:sz="0" w:space="0" w:color="auto"/>
        <w:bottom w:val="none" w:sz="0" w:space="0" w:color="auto"/>
        <w:right w:val="none" w:sz="0" w:space="0" w:color="auto"/>
      </w:divBdr>
      <w:divsChild>
        <w:div w:id="999817496">
          <w:marLeft w:val="0"/>
          <w:marRight w:val="0"/>
          <w:marTop w:val="0"/>
          <w:marBottom w:val="0"/>
          <w:divBdr>
            <w:top w:val="none" w:sz="0" w:space="0" w:color="auto"/>
            <w:left w:val="none" w:sz="0" w:space="0" w:color="auto"/>
            <w:bottom w:val="none" w:sz="0" w:space="0" w:color="auto"/>
            <w:right w:val="none" w:sz="0" w:space="0" w:color="auto"/>
          </w:divBdr>
        </w:div>
      </w:divsChild>
    </w:div>
    <w:div w:id="265357854">
      <w:bodyDiv w:val="1"/>
      <w:marLeft w:val="0"/>
      <w:marRight w:val="0"/>
      <w:marTop w:val="0"/>
      <w:marBottom w:val="0"/>
      <w:divBdr>
        <w:top w:val="none" w:sz="0" w:space="0" w:color="auto"/>
        <w:left w:val="none" w:sz="0" w:space="0" w:color="auto"/>
        <w:bottom w:val="none" w:sz="0" w:space="0" w:color="auto"/>
        <w:right w:val="none" w:sz="0" w:space="0" w:color="auto"/>
      </w:divBdr>
    </w:div>
    <w:div w:id="268244052">
      <w:bodyDiv w:val="1"/>
      <w:marLeft w:val="0"/>
      <w:marRight w:val="0"/>
      <w:marTop w:val="0"/>
      <w:marBottom w:val="0"/>
      <w:divBdr>
        <w:top w:val="none" w:sz="0" w:space="0" w:color="auto"/>
        <w:left w:val="none" w:sz="0" w:space="0" w:color="auto"/>
        <w:bottom w:val="none" w:sz="0" w:space="0" w:color="auto"/>
        <w:right w:val="none" w:sz="0" w:space="0" w:color="auto"/>
      </w:divBdr>
      <w:divsChild>
        <w:div w:id="623317657">
          <w:marLeft w:val="0"/>
          <w:marRight w:val="0"/>
          <w:marTop w:val="0"/>
          <w:marBottom w:val="0"/>
          <w:divBdr>
            <w:top w:val="none" w:sz="0" w:space="0" w:color="auto"/>
            <w:left w:val="none" w:sz="0" w:space="0" w:color="auto"/>
            <w:bottom w:val="none" w:sz="0" w:space="0" w:color="auto"/>
            <w:right w:val="none" w:sz="0" w:space="0" w:color="auto"/>
          </w:divBdr>
        </w:div>
      </w:divsChild>
    </w:div>
    <w:div w:id="281962792">
      <w:bodyDiv w:val="1"/>
      <w:marLeft w:val="0"/>
      <w:marRight w:val="0"/>
      <w:marTop w:val="0"/>
      <w:marBottom w:val="0"/>
      <w:divBdr>
        <w:top w:val="none" w:sz="0" w:space="0" w:color="auto"/>
        <w:left w:val="none" w:sz="0" w:space="0" w:color="auto"/>
        <w:bottom w:val="none" w:sz="0" w:space="0" w:color="auto"/>
        <w:right w:val="none" w:sz="0" w:space="0" w:color="auto"/>
      </w:divBdr>
    </w:div>
    <w:div w:id="309528723">
      <w:bodyDiv w:val="1"/>
      <w:marLeft w:val="0"/>
      <w:marRight w:val="0"/>
      <w:marTop w:val="0"/>
      <w:marBottom w:val="0"/>
      <w:divBdr>
        <w:top w:val="none" w:sz="0" w:space="0" w:color="auto"/>
        <w:left w:val="none" w:sz="0" w:space="0" w:color="auto"/>
        <w:bottom w:val="none" w:sz="0" w:space="0" w:color="auto"/>
        <w:right w:val="none" w:sz="0" w:space="0" w:color="auto"/>
      </w:divBdr>
      <w:divsChild>
        <w:div w:id="250890392">
          <w:marLeft w:val="0"/>
          <w:marRight w:val="0"/>
          <w:marTop w:val="0"/>
          <w:marBottom w:val="0"/>
          <w:divBdr>
            <w:top w:val="none" w:sz="0" w:space="0" w:color="auto"/>
            <w:left w:val="none" w:sz="0" w:space="0" w:color="auto"/>
            <w:bottom w:val="none" w:sz="0" w:space="0" w:color="auto"/>
            <w:right w:val="none" w:sz="0" w:space="0" w:color="auto"/>
          </w:divBdr>
        </w:div>
      </w:divsChild>
    </w:div>
    <w:div w:id="316303653">
      <w:bodyDiv w:val="1"/>
      <w:marLeft w:val="0"/>
      <w:marRight w:val="0"/>
      <w:marTop w:val="0"/>
      <w:marBottom w:val="0"/>
      <w:divBdr>
        <w:top w:val="none" w:sz="0" w:space="0" w:color="auto"/>
        <w:left w:val="none" w:sz="0" w:space="0" w:color="auto"/>
        <w:bottom w:val="none" w:sz="0" w:space="0" w:color="auto"/>
        <w:right w:val="none" w:sz="0" w:space="0" w:color="auto"/>
      </w:divBdr>
    </w:div>
    <w:div w:id="320551273">
      <w:bodyDiv w:val="1"/>
      <w:marLeft w:val="0"/>
      <w:marRight w:val="0"/>
      <w:marTop w:val="0"/>
      <w:marBottom w:val="0"/>
      <w:divBdr>
        <w:top w:val="none" w:sz="0" w:space="0" w:color="auto"/>
        <w:left w:val="none" w:sz="0" w:space="0" w:color="auto"/>
        <w:bottom w:val="none" w:sz="0" w:space="0" w:color="auto"/>
        <w:right w:val="none" w:sz="0" w:space="0" w:color="auto"/>
      </w:divBdr>
    </w:div>
    <w:div w:id="321276211">
      <w:bodyDiv w:val="1"/>
      <w:marLeft w:val="0"/>
      <w:marRight w:val="0"/>
      <w:marTop w:val="0"/>
      <w:marBottom w:val="0"/>
      <w:divBdr>
        <w:top w:val="none" w:sz="0" w:space="0" w:color="auto"/>
        <w:left w:val="none" w:sz="0" w:space="0" w:color="auto"/>
        <w:bottom w:val="none" w:sz="0" w:space="0" w:color="auto"/>
        <w:right w:val="none" w:sz="0" w:space="0" w:color="auto"/>
      </w:divBdr>
    </w:div>
    <w:div w:id="337193679">
      <w:bodyDiv w:val="1"/>
      <w:marLeft w:val="0"/>
      <w:marRight w:val="0"/>
      <w:marTop w:val="0"/>
      <w:marBottom w:val="0"/>
      <w:divBdr>
        <w:top w:val="none" w:sz="0" w:space="0" w:color="auto"/>
        <w:left w:val="none" w:sz="0" w:space="0" w:color="auto"/>
        <w:bottom w:val="none" w:sz="0" w:space="0" w:color="auto"/>
        <w:right w:val="none" w:sz="0" w:space="0" w:color="auto"/>
      </w:divBdr>
    </w:div>
    <w:div w:id="343366771">
      <w:bodyDiv w:val="1"/>
      <w:marLeft w:val="0"/>
      <w:marRight w:val="0"/>
      <w:marTop w:val="0"/>
      <w:marBottom w:val="0"/>
      <w:divBdr>
        <w:top w:val="none" w:sz="0" w:space="0" w:color="auto"/>
        <w:left w:val="none" w:sz="0" w:space="0" w:color="auto"/>
        <w:bottom w:val="none" w:sz="0" w:space="0" w:color="auto"/>
        <w:right w:val="none" w:sz="0" w:space="0" w:color="auto"/>
      </w:divBdr>
    </w:div>
    <w:div w:id="409472130">
      <w:bodyDiv w:val="1"/>
      <w:marLeft w:val="0"/>
      <w:marRight w:val="0"/>
      <w:marTop w:val="0"/>
      <w:marBottom w:val="0"/>
      <w:divBdr>
        <w:top w:val="none" w:sz="0" w:space="0" w:color="auto"/>
        <w:left w:val="none" w:sz="0" w:space="0" w:color="auto"/>
        <w:bottom w:val="none" w:sz="0" w:space="0" w:color="auto"/>
        <w:right w:val="none" w:sz="0" w:space="0" w:color="auto"/>
      </w:divBdr>
    </w:div>
    <w:div w:id="473331311">
      <w:bodyDiv w:val="1"/>
      <w:marLeft w:val="0"/>
      <w:marRight w:val="0"/>
      <w:marTop w:val="0"/>
      <w:marBottom w:val="0"/>
      <w:divBdr>
        <w:top w:val="none" w:sz="0" w:space="0" w:color="auto"/>
        <w:left w:val="none" w:sz="0" w:space="0" w:color="auto"/>
        <w:bottom w:val="none" w:sz="0" w:space="0" w:color="auto"/>
        <w:right w:val="none" w:sz="0" w:space="0" w:color="auto"/>
      </w:divBdr>
    </w:div>
    <w:div w:id="556933623">
      <w:bodyDiv w:val="1"/>
      <w:marLeft w:val="0"/>
      <w:marRight w:val="0"/>
      <w:marTop w:val="0"/>
      <w:marBottom w:val="0"/>
      <w:divBdr>
        <w:top w:val="none" w:sz="0" w:space="0" w:color="auto"/>
        <w:left w:val="none" w:sz="0" w:space="0" w:color="auto"/>
        <w:bottom w:val="none" w:sz="0" w:space="0" w:color="auto"/>
        <w:right w:val="none" w:sz="0" w:space="0" w:color="auto"/>
      </w:divBdr>
      <w:divsChild>
        <w:div w:id="1065104749">
          <w:marLeft w:val="0"/>
          <w:marRight w:val="0"/>
          <w:marTop w:val="0"/>
          <w:marBottom w:val="0"/>
          <w:divBdr>
            <w:top w:val="none" w:sz="0" w:space="0" w:color="auto"/>
            <w:left w:val="none" w:sz="0" w:space="0" w:color="auto"/>
            <w:bottom w:val="none" w:sz="0" w:space="0" w:color="auto"/>
            <w:right w:val="none" w:sz="0" w:space="0" w:color="auto"/>
          </w:divBdr>
        </w:div>
      </w:divsChild>
    </w:div>
    <w:div w:id="578490353">
      <w:bodyDiv w:val="1"/>
      <w:marLeft w:val="0"/>
      <w:marRight w:val="0"/>
      <w:marTop w:val="0"/>
      <w:marBottom w:val="0"/>
      <w:divBdr>
        <w:top w:val="none" w:sz="0" w:space="0" w:color="auto"/>
        <w:left w:val="none" w:sz="0" w:space="0" w:color="auto"/>
        <w:bottom w:val="none" w:sz="0" w:space="0" w:color="auto"/>
        <w:right w:val="none" w:sz="0" w:space="0" w:color="auto"/>
      </w:divBdr>
      <w:divsChild>
        <w:div w:id="513034923">
          <w:marLeft w:val="0"/>
          <w:marRight w:val="0"/>
          <w:marTop w:val="0"/>
          <w:marBottom w:val="0"/>
          <w:divBdr>
            <w:top w:val="none" w:sz="0" w:space="0" w:color="auto"/>
            <w:left w:val="none" w:sz="0" w:space="0" w:color="auto"/>
            <w:bottom w:val="none" w:sz="0" w:space="0" w:color="auto"/>
            <w:right w:val="none" w:sz="0" w:space="0" w:color="auto"/>
          </w:divBdr>
        </w:div>
      </w:divsChild>
    </w:div>
    <w:div w:id="602421579">
      <w:bodyDiv w:val="1"/>
      <w:marLeft w:val="0"/>
      <w:marRight w:val="0"/>
      <w:marTop w:val="0"/>
      <w:marBottom w:val="0"/>
      <w:divBdr>
        <w:top w:val="none" w:sz="0" w:space="0" w:color="auto"/>
        <w:left w:val="none" w:sz="0" w:space="0" w:color="auto"/>
        <w:bottom w:val="none" w:sz="0" w:space="0" w:color="auto"/>
        <w:right w:val="none" w:sz="0" w:space="0" w:color="auto"/>
      </w:divBdr>
    </w:div>
    <w:div w:id="673537431">
      <w:bodyDiv w:val="1"/>
      <w:marLeft w:val="0"/>
      <w:marRight w:val="0"/>
      <w:marTop w:val="0"/>
      <w:marBottom w:val="0"/>
      <w:divBdr>
        <w:top w:val="none" w:sz="0" w:space="0" w:color="auto"/>
        <w:left w:val="none" w:sz="0" w:space="0" w:color="auto"/>
        <w:bottom w:val="none" w:sz="0" w:space="0" w:color="auto"/>
        <w:right w:val="none" w:sz="0" w:space="0" w:color="auto"/>
      </w:divBdr>
    </w:div>
    <w:div w:id="812916662">
      <w:bodyDiv w:val="1"/>
      <w:marLeft w:val="0"/>
      <w:marRight w:val="0"/>
      <w:marTop w:val="0"/>
      <w:marBottom w:val="0"/>
      <w:divBdr>
        <w:top w:val="none" w:sz="0" w:space="0" w:color="auto"/>
        <w:left w:val="none" w:sz="0" w:space="0" w:color="auto"/>
        <w:bottom w:val="none" w:sz="0" w:space="0" w:color="auto"/>
        <w:right w:val="none" w:sz="0" w:space="0" w:color="auto"/>
      </w:divBdr>
    </w:div>
    <w:div w:id="826555019">
      <w:bodyDiv w:val="1"/>
      <w:marLeft w:val="0"/>
      <w:marRight w:val="0"/>
      <w:marTop w:val="0"/>
      <w:marBottom w:val="0"/>
      <w:divBdr>
        <w:top w:val="none" w:sz="0" w:space="0" w:color="auto"/>
        <w:left w:val="none" w:sz="0" w:space="0" w:color="auto"/>
        <w:bottom w:val="none" w:sz="0" w:space="0" w:color="auto"/>
        <w:right w:val="none" w:sz="0" w:space="0" w:color="auto"/>
      </w:divBdr>
    </w:div>
    <w:div w:id="850217143">
      <w:bodyDiv w:val="1"/>
      <w:marLeft w:val="0"/>
      <w:marRight w:val="0"/>
      <w:marTop w:val="0"/>
      <w:marBottom w:val="0"/>
      <w:divBdr>
        <w:top w:val="none" w:sz="0" w:space="0" w:color="auto"/>
        <w:left w:val="none" w:sz="0" w:space="0" w:color="auto"/>
        <w:bottom w:val="none" w:sz="0" w:space="0" w:color="auto"/>
        <w:right w:val="none" w:sz="0" w:space="0" w:color="auto"/>
      </w:divBdr>
      <w:divsChild>
        <w:div w:id="56520353">
          <w:marLeft w:val="0"/>
          <w:marRight w:val="0"/>
          <w:marTop w:val="0"/>
          <w:marBottom w:val="0"/>
          <w:divBdr>
            <w:top w:val="none" w:sz="0" w:space="0" w:color="auto"/>
            <w:left w:val="none" w:sz="0" w:space="0" w:color="auto"/>
            <w:bottom w:val="none" w:sz="0" w:space="0" w:color="auto"/>
            <w:right w:val="none" w:sz="0" w:space="0" w:color="auto"/>
          </w:divBdr>
        </w:div>
      </w:divsChild>
    </w:div>
    <w:div w:id="851922008">
      <w:bodyDiv w:val="1"/>
      <w:marLeft w:val="0"/>
      <w:marRight w:val="0"/>
      <w:marTop w:val="0"/>
      <w:marBottom w:val="0"/>
      <w:divBdr>
        <w:top w:val="none" w:sz="0" w:space="0" w:color="auto"/>
        <w:left w:val="none" w:sz="0" w:space="0" w:color="auto"/>
        <w:bottom w:val="none" w:sz="0" w:space="0" w:color="auto"/>
        <w:right w:val="none" w:sz="0" w:space="0" w:color="auto"/>
      </w:divBdr>
    </w:div>
    <w:div w:id="866331549">
      <w:bodyDiv w:val="1"/>
      <w:marLeft w:val="0"/>
      <w:marRight w:val="0"/>
      <w:marTop w:val="0"/>
      <w:marBottom w:val="0"/>
      <w:divBdr>
        <w:top w:val="none" w:sz="0" w:space="0" w:color="auto"/>
        <w:left w:val="none" w:sz="0" w:space="0" w:color="auto"/>
        <w:bottom w:val="none" w:sz="0" w:space="0" w:color="auto"/>
        <w:right w:val="none" w:sz="0" w:space="0" w:color="auto"/>
      </w:divBdr>
    </w:div>
    <w:div w:id="877398955">
      <w:bodyDiv w:val="1"/>
      <w:marLeft w:val="0"/>
      <w:marRight w:val="0"/>
      <w:marTop w:val="0"/>
      <w:marBottom w:val="0"/>
      <w:divBdr>
        <w:top w:val="none" w:sz="0" w:space="0" w:color="auto"/>
        <w:left w:val="none" w:sz="0" w:space="0" w:color="auto"/>
        <w:bottom w:val="none" w:sz="0" w:space="0" w:color="auto"/>
        <w:right w:val="none" w:sz="0" w:space="0" w:color="auto"/>
      </w:divBdr>
    </w:div>
    <w:div w:id="896626262">
      <w:bodyDiv w:val="1"/>
      <w:marLeft w:val="0"/>
      <w:marRight w:val="0"/>
      <w:marTop w:val="0"/>
      <w:marBottom w:val="0"/>
      <w:divBdr>
        <w:top w:val="none" w:sz="0" w:space="0" w:color="auto"/>
        <w:left w:val="none" w:sz="0" w:space="0" w:color="auto"/>
        <w:bottom w:val="none" w:sz="0" w:space="0" w:color="auto"/>
        <w:right w:val="none" w:sz="0" w:space="0" w:color="auto"/>
      </w:divBdr>
    </w:div>
    <w:div w:id="966547752">
      <w:bodyDiv w:val="1"/>
      <w:marLeft w:val="0"/>
      <w:marRight w:val="0"/>
      <w:marTop w:val="0"/>
      <w:marBottom w:val="0"/>
      <w:divBdr>
        <w:top w:val="none" w:sz="0" w:space="0" w:color="auto"/>
        <w:left w:val="none" w:sz="0" w:space="0" w:color="auto"/>
        <w:bottom w:val="none" w:sz="0" w:space="0" w:color="auto"/>
        <w:right w:val="none" w:sz="0" w:space="0" w:color="auto"/>
      </w:divBdr>
    </w:div>
    <w:div w:id="994338203">
      <w:bodyDiv w:val="1"/>
      <w:marLeft w:val="0"/>
      <w:marRight w:val="0"/>
      <w:marTop w:val="0"/>
      <w:marBottom w:val="0"/>
      <w:divBdr>
        <w:top w:val="none" w:sz="0" w:space="0" w:color="auto"/>
        <w:left w:val="none" w:sz="0" w:space="0" w:color="auto"/>
        <w:bottom w:val="none" w:sz="0" w:space="0" w:color="auto"/>
        <w:right w:val="none" w:sz="0" w:space="0" w:color="auto"/>
      </w:divBdr>
    </w:div>
    <w:div w:id="1063719856">
      <w:bodyDiv w:val="1"/>
      <w:marLeft w:val="0"/>
      <w:marRight w:val="0"/>
      <w:marTop w:val="0"/>
      <w:marBottom w:val="0"/>
      <w:divBdr>
        <w:top w:val="none" w:sz="0" w:space="0" w:color="auto"/>
        <w:left w:val="none" w:sz="0" w:space="0" w:color="auto"/>
        <w:bottom w:val="none" w:sz="0" w:space="0" w:color="auto"/>
        <w:right w:val="none" w:sz="0" w:space="0" w:color="auto"/>
      </w:divBdr>
    </w:div>
    <w:div w:id="1074010467">
      <w:bodyDiv w:val="1"/>
      <w:marLeft w:val="0"/>
      <w:marRight w:val="0"/>
      <w:marTop w:val="0"/>
      <w:marBottom w:val="0"/>
      <w:divBdr>
        <w:top w:val="none" w:sz="0" w:space="0" w:color="auto"/>
        <w:left w:val="none" w:sz="0" w:space="0" w:color="auto"/>
        <w:bottom w:val="none" w:sz="0" w:space="0" w:color="auto"/>
        <w:right w:val="none" w:sz="0" w:space="0" w:color="auto"/>
      </w:divBdr>
    </w:div>
    <w:div w:id="1081102153">
      <w:bodyDiv w:val="1"/>
      <w:marLeft w:val="0"/>
      <w:marRight w:val="0"/>
      <w:marTop w:val="0"/>
      <w:marBottom w:val="0"/>
      <w:divBdr>
        <w:top w:val="none" w:sz="0" w:space="0" w:color="auto"/>
        <w:left w:val="none" w:sz="0" w:space="0" w:color="auto"/>
        <w:bottom w:val="none" w:sz="0" w:space="0" w:color="auto"/>
        <w:right w:val="none" w:sz="0" w:space="0" w:color="auto"/>
      </w:divBdr>
    </w:div>
    <w:div w:id="1105808760">
      <w:bodyDiv w:val="1"/>
      <w:marLeft w:val="0"/>
      <w:marRight w:val="0"/>
      <w:marTop w:val="0"/>
      <w:marBottom w:val="0"/>
      <w:divBdr>
        <w:top w:val="none" w:sz="0" w:space="0" w:color="auto"/>
        <w:left w:val="none" w:sz="0" w:space="0" w:color="auto"/>
        <w:bottom w:val="none" w:sz="0" w:space="0" w:color="auto"/>
        <w:right w:val="none" w:sz="0" w:space="0" w:color="auto"/>
      </w:divBdr>
    </w:div>
    <w:div w:id="1108697202">
      <w:bodyDiv w:val="1"/>
      <w:marLeft w:val="0"/>
      <w:marRight w:val="0"/>
      <w:marTop w:val="0"/>
      <w:marBottom w:val="0"/>
      <w:divBdr>
        <w:top w:val="none" w:sz="0" w:space="0" w:color="auto"/>
        <w:left w:val="none" w:sz="0" w:space="0" w:color="auto"/>
        <w:bottom w:val="none" w:sz="0" w:space="0" w:color="auto"/>
        <w:right w:val="none" w:sz="0" w:space="0" w:color="auto"/>
      </w:divBdr>
    </w:div>
    <w:div w:id="1171749224">
      <w:bodyDiv w:val="1"/>
      <w:marLeft w:val="0"/>
      <w:marRight w:val="0"/>
      <w:marTop w:val="0"/>
      <w:marBottom w:val="0"/>
      <w:divBdr>
        <w:top w:val="none" w:sz="0" w:space="0" w:color="auto"/>
        <w:left w:val="none" w:sz="0" w:space="0" w:color="auto"/>
        <w:bottom w:val="none" w:sz="0" w:space="0" w:color="auto"/>
        <w:right w:val="none" w:sz="0" w:space="0" w:color="auto"/>
      </w:divBdr>
    </w:div>
    <w:div w:id="1225140074">
      <w:bodyDiv w:val="1"/>
      <w:marLeft w:val="0"/>
      <w:marRight w:val="0"/>
      <w:marTop w:val="0"/>
      <w:marBottom w:val="0"/>
      <w:divBdr>
        <w:top w:val="none" w:sz="0" w:space="0" w:color="auto"/>
        <w:left w:val="none" w:sz="0" w:space="0" w:color="auto"/>
        <w:bottom w:val="none" w:sz="0" w:space="0" w:color="auto"/>
        <w:right w:val="none" w:sz="0" w:space="0" w:color="auto"/>
      </w:divBdr>
    </w:div>
    <w:div w:id="1246919880">
      <w:bodyDiv w:val="1"/>
      <w:marLeft w:val="0"/>
      <w:marRight w:val="0"/>
      <w:marTop w:val="0"/>
      <w:marBottom w:val="0"/>
      <w:divBdr>
        <w:top w:val="none" w:sz="0" w:space="0" w:color="auto"/>
        <w:left w:val="none" w:sz="0" w:space="0" w:color="auto"/>
        <w:bottom w:val="none" w:sz="0" w:space="0" w:color="auto"/>
        <w:right w:val="none" w:sz="0" w:space="0" w:color="auto"/>
      </w:divBdr>
    </w:div>
    <w:div w:id="1249072542">
      <w:bodyDiv w:val="1"/>
      <w:marLeft w:val="0"/>
      <w:marRight w:val="0"/>
      <w:marTop w:val="0"/>
      <w:marBottom w:val="0"/>
      <w:divBdr>
        <w:top w:val="none" w:sz="0" w:space="0" w:color="auto"/>
        <w:left w:val="none" w:sz="0" w:space="0" w:color="auto"/>
        <w:bottom w:val="none" w:sz="0" w:space="0" w:color="auto"/>
        <w:right w:val="none" w:sz="0" w:space="0" w:color="auto"/>
      </w:divBdr>
    </w:div>
    <w:div w:id="1277104887">
      <w:bodyDiv w:val="1"/>
      <w:marLeft w:val="0"/>
      <w:marRight w:val="0"/>
      <w:marTop w:val="0"/>
      <w:marBottom w:val="0"/>
      <w:divBdr>
        <w:top w:val="none" w:sz="0" w:space="0" w:color="auto"/>
        <w:left w:val="none" w:sz="0" w:space="0" w:color="auto"/>
        <w:bottom w:val="none" w:sz="0" w:space="0" w:color="auto"/>
        <w:right w:val="none" w:sz="0" w:space="0" w:color="auto"/>
      </w:divBdr>
      <w:divsChild>
        <w:div w:id="1482238193">
          <w:marLeft w:val="0"/>
          <w:marRight w:val="0"/>
          <w:marTop w:val="0"/>
          <w:marBottom w:val="0"/>
          <w:divBdr>
            <w:top w:val="none" w:sz="0" w:space="0" w:color="auto"/>
            <w:left w:val="none" w:sz="0" w:space="0" w:color="auto"/>
            <w:bottom w:val="none" w:sz="0" w:space="0" w:color="auto"/>
            <w:right w:val="none" w:sz="0" w:space="0" w:color="auto"/>
          </w:divBdr>
        </w:div>
      </w:divsChild>
    </w:div>
    <w:div w:id="1279876963">
      <w:bodyDiv w:val="1"/>
      <w:marLeft w:val="0"/>
      <w:marRight w:val="0"/>
      <w:marTop w:val="0"/>
      <w:marBottom w:val="0"/>
      <w:divBdr>
        <w:top w:val="none" w:sz="0" w:space="0" w:color="auto"/>
        <w:left w:val="none" w:sz="0" w:space="0" w:color="auto"/>
        <w:bottom w:val="none" w:sz="0" w:space="0" w:color="auto"/>
        <w:right w:val="none" w:sz="0" w:space="0" w:color="auto"/>
      </w:divBdr>
    </w:div>
    <w:div w:id="1315253924">
      <w:bodyDiv w:val="1"/>
      <w:marLeft w:val="0"/>
      <w:marRight w:val="0"/>
      <w:marTop w:val="0"/>
      <w:marBottom w:val="0"/>
      <w:divBdr>
        <w:top w:val="none" w:sz="0" w:space="0" w:color="auto"/>
        <w:left w:val="none" w:sz="0" w:space="0" w:color="auto"/>
        <w:bottom w:val="none" w:sz="0" w:space="0" w:color="auto"/>
        <w:right w:val="none" w:sz="0" w:space="0" w:color="auto"/>
      </w:divBdr>
    </w:div>
    <w:div w:id="1438061552">
      <w:bodyDiv w:val="1"/>
      <w:marLeft w:val="0"/>
      <w:marRight w:val="0"/>
      <w:marTop w:val="0"/>
      <w:marBottom w:val="0"/>
      <w:divBdr>
        <w:top w:val="none" w:sz="0" w:space="0" w:color="auto"/>
        <w:left w:val="none" w:sz="0" w:space="0" w:color="auto"/>
        <w:bottom w:val="none" w:sz="0" w:space="0" w:color="auto"/>
        <w:right w:val="none" w:sz="0" w:space="0" w:color="auto"/>
      </w:divBdr>
    </w:div>
    <w:div w:id="1517384863">
      <w:bodyDiv w:val="1"/>
      <w:marLeft w:val="0"/>
      <w:marRight w:val="0"/>
      <w:marTop w:val="0"/>
      <w:marBottom w:val="0"/>
      <w:divBdr>
        <w:top w:val="none" w:sz="0" w:space="0" w:color="auto"/>
        <w:left w:val="none" w:sz="0" w:space="0" w:color="auto"/>
        <w:bottom w:val="none" w:sz="0" w:space="0" w:color="auto"/>
        <w:right w:val="none" w:sz="0" w:space="0" w:color="auto"/>
      </w:divBdr>
    </w:div>
    <w:div w:id="1549411110">
      <w:bodyDiv w:val="1"/>
      <w:marLeft w:val="0"/>
      <w:marRight w:val="0"/>
      <w:marTop w:val="0"/>
      <w:marBottom w:val="0"/>
      <w:divBdr>
        <w:top w:val="none" w:sz="0" w:space="0" w:color="auto"/>
        <w:left w:val="none" w:sz="0" w:space="0" w:color="auto"/>
        <w:bottom w:val="none" w:sz="0" w:space="0" w:color="auto"/>
        <w:right w:val="none" w:sz="0" w:space="0" w:color="auto"/>
      </w:divBdr>
    </w:div>
    <w:div w:id="1594317590">
      <w:bodyDiv w:val="1"/>
      <w:marLeft w:val="0"/>
      <w:marRight w:val="0"/>
      <w:marTop w:val="0"/>
      <w:marBottom w:val="0"/>
      <w:divBdr>
        <w:top w:val="none" w:sz="0" w:space="0" w:color="auto"/>
        <w:left w:val="none" w:sz="0" w:space="0" w:color="auto"/>
        <w:bottom w:val="none" w:sz="0" w:space="0" w:color="auto"/>
        <w:right w:val="none" w:sz="0" w:space="0" w:color="auto"/>
      </w:divBdr>
    </w:div>
    <w:div w:id="1608269980">
      <w:bodyDiv w:val="1"/>
      <w:marLeft w:val="0"/>
      <w:marRight w:val="0"/>
      <w:marTop w:val="0"/>
      <w:marBottom w:val="0"/>
      <w:divBdr>
        <w:top w:val="none" w:sz="0" w:space="0" w:color="auto"/>
        <w:left w:val="none" w:sz="0" w:space="0" w:color="auto"/>
        <w:bottom w:val="none" w:sz="0" w:space="0" w:color="auto"/>
        <w:right w:val="none" w:sz="0" w:space="0" w:color="auto"/>
      </w:divBdr>
      <w:divsChild>
        <w:div w:id="1596287549">
          <w:marLeft w:val="0"/>
          <w:marRight w:val="0"/>
          <w:marTop w:val="0"/>
          <w:marBottom w:val="0"/>
          <w:divBdr>
            <w:top w:val="none" w:sz="0" w:space="0" w:color="auto"/>
            <w:left w:val="none" w:sz="0" w:space="0" w:color="auto"/>
            <w:bottom w:val="none" w:sz="0" w:space="0" w:color="auto"/>
            <w:right w:val="none" w:sz="0" w:space="0" w:color="auto"/>
          </w:divBdr>
        </w:div>
      </w:divsChild>
    </w:div>
    <w:div w:id="1609579652">
      <w:bodyDiv w:val="1"/>
      <w:marLeft w:val="0"/>
      <w:marRight w:val="0"/>
      <w:marTop w:val="0"/>
      <w:marBottom w:val="0"/>
      <w:divBdr>
        <w:top w:val="none" w:sz="0" w:space="0" w:color="auto"/>
        <w:left w:val="none" w:sz="0" w:space="0" w:color="auto"/>
        <w:bottom w:val="none" w:sz="0" w:space="0" w:color="auto"/>
        <w:right w:val="none" w:sz="0" w:space="0" w:color="auto"/>
      </w:divBdr>
    </w:div>
    <w:div w:id="1671642711">
      <w:bodyDiv w:val="1"/>
      <w:marLeft w:val="0"/>
      <w:marRight w:val="0"/>
      <w:marTop w:val="0"/>
      <w:marBottom w:val="0"/>
      <w:divBdr>
        <w:top w:val="none" w:sz="0" w:space="0" w:color="auto"/>
        <w:left w:val="none" w:sz="0" w:space="0" w:color="auto"/>
        <w:bottom w:val="none" w:sz="0" w:space="0" w:color="auto"/>
        <w:right w:val="none" w:sz="0" w:space="0" w:color="auto"/>
      </w:divBdr>
    </w:div>
    <w:div w:id="1716586743">
      <w:bodyDiv w:val="1"/>
      <w:marLeft w:val="0"/>
      <w:marRight w:val="0"/>
      <w:marTop w:val="0"/>
      <w:marBottom w:val="0"/>
      <w:divBdr>
        <w:top w:val="none" w:sz="0" w:space="0" w:color="auto"/>
        <w:left w:val="none" w:sz="0" w:space="0" w:color="auto"/>
        <w:bottom w:val="none" w:sz="0" w:space="0" w:color="auto"/>
        <w:right w:val="none" w:sz="0" w:space="0" w:color="auto"/>
      </w:divBdr>
      <w:divsChild>
        <w:div w:id="2070837312">
          <w:marLeft w:val="0"/>
          <w:marRight w:val="0"/>
          <w:marTop w:val="0"/>
          <w:marBottom w:val="0"/>
          <w:divBdr>
            <w:top w:val="none" w:sz="0" w:space="0" w:color="auto"/>
            <w:left w:val="none" w:sz="0" w:space="0" w:color="auto"/>
            <w:bottom w:val="none" w:sz="0" w:space="0" w:color="auto"/>
            <w:right w:val="none" w:sz="0" w:space="0" w:color="auto"/>
          </w:divBdr>
        </w:div>
      </w:divsChild>
    </w:div>
    <w:div w:id="1812743354">
      <w:bodyDiv w:val="1"/>
      <w:marLeft w:val="0"/>
      <w:marRight w:val="0"/>
      <w:marTop w:val="0"/>
      <w:marBottom w:val="0"/>
      <w:divBdr>
        <w:top w:val="none" w:sz="0" w:space="0" w:color="auto"/>
        <w:left w:val="none" w:sz="0" w:space="0" w:color="auto"/>
        <w:bottom w:val="none" w:sz="0" w:space="0" w:color="auto"/>
        <w:right w:val="none" w:sz="0" w:space="0" w:color="auto"/>
      </w:divBdr>
    </w:div>
    <w:div w:id="2033456362">
      <w:bodyDiv w:val="1"/>
      <w:marLeft w:val="0"/>
      <w:marRight w:val="0"/>
      <w:marTop w:val="0"/>
      <w:marBottom w:val="0"/>
      <w:divBdr>
        <w:top w:val="none" w:sz="0" w:space="0" w:color="auto"/>
        <w:left w:val="none" w:sz="0" w:space="0" w:color="auto"/>
        <w:bottom w:val="none" w:sz="0" w:space="0" w:color="auto"/>
        <w:right w:val="none" w:sz="0" w:space="0" w:color="auto"/>
      </w:divBdr>
    </w:div>
    <w:div w:id="2108117065">
      <w:bodyDiv w:val="1"/>
      <w:marLeft w:val="0"/>
      <w:marRight w:val="0"/>
      <w:marTop w:val="0"/>
      <w:marBottom w:val="0"/>
      <w:divBdr>
        <w:top w:val="none" w:sz="0" w:space="0" w:color="auto"/>
        <w:left w:val="none" w:sz="0" w:space="0" w:color="auto"/>
        <w:bottom w:val="none" w:sz="0" w:space="0" w:color="auto"/>
        <w:right w:val="none" w:sz="0" w:space="0" w:color="auto"/>
      </w:divBdr>
    </w:div>
    <w:div w:id="2138252349">
      <w:bodyDiv w:val="1"/>
      <w:marLeft w:val="0"/>
      <w:marRight w:val="0"/>
      <w:marTop w:val="0"/>
      <w:marBottom w:val="0"/>
      <w:divBdr>
        <w:top w:val="none" w:sz="0" w:space="0" w:color="auto"/>
        <w:left w:val="none" w:sz="0" w:space="0" w:color="auto"/>
        <w:bottom w:val="none" w:sz="0" w:space="0" w:color="auto"/>
        <w:right w:val="none" w:sz="0" w:space="0" w:color="auto"/>
      </w:divBdr>
    </w:div>
    <w:div w:id="2138376951">
      <w:bodyDiv w:val="1"/>
      <w:marLeft w:val="0"/>
      <w:marRight w:val="0"/>
      <w:marTop w:val="0"/>
      <w:marBottom w:val="0"/>
      <w:divBdr>
        <w:top w:val="none" w:sz="0" w:space="0" w:color="auto"/>
        <w:left w:val="none" w:sz="0" w:space="0" w:color="auto"/>
        <w:bottom w:val="none" w:sz="0" w:space="0" w:color="auto"/>
        <w:right w:val="none" w:sz="0" w:space="0" w:color="auto"/>
      </w:divBdr>
    </w:div>
    <w:div w:id="21436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8EBE-75C5-46F9-B345-EA474935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6</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Cristian DUMITRU</dc:creator>
  <cp:keywords/>
  <cp:lastModifiedBy>Nicoleta Ileana DINESCU</cp:lastModifiedBy>
  <cp:revision>15</cp:revision>
  <cp:lastPrinted>2024-12-30T12:41:00Z</cp:lastPrinted>
  <dcterms:created xsi:type="dcterms:W3CDTF">2024-12-19T11:59:00Z</dcterms:created>
  <dcterms:modified xsi:type="dcterms:W3CDTF">2024-12-31T10:39:00Z</dcterms:modified>
</cp:coreProperties>
</file>