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F7EC" w14:textId="77777777" w:rsidR="00D55D7C" w:rsidRPr="001E19FE" w:rsidRDefault="00D55D7C" w:rsidP="001227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788AA81D" w14:textId="77777777" w:rsidR="00D55D7C" w:rsidRPr="001E19FE" w:rsidRDefault="00D55D7C" w:rsidP="001227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2120D4C9" w14:textId="456EB244" w:rsidR="00EC23F1" w:rsidRPr="001E19FE" w:rsidRDefault="00FE69FC" w:rsidP="001227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bookmarkStart w:id="0" w:name="_Hlk182917436"/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Proiect de Ordin</w:t>
      </w:r>
    </w:p>
    <w:p w14:paraId="663088DC" w14:textId="35372AD3" w:rsidR="0083009A" w:rsidRPr="001E19FE" w:rsidRDefault="00057FF7">
      <w:pPr>
        <w:autoSpaceDE w:val="0"/>
        <w:autoSpaceDN w:val="0"/>
        <w:adjustRightInd w:val="0"/>
        <w:spacing w:line="360" w:lineRule="auto"/>
        <w:jc w:val="center"/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1E19FE">
        <w:rPr>
          <w:rFonts w:ascii="Times New Roman" w:hAnsi="Times New Roman" w:cs="Times New Roman"/>
          <w:color w:val="000000"/>
          <w:sz w:val="24"/>
          <w:szCs w:val="24"/>
          <w:lang w:val="fr-FR"/>
        </w:rPr>
        <w:t>privind</w:t>
      </w:r>
      <w:proofErr w:type="gramEnd"/>
      <w:r w:rsidRPr="001E19F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modificarea </w:t>
      </w:r>
      <w:r w:rsidR="00451DCC" w:rsidRPr="001E19FE"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r w:rsidRPr="001E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9F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completarea </w:t>
      </w:r>
      <w:r w:rsidR="00047461" w:rsidRPr="001E19FE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Regulamentului privind stabilirea modului de colectare a contribuţiei pentru cogenerarea de înaltă eficienţă şi de plată a bonusului pentru energia electrică produsă în cogenerare de înaltă eficienţă, aprobat prin </w:t>
      </w:r>
      <w:r w:rsidRPr="001E19FE">
        <w:rPr>
          <w:rFonts w:ascii="Times New Roman" w:hAnsi="Times New Roman" w:cs="Times New Roman"/>
          <w:sz w:val="24"/>
          <w:szCs w:val="24"/>
        </w:rPr>
        <w:t>Ordinu</w:t>
      </w:r>
      <w:r w:rsidR="0083009A" w:rsidRPr="001E19FE">
        <w:rPr>
          <w:rFonts w:ascii="Times New Roman" w:hAnsi="Times New Roman" w:cs="Times New Roman"/>
          <w:sz w:val="24"/>
          <w:szCs w:val="24"/>
        </w:rPr>
        <w:t>l</w:t>
      </w:r>
      <w:r w:rsidRPr="001E19FE">
        <w:rPr>
          <w:rFonts w:ascii="Times New Roman" w:hAnsi="Times New Roman" w:cs="Times New Roman"/>
          <w:sz w:val="24"/>
          <w:szCs w:val="24"/>
        </w:rPr>
        <w:t xml:space="preserve"> președintelui </w:t>
      </w:r>
      <w:r w:rsidRPr="001E19FE">
        <w:rPr>
          <w:rFonts w:ascii="Times New Roman" w:hAnsi="Times New Roman" w:cs="Times New Roman"/>
          <w:color w:val="000000"/>
          <w:sz w:val="24"/>
          <w:szCs w:val="24"/>
        </w:rPr>
        <w:t>Autorității Naționale de Reglementare în Domeniul Energiei</w:t>
      </w:r>
      <w:r w:rsidRPr="001E19FE">
        <w:rPr>
          <w:rFonts w:ascii="Times New Roman" w:hAnsi="Times New Roman" w:cs="Times New Roman"/>
          <w:sz w:val="24"/>
          <w:szCs w:val="24"/>
        </w:rPr>
        <w:t xml:space="preserve"> nr. 116/2013</w:t>
      </w:r>
    </w:p>
    <w:bookmarkEnd w:id="0"/>
    <w:p w14:paraId="6EFF478C" w14:textId="23D4B5F1" w:rsidR="001A221A" w:rsidRPr="001E19FE" w:rsidRDefault="001A221A">
      <w:pPr>
        <w:pStyle w:val="shdr"/>
        <w:spacing w:before="0" w:after="0" w:line="360" w:lineRule="auto"/>
        <w:jc w:val="center"/>
        <w:rPr>
          <w:rStyle w:val="SubtleEmphasis"/>
          <w:rFonts w:ascii="Times New Roman" w:hAnsi="Times New Roman" w:cs="Times New Roman"/>
          <w:b w:val="0"/>
          <w:bCs w:val="0"/>
          <w:i w:val="0"/>
          <w:sz w:val="24"/>
          <w:szCs w:val="24"/>
          <w:lang w:eastAsia="en-US"/>
        </w:rPr>
      </w:pPr>
    </w:p>
    <w:p w14:paraId="3254AB34" w14:textId="77777777" w:rsidR="00D55D7C" w:rsidRPr="001E19FE" w:rsidRDefault="00D55D7C">
      <w:pPr>
        <w:pStyle w:val="shdr"/>
        <w:spacing w:before="0" w:after="0" w:line="360" w:lineRule="auto"/>
        <w:jc w:val="center"/>
        <w:rPr>
          <w:rStyle w:val="SubtleEmphasis"/>
          <w:rFonts w:ascii="Times New Roman" w:hAnsi="Times New Roman" w:cs="Times New Roman"/>
          <w:b w:val="0"/>
          <w:bCs w:val="0"/>
          <w:i w:val="0"/>
          <w:sz w:val="24"/>
          <w:szCs w:val="24"/>
          <w:lang w:eastAsia="en-US"/>
        </w:rPr>
      </w:pPr>
    </w:p>
    <w:p w14:paraId="5268A7B7" w14:textId="0B2D08EB" w:rsidR="001A221A" w:rsidRPr="001E19FE" w:rsidRDefault="00E90463" w:rsidP="00D55D7C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1E19FE">
        <w:rPr>
          <w:rStyle w:val="SubtleEmphasis"/>
          <w:rFonts w:ascii="Times New Roman" w:hAnsi="Times New Roman" w:cs="Times New Roman"/>
          <w:sz w:val="24"/>
          <w:szCs w:val="24"/>
        </w:rPr>
        <w:tab/>
      </w:r>
      <w:r w:rsidR="001A221A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Având în vedere prevederile </w:t>
      </w:r>
      <w:r w:rsidR="00046B82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art. 66</w:t>
      </w:r>
      <w:r w:rsidR="00046B82" w:rsidRPr="001E19FE">
        <w:rPr>
          <w:rStyle w:val="SubtleEmphasis"/>
          <w:rFonts w:ascii="Times New Roman" w:hAnsi="Times New Roman" w:cs="Times New Roman"/>
          <w:i w:val="0"/>
          <w:sz w:val="24"/>
          <w:szCs w:val="24"/>
          <w:vertAlign w:val="superscript"/>
        </w:rPr>
        <w:t xml:space="preserve">3 </w:t>
      </w:r>
      <w:r w:rsidR="00046B82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lit. c) şi ale </w:t>
      </w:r>
      <w:r w:rsidR="001A221A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art. 72 alin. (1) din Legea energiei electrice şi a gazelor naturale nr. 123/2012, </w:t>
      </w:r>
      <w:r w:rsidR="00047461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m</w:t>
      </w:r>
      <w:r w:rsidR="004B3A77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o</w:t>
      </w:r>
      <w:r w:rsidR="00047461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dificările şi completările ulterioare,</w:t>
      </w:r>
      <w:r w:rsidR="007A3FEE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6B82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precum şi </w:t>
      </w:r>
      <w:r w:rsidR="001A221A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ale art. 6 lit. j) din Hotărârea Guvernului nr. 1215/2009 privind stabilirea criteriilor şi a condiţiilor necesare implementării schemei de sprijin pentru promovarea cogenerării de înaltă eficienţă pe baza cererii de energie termică utilă</w:t>
      </w:r>
      <w:r w:rsidR="00047461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cu modificările şi completările ulterioare, </w:t>
      </w:r>
    </w:p>
    <w:p w14:paraId="13F6FA04" w14:textId="7538BCC2" w:rsidR="00E90463" w:rsidRPr="001E19FE" w:rsidRDefault="00E90463" w:rsidP="00E951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9FE">
        <w:rPr>
          <w:rFonts w:ascii="Times New Roman" w:hAnsi="Times New Roman" w:cs="Times New Roman"/>
          <w:sz w:val="24"/>
          <w:szCs w:val="24"/>
        </w:rPr>
        <w:t xml:space="preserve">în temeiul dispoziţiilor art. 5 alin. (1) lit. b) și alin. (5) şi ale art. 9 alin. (1) lit. </w:t>
      </w:r>
      <w:r w:rsidR="004B3A77" w:rsidRPr="001E19FE">
        <w:rPr>
          <w:rFonts w:ascii="Times New Roman" w:hAnsi="Times New Roman" w:cs="Times New Roman"/>
          <w:sz w:val="24"/>
          <w:szCs w:val="24"/>
        </w:rPr>
        <w:t xml:space="preserve">b) şi </w:t>
      </w:r>
      <w:r w:rsidRPr="001E19FE">
        <w:rPr>
          <w:rFonts w:ascii="Times New Roman" w:hAnsi="Times New Roman" w:cs="Times New Roman"/>
          <w:sz w:val="24"/>
          <w:szCs w:val="24"/>
        </w:rPr>
        <w:t>x) din Ordonanţa de urgenţă a Guvernului nr. 33/2007 privind organizarea și funcționarea Autorităţii Naţionale de Reglementare în Domeniul Energiei, aprobată cu modificări şi completǎri prin Legea nr. 160/2012, cu modificările și completările ulterioare,</w:t>
      </w:r>
    </w:p>
    <w:p w14:paraId="1CAE5AA3" w14:textId="77777777" w:rsidR="00D55D7C" w:rsidRPr="001E19FE" w:rsidRDefault="00D55D7C" w:rsidP="00E951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F78B92" w14:textId="7DD6E754" w:rsidR="00E90463" w:rsidRPr="001E19FE" w:rsidRDefault="00E904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9FE">
        <w:rPr>
          <w:rFonts w:ascii="Times New Roman" w:hAnsi="Times New Roman" w:cs="Times New Roman"/>
          <w:b/>
          <w:sz w:val="24"/>
          <w:szCs w:val="24"/>
        </w:rPr>
        <w:t xml:space="preserve">preşedintele Autorităţii Naţionale de Reglementare în Domeniul Energiei emite </w:t>
      </w:r>
      <w:r w:rsidR="00BF5C96" w:rsidRPr="001E19FE">
        <w:rPr>
          <w:rFonts w:ascii="Times New Roman" w:hAnsi="Times New Roman" w:cs="Times New Roman"/>
          <w:b/>
          <w:sz w:val="24"/>
          <w:szCs w:val="24"/>
        </w:rPr>
        <w:t>u</w:t>
      </w:r>
      <w:r w:rsidRPr="001E19FE">
        <w:rPr>
          <w:rFonts w:ascii="Times New Roman" w:hAnsi="Times New Roman" w:cs="Times New Roman"/>
          <w:b/>
          <w:sz w:val="24"/>
          <w:szCs w:val="24"/>
        </w:rPr>
        <w:t>rmătorul</w:t>
      </w:r>
    </w:p>
    <w:p w14:paraId="4C28E772" w14:textId="090D4A2A" w:rsidR="00BF5C96" w:rsidRPr="001E19FE" w:rsidRDefault="004B3A77">
      <w:pPr>
        <w:pStyle w:val="Heading8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E19FE">
        <w:rPr>
          <w:rFonts w:ascii="Times New Roman" w:hAnsi="Times New Roman" w:cs="Times New Roman"/>
          <w:i w:val="0"/>
          <w:sz w:val="24"/>
          <w:szCs w:val="24"/>
        </w:rPr>
        <w:t>ordin:</w:t>
      </w:r>
    </w:p>
    <w:p w14:paraId="6A9980EF" w14:textId="77777777" w:rsidR="001A221A" w:rsidRPr="001E19FE" w:rsidRDefault="001A221A">
      <w:pPr>
        <w:pStyle w:val="spar"/>
        <w:spacing w:line="360" w:lineRule="auto"/>
        <w:ind w:left="0"/>
        <w:jc w:val="both"/>
        <w:rPr>
          <w:rStyle w:val="SubtleEmphasis"/>
          <w:rFonts w:ascii="Times New Roman" w:eastAsiaTheme="majorEastAsia" w:hAnsi="Times New Roman" w:cs="Times New Roman"/>
          <w:b/>
          <w:bCs/>
          <w:i w:val="0"/>
          <w:iCs w:val="0"/>
          <w:lang w:eastAsia="en-US"/>
        </w:rPr>
      </w:pPr>
    </w:p>
    <w:p w14:paraId="1DF4500E" w14:textId="1A50289E" w:rsidR="00E72CC7" w:rsidRPr="001E19FE" w:rsidRDefault="00D214D2" w:rsidP="00D55D7C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62528E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-</w:t>
      </w:r>
      <w:r w:rsidR="006A3316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Regulamentul privind stabilirea modului de colectare a contribuţiei pentru cogenerarea de înaltă eficienţă şi de plată a bonusului pentru energia electrică produsă în cogenerare de înaltă eficienţă</w:t>
      </w:r>
      <w:r w:rsidR="00122707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,</w:t>
      </w:r>
      <w:r w:rsidR="006A3316" w:rsidRPr="001E19FE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aprobat prin Ordinul președintelui Autorității Naționale de Reglementare în Domeniul Energiei</w:t>
      </w:r>
      <w:r w:rsidR="006A3316" w:rsidRPr="001E19FE" w:rsidDel="00963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116/2013, publicat în Monitorul Oficial al României, Partea I, nr. </w:t>
      </w:r>
      <w:r w:rsidR="005F3151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 w:rsidR="007634C7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F3151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r w:rsidR="005F3151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151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5F3151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r w:rsidR="004B3A77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modificările şi 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completările ulterioare, se modifică </w:t>
      </w:r>
      <w:r w:rsidR="004B3A77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se completează </w:t>
      </w:r>
      <w:r w:rsidR="006A3316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după cum urmează:</w:t>
      </w:r>
    </w:p>
    <w:p w14:paraId="7466F5B2" w14:textId="588CCF15" w:rsidR="00555E6E" w:rsidRPr="001E19FE" w:rsidRDefault="00046B8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articolul 2, după litera h), se introduc 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liter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, liter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i)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j)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, cu următorul cuprins:</w:t>
      </w:r>
    </w:p>
    <w:p w14:paraId="61CD9E1F" w14:textId="77777777" w:rsidR="00F41004" w:rsidRPr="001E19FE" w:rsidRDefault="00046B82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„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furnizorii de servicii de stocare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2C3680" w14:textId="30908354" w:rsidR="00046B82" w:rsidRDefault="00F41004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j) operatorii de servicii de stocare.</w:t>
      </w:r>
      <w:r w:rsidR="00046B82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330AE9D6" w14:textId="77777777" w:rsidR="00C83B20" w:rsidRPr="001E19FE" w:rsidRDefault="00C83B20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593A5" w14:textId="43E4D00E" w:rsidR="00046B82" w:rsidRPr="001E19FE" w:rsidRDefault="00046B8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La articolul 4, liter</w:t>
      </w:r>
      <w:r w:rsidR="00F41004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a e) se modifică şi va avea următorul cuprins:</w:t>
      </w:r>
    </w:p>
    <w:p w14:paraId="3C0E7B48" w14:textId="7B054C31" w:rsidR="00F41004" w:rsidRPr="001E19FE" w:rsidRDefault="00F41004" w:rsidP="00D55D7C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„e) </w:t>
      </w:r>
      <w:r w:rsidRPr="001E19FE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plătitori de contribuţie - consumatorii de energie electrică, prin furnizorii acestora, furnizorii - pentru energia electrică consumată la locurile de consum proprii pentru care fac autofurnizare, producătorii de energie electrică - atât pentru energia electrică consumată la locurile de consum proprii, cât şi pentru energia electrică furnizată consumatorilor racordaţi direct la barele centralelor şi pentru care au încheiate contracte de distribuţie/transport a/al energiei electrice, </w:t>
      </w:r>
      <w:bookmarkStart w:id="1" w:name="_Hlk190246232"/>
      <w:r w:rsidRPr="001E19FE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precum şi operatorii de servicii de stocare </w:t>
      </w:r>
      <w:r w:rsidR="00BC7DD5" w:rsidRPr="001E19FE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 xml:space="preserve">- atât pentru energia electrică consumată la locurile de consum proprii, cât şi </w:t>
      </w:r>
      <w:r w:rsidRPr="001E19FE">
        <w:rPr>
          <w:rFonts w:ascii="Times New Roman" w:eastAsia="Verdana" w:hAnsi="Times New Roman" w:cs="Times New Roman"/>
          <w:bCs/>
          <w:sz w:val="24"/>
          <w:szCs w:val="24"/>
          <w:lang w:eastAsia="ro-RO"/>
        </w:rPr>
        <w:t>pentru energia electrică care este livrată consumatorilor finali racordaţi prin linii directe la instalaţia de stocare şi pentru care au încheiate contracte de distribuţie/transport a/al energiei electrice</w:t>
      </w:r>
      <w:bookmarkEnd w:id="1"/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381FF5CB" w14:textId="203F5B55" w:rsidR="00853E27" w:rsidRPr="001E19FE" w:rsidRDefault="00853E27" w:rsidP="00E9512E">
      <w:pPr>
        <w:pStyle w:val="ListParagraph"/>
        <w:spacing w:after="0" w:line="360" w:lineRule="auto"/>
        <w:ind w:left="709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FAF4C12" w14:textId="1E9459E2" w:rsidR="00EC08FA" w:rsidRPr="001E19FE" w:rsidRDefault="00B53DC5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La articolul </w:t>
      </w:r>
      <w:r w:rsidR="00EC08FA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25, la litera b), după punctul iv), se introduce un punct nou, punctul v), cu următorul cuprins:</w:t>
      </w:r>
    </w:p>
    <w:p w14:paraId="49A45FEE" w14:textId="66432A82" w:rsidR="00B53DC5" w:rsidRDefault="00EC08FA" w:rsidP="00D55D7C">
      <w:pPr>
        <w:pStyle w:val="ListParagraph"/>
        <w:tabs>
          <w:tab w:val="left" w:pos="851"/>
        </w:tabs>
        <w:spacing w:after="0" w:line="360" w:lineRule="auto"/>
        <w:ind w:left="1069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bookmarkStart w:id="2" w:name="_Hlk190247786"/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„v) cantitatea de energie electrică </w:t>
      </w:r>
      <w:r w:rsidR="00E9512E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măsurată </w:t>
      </w: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absorbită din reţea sau dintr-o capacitate de producere a energiei electrice şi stocată sub orice formă pentru o perioadă limitată de timp</w:t>
      </w:r>
      <w:r w:rsidR="00830DEE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,</w:t>
      </w:r>
      <w:r w:rsidR="00830DEE" w:rsidRPr="001E19FE">
        <w:rPr>
          <w:rFonts w:ascii="Times New Roman" w:hAnsi="Times New Roman" w:cs="Times New Roman"/>
          <w:sz w:val="24"/>
          <w:szCs w:val="24"/>
        </w:rPr>
        <w:t xml:space="preserve"> </w:t>
      </w:r>
      <w:r w:rsidR="00830DEE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cu excepţia cantităţii de energie electrică care este livrată consumatorilor finali racordaţi prin linii directe la instalaţia de stocare şi pentru care au încheiate contracte de distribuţie/transport a/al energiei electrice</w:t>
      </w:r>
      <w:r w:rsidR="00E9512E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”</w:t>
      </w:r>
      <w:r w:rsidR="00B53DC5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9C29BB6" w14:textId="77777777" w:rsidR="00C83B20" w:rsidRDefault="00C83B20" w:rsidP="00D55D7C">
      <w:pPr>
        <w:pStyle w:val="ListParagraph"/>
        <w:tabs>
          <w:tab w:val="left" w:pos="851"/>
        </w:tabs>
        <w:spacing w:after="0" w:line="360" w:lineRule="auto"/>
        <w:ind w:left="1069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</w:p>
    <w:bookmarkEnd w:id="2"/>
    <w:p w14:paraId="715F08BA" w14:textId="26327AA4" w:rsidR="005E290E" w:rsidRPr="001E19FE" w:rsidRDefault="005E290E" w:rsidP="00E9512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1A9C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La a</w:t>
      </w: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rticolul </w:t>
      </w:r>
      <w:r w:rsidR="0089522B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2</w:t>
      </w: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6, </w:t>
      </w:r>
      <w:r w:rsidR="00F01A9C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litera e) </w:t>
      </w: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 modifică şi va avea următorul cuprins:</w:t>
      </w:r>
    </w:p>
    <w:p w14:paraId="3D25361A" w14:textId="56B71383" w:rsidR="00A02975" w:rsidRPr="001E19FE" w:rsidRDefault="005E290E" w:rsidP="00C83B2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9FE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F01A9C" w:rsidRPr="001E19FE">
        <w:rPr>
          <w:rFonts w:ascii="Times New Roman" w:hAnsi="Times New Roman" w:cs="Times New Roman"/>
          <w:sz w:val="24"/>
          <w:szCs w:val="24"/>
          <w:lang w:val="en-GB"/>
        </w:rPr>
        <w:t xml:space="preserve">e) </w:t>
      </w:r>
      <w:r w:rsidR="00F01A9C" w:rsidRPr="001E19F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să notifice către ANRE neîndeplinirea de către plătitorii de contribuţie şi/sau de către producătorii care beneficiază de schema de sprijin a obligaţiilor instituite prin prezentul regulament, în special cele referitoare la neconstituirea/ neactualizarea garanţiei financiare sau neplata facturilor emise de administratorul schemei de sprijin, în vederea analizării condiţiilor referitoare la suspendarea şi retragerea licenţei, prevăzute </w:t>
      </w:r>
      <w:r w:rsidR="00E9512E" w:rsidRPr="001E19F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în</w:t>
      </w:r>
      <w:r w:rsidR="00F01A9C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90247981"/>
      <w:r w:rsidR="00F01A9C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reglementările aplicabile, emise de</w:t>
      </w:r>
      <w:r w:rsidR="00F01A9C" w:rsidRPr="001E19F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Autoritatea Naţională de Reglementare în Domeniul Energiei</w:t>
      </w:r>
      <w:bookmarkEnd w:id="3"/>
      <w:r w:rsidR="00F01A9C" w:rsidRPr="001E19F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  <w:r w:rsidR="00F01A9C"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5799569D" w14:textId="77777777" w:rsidR="00A02975" w:rsidRPr="001E19FE" w:rsidRDefault="00A02975" w:rsidP="00C83B20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56909" w14:textId="48747336" w:rsidR="00506EEF" w:rsidRPr="001E19FE" w:rsidRDefault="00506EEF" w:rsidP="00C83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1E19FE">
        <w:rPr>
          <w:rFonts w:ascii="Times New Roman" w:hAnsi="Times New Roman" w:cs="Times New Roman"/>
          <w:sz w:val="24"/>
          <w:szCs w:val="24"/>
        </w:rPr>
        <w:t>La articolul 27, litera e)</w:t>
      </w:r>
      <w:r w:rsidR="00B06DC5" w:rsidRPr="001E19FE">
        <w:rPr>
          <w:rFonts w:ascii="Times New Roman" w:hAnsi="Times New Roman" w:cs="Times New Roman"/>
          <w:sz w:val="24"/>
          <w:szCs w:val="24"/>
        </w:rPr>
        <w:t xml:space="preserve"> </w:t>
      </w:r>
      <w:r w:rsidR="00B06DC5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 modifică şi va avea următorul cuprins:</w:t>
      </w:r>
    </w:p>
    <w:p w14:paraId="19210251" w14:textId="6E0BF554" w:rsidR="00B06DC5" w:rsidRPr="001E19FE" w:rsidRDefault="00B06DC5" w:rsidP="00D55D7C">
      <w:pPr>
        <w:spacing w:line="360" w:lineRule="auto"/>
        <w:ind w:left="70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1E19FE">
        <w:rPr>
          <w:rFonts w:ascii="Times New Roman" w:hAnsi="Times New Roman" w:cs="Times New Roman"/>
          <w:sz w:val="24"/>
          <w:szCs w:val="24"/>
          <w:lang w:val="en-GB"/>
        </w:rPr>
        <w:t xml:space="preserve">“e) </w:t>
      </w:r>
      <w:r w:rsidRPr="001E19F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să notifice ANRE neîndeplinirea de către plătitorii de contribuţie şi/sau de către producătorii ce beneficiază de schema de sprijin a obligaţiilor instituite prin prezentul regulament, în special a celor referitoare la neconstituirea/neactualizarea garanţiei </w:t>
      </w:r>
      <w:r w:rsidRPr="001E19F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financiare sau neplata facturilor emise de administratorul schemei de sprijin, în vederea analizării condiţiilor referitoare la suspendarea şi retragerea licenţei, prevăzute în </w:t>
      </w: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reglementările aplicabile, emise de</w:t>
      </w:r>
      <w:r w:rsidRPr="001E19F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bookmarkStart w:id="4" w:name="_Hlk190248071"/>
      <w:r w:rsidRPr="001E19F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Autoritatea Naţională de Reglementare în Domeniul Energiei</w:t>
      </w:r>
      <w:bookmarkEnd w:id="4"/>
      <w:r w:rsidR="00E9512E" w:rsidRPr="001E19F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1E19FE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64133275" w14:textId="780905B2" w:rsidR="00A94AA9" w:rsidRPr="001E19FE" w:rsidRDefault="00D55D7C" w:rsidP="00122707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</w:pPr>
      <w:r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   </w:t>
      </w:r>
      <w:r w:rsidR="004F5580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06393" w:rsidRPr="001E19FE">
        <w:rPr>
          <w:rStyle w:val="SubtleEmphasis"/>
          <w:rFonts w:ascii="Times New Roman" w:hAnsi="Times New Roman" w:cs="Times New Roman"/>
          <w:i w:val="0"/>
          <w:sz w:val="24"/>
          <w:szCs w:val="24"/>
        </w:rPr>
        <w:t>Entităţile</w:t>
      </w:r>
      <w:r w:rsidR="00306393" w:rsidRPr="001E19FE">
        <w:rPr>
          <w:rFonts w:ascii="Times New Roman" w:eastAsia="Verdana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306393" w:rsidRPr="001E19FE"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  <w:t>organizatorice din cadrul Autorităţii Naţionale de Reglementare în Domeniul Energiei urmăresc respectarea prevederilor prezentului ordin.</w:t>
      </w:r>
    </w:p>
    <w:p w14:paraId="784D2B15" w14:textId="27653B29" w:rsidR="00306393" w:rsidRPr="001E19FE" w:rsidRDefault="00306393" w:rsidP="0012270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</w:pPr>
      <w:r w:rsidRPr="001E19FE"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  <w:t>- Prezentul ordin se publică în Monitorul Oficial al României, Partea I</w:t>
      </w:r>
      <w:r w:rsidR="00122707" w:rsidRPr="001E19FE">
        <w:rPr>
          <w:rFonts w:ascii="Times New Roman" w:eastAsia="Verdana" w:hAnsi="Times New Roman" w:cs="Times New Roman"/>
          <w:sz w:val="24"/>
          <w:szCs w:val="24"/>
          <w:bdr w:val="none" w:sz="0" w:space="0" w:color="auto" w:frame="1"/>
        </w:rPr>
        <w:t>.</w:t>
      </w:r>
    </w:p>
    <w:p w14:paraId="065BD4C6" w14:textId="402C0C89" w:rsidR="00DE45DD" w:rsidRDefault="00DE45DD" w:rsidP="001227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E9CD6A" w14:textId="487A600E" w:rsidR="00A62FD8" w:rsidRDefault="00A62FD8" w:rsidP="001227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828F9" w14:textId="77777777" w:rsidR="00A62FD8" w:rsidRPr="00A62FD8" w:rsidRDefault="00A62FD8" w:rsidP="00A62FD8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GoBack"/>
      <w:bookmarkEnd w:id="5"/>
    </w:p>
    <w:p w14:paraId="19C3DF5E" w14:textId="77777777" w:rsidR="00A62FD8" w:rsidRPr="001E19FE" w:rsidRDefault="00A62FD8" w:rsidP="001227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62FD8" w:rsidRPr="001E19FE" w:rsidSect="00BF5C96"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5494C" w14:textId="77777777" w:rsidR="00150EB8" w:rsidRDefault="00150EB8" w:rsidP="00353A99">
      <w:pPr>
        <w:spacing w:after="0" w:line="240" w:lineRule="auto"/>
      </w:pPr>
      <w:r>
        <w:separator/>
      </w:r>
    </w:p>
  </w:endnote>
  <w:endnote w:type="continuationSeparator" w:id="0">
    <w:p w14:paraId="42A66FA7" w14:textId="77777777" w:rsidR="00150EB8" w:rsidRDefault="00150EB8" w:rsidP="0035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659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D37EA" w14:textId="6C26E49E" w:rsidR="00FE69FC" w:rsidRDefault="00FE6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CFD31" w14:textId="77777777" w:rsidR="00353A99" w:rsidRDefault="0035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FC2A4" w14:textId="77777777" w:rsidR="00150EB8" w:rsidRDefault="00150EB8" w:rsidP="00353A99">
      <w:pPr>
        <w:spacing w:after="0" w:line="240" w:lineRule="auto"/>
      </w:pPr>
      <w:r>
        <w:separator/>
      </w:r>
    </w:p>
  </w:footnote>
  <w:footnote w:type="continuationSeparator" w:id="0">
    <w:p w14:paraId="06B56529" w14:textId="77777777" w:rsidR="00150EB8" w:rsidRDefault="00150EB8" w:rsidP="00353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6704"/>
    <w:multiLevelType w:val="hybridMultilevel"/>
    <w:tmpl w:val="76F4F640"/>
    <w:lvl w:ilvl="0" w:tplc="2564D144">
      <w:start w:val="1"/>
      <w:numFmt w:val="upperRoman"/>
      <w:lvlText w:val="Art.%1.  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165D2371"/>
    <w:multiLevelType w:val="hybridMultilevel"/>
    <w:tmpl w:val="E7E27CDE"/>
    <w:lvl w:ilvl="0" w:tplc="EF7027F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96044"/>
    <w:multiLevelType w:val="hybridMultilevel"/>
    <w:tmpl w:val="479ECD92"/>
    <w:lvl w:ilvl="0" w:tplc="85F231D0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E052B99"/>
    <w:multiLevelType w:val="hybridMultilevel"/>
    <w:tmpl w:val="F78C37D6"/>
    <w:lvl w:ilvl="0" w:tplc="0030A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B14"/>
    <w:multiLevelType w:val="hybridMultilevel"/>
    <w:tmpl w:val="BEE29142"/>
    <w:lvl w:ilvl="0" w:tplc="F2FE9E4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AA60C3D6">
      <w:start w:val="1"/>
      <w:numFmt w:val="lowerLetter"/>
      <w:lvlText w:val="%2)"/>
      <w:lvlJc w:val="left"/>
      <w:pPr>
        <w:ind w:left="1812" w:hanging="372"/>
      </w:pPr>
      <w:rPr>
        <w:rFonts w:hint="default"/>
      </w:rPr>
    </w:lvl>
    <w:lvl w:ilvl="2" w:tplc="787C98DE">
      <w:start w:val="2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3A3BB2"/>
    <w:multiLevelType w:val="hybridMultilevel"/>
    <w:tmpl w:val="01FC63EA"/>
    <w:lvl w:ilvl="0" w:tplc="A5E4B2B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5DE5E23"/>
    <w:multiLevelType w:val="hybridMultilevel"/>
    <w:tmpl w:val="409870FC"/>
    <w:lvl w:ilvl="0" w:tplc="2564D144">
      <w:start w:val="1"/>
      <w:numFmt w:val="upperRoman"/>
      <w:lvlText w:val="Art.%1. 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C2E66"/>
    <w:multiLevelType w:val="hybridMultilevel"/>
    <w:tmpl w:val="7682D27A"/>
    <w:lvl w:ilvl="0" w:tplc="289A08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F7"/>
    <w:rsid w:val="000313F4"/>
    <w:rsid w:val="00033AB2"/>
    <w:rsid w:val="000445F7"/>
    <w:rsid w:val="00046B82"/>
    <w:rsid w:val="00047461"/>
    <w:rsid w:val="00057FF7"/>
    <w:rsid w:val="00063392"/>
    <w:rsid w:val="00083C47"/>
    <w:rsid w:val="0009671B"/>
    <w:rsid w:val="000C23B0"/>
    <w:rsid w:val="000F0956"/>
    <w:rsid w:val="001043C8"/>
    <w:rsid w:val="00112A54"/>
    <w:rsid w:val="00122707"/>
    <w:rsid w:val="001410A8"/>
    <w:rsid w:val="00142EFA"/>
    <w:rsid w:val="00150EB8"/>
    <w:rsid w:val="00173284"/>
    <w:rsid w:val="001935B2"/>
    <w:rsid w:val="001A221A"/>
    <w:rsid w:val="001B34C7"/>
    <w:rsid w:val="001E19FE"/>
    <w:rsid w:val="00211637"/>
    <w:rsid w:val="0021250D"/>
    <w:rsid w:val="00213D10"/>
    <w:rsid w:val="00225EA3"/>
    <w:rsid w:val="00257149"/>
    <w:rsid w:val="002571BA"/>
    <w:rsid w:val="002771D8"/>
    <w:rsid w:val="002C6D11"/>
    <w:rsid w:val="002F1FEF"/>
    <w:rsid w:val="00306393"/>
    <w:rsid w:val="00345E81"/>
    <w:rsid w:val="00353A99"/>
    <w:rsid w:val="00362537"/>
    <w:rsid w:val="003661FD"/>
    <w:rsid w:val="00387824"/>
    <w:rsid w:val="003C17D0"/>
    <w:rsid w:val="00404A5E"/>
    <w:rsid w:val="004314B8"/>
    <w:rsid w:val="00451DCC"/>
    <w:rsid w:val="00462BFF"/>
    <w:rsid w:val="004642E4"/>
    <w:rsid w:val="00473913"/>
    <w:rsid w:val="00476FDD"/>
    <w:rsid w:val="004A1E75"/>
    <w:rsid w:val="004B3A77"/>
    <w:rsid w:val="004F27B7"/>
    <w:rsid w:val="004F5580"/>
    <w:rsid w:val="00500DCA"/>
    <w:rsid w:val="00506EEF"/>
    <w:rsid w:val="00534604"/>
    <w:rsid w:val="00555E6E"/>
    <w:rsid w:val="005865EC"/>
    <w:rsid w:val="00591411"/>
    <w:rsid w:val="00593791"/>
    <w:rsid w:val="00596E62"/>
    <w:rsid w:val="005C0DB8"/>
    <w:rsid w:val="005E290E"/>
    <w:rsid w:val="005E7806"/>
    <w:rsid w:val="005F3151"/>
    <w:rsid w:val="005F64B4"/>
    <w:rsid w:val="0062528E"/>
    <w:rsid w:val="00625677"/>
    <w:rsid w:val="00667C8C"/>
    <w:rsid w:val="006A3316"/>
    <w:rsid w:val="006E43AD"/>
    <w:rsid w:val="006F0092"/>
    <w:rsid w:val="00705A08"/>
    <w:rsid w:val="00723AAB"/>
    <w:rsid w:val="00750B12"/>
    <w:rsid w:val="007634C7"/>
    <w:rsid w:val="00764C0A"/>
    <w:rsid w:val="0076649F"/>
    <w:rsid w:val="00767ADF"/>
    <w:rsid w:val="00795B05"/>
    <w:rsid w:val="007A3FEE"/>
    <w:rsid w:val="0081778B"/>
    <w:rsid w:val="00821227"/>
    <w:rsid w:val="0083009A"/>
    <w:rsid w:val="00830DEE"/>
    <w:rsid w:val="00850853"/>
    <w:rsid w:val="00853E27"/>
    <w:rsid w:val="00880A48"/>
    <w:rsid w:val="00884EDE"/>
    <w:rsid w:val="0089522B"/>
    <w:rsid w:val="008A20E4"/>
    <w:rsid w:val="008C2A65"/>
    <w:rsid w:val="008D7564"/>
    <w:rsid w:val="0091035B"/>
    <w:rsid w:val="00937D4F"/>
    <w:rsid w:val="009442F0"/>
    <w:rsid w:val="0095089F"/>
    <w:rsid w:val="00991F22"/>
    <w:rsid w:val="009A2138"/>
    <w:rsid w:val="009C6132"/>
    <w:rsid w:val="009E1531"/>
    <w:rsid w:val="009F5FD3"/>
    <w:rsid w:val="00A02975"/>
    <w:rsid w:val="00A07221"/>
    <w:rsid w:val="00A3001A"/>
    <w:rsid w:val="00A555E3"/>
    <w:rsid w:val="00A603EC"/>
    <w:rsid w:val="00A62FD8"/>
    <w:rsid w:val="00A94AA9"/>
    <w:rsid w:val="00A94F56"/>
    <w:rsid w:val="00AC3A51"/>
    <w:rsid w:val="00AE2886"/>
    <w:rsid w:val="00B0297D"/>
    <w:rsid w:val="00B04160"/>
    <w:rsid w:val="00B06DC5"/>
    <w:rsid w:val="00B268BC"/>
    <w:rsid w:val="00B327C2"/>
    <w:rsid w:val="00B34255"/>
    <w:rsid w:val="00B53DC5"/>
    <w:rsid w:val="00B62FA1"/>
    <w:rsid w:val="00B83FC9"/>
    <w:rsid w:val="00BA6182"/>
    <w:rsid w:val="00BC7DD5"/>
    <w:rsid w:val="00BD4984"/>
    <w:rsid w:val="00BE15FF"/>
    <w:rsid w:val="00BF01AA"/>
    <w:rsid w:val="00BF22DE"/>
    <w:rsid w:val="00BF5C96"/>
    <w:rsid w:val="00C0744C"/>
    <w:rsid w:val="00C337E0"/>
    <w:rsid w:val="00C83B20"/>
    <w:rsid w:val="00C95C70"/>
    <w:rsid w:val="00C963B7"/>
    <w:rsid w:val="00CA7384"/>
    <w:rsid w:val="00CE0EB8"/>
    <w:rsid w:val="00CF6573"/>
    <w:rsid w:val="00D214D2"/>
    <w:rsid w:val="00D558EF"/>
    <w:rsid w:val="00D55D7C"/>
    <w:rsid w:val="00DB2ACB"/>
    <w:rsid w:val="00DB5C41"/>
    <w:rsid w:val="00DC0B55"/>
    <w:rsid w:val="00DD5AC0"/>
    <w:rsid w:val="00DE45DD"/>
    <w:rsid w:val="00DF178D"/>
    <w:rsid w:val="00E102BB"/>
    <w:rsid w:val="00E13C2B"/>
    <w:rsid w:val="00E243E9"/>
    <w:rsid w:val="00E72CC7"/>
    <w:rsid w:val="00E82818"/>
    <w:rsid w:val="00E90463"/>
    <w:rsid w:val="00E9512E"/>
    <w:rsid w:val="00E9699E"/>
    <w:rsid w:val="00EA3573"/>
    <w:rsid w:val="00EB15E7"/>
    <w:rsid w:val="00EB7529"/>
    <w:rsid w:val="00EC08FA"/>
    <w:rsid w:val="00EC23F1"/>
    <w:rsid w:val="00EC4D9E"/>
    <w:rsid w:val="00EF34DB"/>
    <w:rsid w:val="00F01A9C"/>
    <w:rsid w:val="00F31CEC"/>
    <w:rsid w:val="00F41004"/>
    <w:rsid w:val="00F61E45"/>
    <w:rsid w:val="00F8761B"/>
    <w:rsid w:val="00F9520B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D1C6"/>
  <w15:chartTrackingRefBased/>
  <w15:docId w15:val="{57E5AD57-DA9F-4A43-A5CF-EE8F3E1F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FEF"/>
  </w:style>
  <w:style w:type="paragraph" w:styleId="Heading1">
    <w:name w:val="heading 1"/>
    <w:basedOn w:val="Normal"/>
    <w:next w:val="Normal"/>
    <w:link w:val="Heading1Char"/>
    <w:uiPriority w:val="9"/>
    <w:qFormat/>
    <w:rsid w:val="002F1F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F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F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F1FEF"/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customStyle="1" w:styleId="shdr">
    <w:name w:val="s_hdr"/>
    <w:basedOn w:val="Normal"/>
    <w:uiPriority w:val="99"/>
    <w:semiHidden/>
    <w:rsid w:val="0083009A"/>
    <w:pPr>
      <w:spacing w:before="72" w:after="72"/>
      <w:ind w:left="72" w:right="72"/>
    </w:pPr>
    <w:rPr>
      <w:rFonts w:ascii="Verdana" w:hAnsi="Verdana"/>
      <w:b/>
      <w:bCs/>
      <w:color w:val="333333"/>
      <w:lang w:eastAsia="ro-RO"/>
    </w:rPr>
  </w:style>
  <w:style w:type="character" w:styleId="SubtleEmphasis">
    <w:name w:val="Subtle Emphasis"/>
    <w:basedOn w:val="DefaultParagraphFont"/>
    <w:uiPriority w:val="19"/>
    <w:qFormat/>
    <w:rsid w:val="002F1FEF"/>
    <w:rPr>
      <w:i/>
      <w:iCs/>
      <w:color w:val="595959" w:themeColor="text1" w:themeTint="A6"/>
    </w:rPr>
  </w:style>
  <w:style w:type="paragraph" w:customStyle="1" w:styleId="spar">
    <w:name w:val="s_par"/>
    <w:basedOn w:val="Normal"/>
    <w:uiPriority w:val="99"/>
    <w:semiHidden/>
    <w:rsid w:val="001A221A"/>
    <w:pPr>
      <w:ind w:left="225"/>
    </w:pPr>
    <w:rPr>
      <w:sz w:val="24"/>
      <w:szCs w:val="24"/>
      <w:lang w:eastAsia="ro-RO"/>
    </w:rPr>
  </w:style>
  <w:style w:type="paragraph" w:customStyle="1" w:styleId="sartttl">
    <w:name w:val="s_art_ttl"/>
    <w:basedOn w:val="Normal"/>
    <w:rsid w:val="001A221A"/>
    <w:rPr>
      <w:rFonts w:ascii="Verdana" w:hAnsi="Verdana"/>
      <w:b/>
      <w:bCs/>
      <w:color w:val="24689B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FE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ListParagraph">
    <w:name w:val="List Paragraph"/>
    <w:basedOn w:val="Normal"/>
    <w:uiPriority w:val="34"/>
    <w:qFormat/>
    <w:rsid w:val="006A33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411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sartden">
    <w:name w:val="s_art_den"/>
    <w:basedOn w:val="Normal"/>
    <w:rsid w:val="00591411"/>
    <w:rPr>
      <w:rFonts w:ascii="Verdana" w:hAnsi="Verdana"/>
      <w:b/>
      <w:bCs/>
      <w:color w:val="24689B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2F1FE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FE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FE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FE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FE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FE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1FE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1F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1FE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F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FE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1FEF"/>
    <w:rPr>
      <w:b/>
      <w:bCs/>
    </w:rPr>
  </w:style>
  <w:style w:type="character" w:styleId="Emphasis">
    <w:name w:val="Emphasis"/>
    <w:basedOn w:val="DefaultParagraphFont"/>
    <w:uiPriority w:val="20"/>
    <w:qFormat/>
    <w:rsid w:val="002F1FEF"/>
    <w:rPr>
      <w:i/>
      <w:iCs/>
    </w:rPr>
  </w:style>
  <w:style w:type="paragraph" w:styleId="NoSpacing">
    <w:name w:val="No Spacing"/>
    <w:uiPriority w:val="1"/>
    <w:qFormat/>
    <w:rsid w:val="002F1F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1FE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1FE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F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FE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2F1F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1F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1FE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1F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FEF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306393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393"/>
    <w:rPr>
      <w:rFonts w:ascii="Verdana" w:eastAsia="Verdana" w:hAnsi="Verdana" w:cs="Times New Roman"/>
      <w:sz w:val="20"/>
      <w:szCs w:val="20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063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14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A99"/>
  </w:style>
  <w:style w:type="paragraph" w:styleId="Footer">
    <w:name w:val="footer"/>
    <w:basedOn w:val="Normal"/>
    <w:link w:val="FooterChar"/>
    <w:uiPriority w:val="99"/>
    <w:unhideWhenUsed/>
    <w:rsid w:val="0035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A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4C7"/>
    <w:pPr>
      <w:autoSpaceDE/>
      <w:autoSpaceDN/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4C7"/>
    <w:rPr>
      <w:rFonts w:ascii="Verdana" w:eastAsia="Verdana" w:hAnsi="Verdana" w:cs="Times New Roman"/>
      <w:b/>
      <w:bCs/>
      <w:sz w:val="20"/>
      <w:szCs w:val="20"/>
      <w:lang w:eastAsia="ro-RO"/>
    </w:rPr>
  </w:style>
  <w:style w:type="character" w:customStyle="1" w:styleId="spar3">
    <w:name w:val="s_par3"/>
    <w:basedOn w:val="DefaultParagraphFont"/>
    <w:rsid w:val="00E102B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E102B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E102B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B933-B144-4300-B42E-19DDA038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721</Words>
  <Characters>4112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2024-12-03T05:54:00Z</cp:lastPrinted>
  <dcterms:created xsi:type="dcterms:W3CDTF">2025-02-11T06:05:00Z</dcterms:created>
  <dcterms:modified xsi:type="dcterms:W3CDTF">2025-02-27T10:23:00Z</dcterms:modified>
</cp:coreProperties>
</file>