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F45DD" w14:textId="77777777" w:rsidR="00BC577E" w:rsidRDefault="00BC577E" w:rsidP="00BC577E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  <w:r w:rsidRPr="0089123E">
        <w:rPr>
          <w:b/>
          <w:bCs/>
        </w:rPr>
        <w:t>Ordin nr. ....................2024</w:t>
      </w:r>
    </w:p>
    <w:p w14:paraId="0FE31448" w14:textId="77777777" w:rsidR="009E6D18" w:rsidRPr="0089123E" w:rsidRDefault="009E6D18" w:rsidP="00BC577E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</w:p>
    <w:p w14:paraId="75A81569" w14:textId="6BBE318C" w:rsidR="0017369E" w:rsidRPr="0017369E" w:rsidRDefault="0017369E" w:rsidP="0017369E">
      <w:pPr>
        <w:spacing w:before="60" w:after="60" w:line="360" w:lineRule="auto"/>
        <w:jc w:val="center"/>
        <w:outlineLvl w:val="0"/>
        <w:rPr>
          <w:b/>
        </w:rPr>
      </w:pPr>
      <w:r w:rsidRPr="0017369E">
        <w:rPr>
          <w:b/>
        </w:rPr>
        <w:t xml:space="preserve">pentru </w:t>
      </w:r>
      <w:r w:rsidR="00933769">
        <w:rPr>
          <w:b/>
        </w:rPr>
        <w:t>modificarea Ordinului 127 din 2021 pentru aprobarea</w:t>
      </w:r>
      <w:r w:rsidRPr="0017369E">
        <w:rPr>
          <w:b/>
        </w:rPr>
        <w:t xml:space="preserve"> Regulamentului privind clauzele și condițiile pentru furnizorii de servicii de echilibrare și pentru furnizorii de rezervă de stabilizare a frecvenței </w:t>
      </w:r>
      <w:r w:rsidR="00286BBE" w:rsidRPr="0017369E">
        <w:rPr>
          <w:b/>
        </w:rPr>
        <w:t>și</w:t>
      </w:r>
      <w:r w:rsidRPr="0017369E">
        <w:rPr>
          <w:b/>
        </w:rPr>
        <w:t xml:space="preserve"> a Regulamentului privind clauzele și condițiile pentru părțile responsabile cu echilibrarea </w:t>
      </w:r>
    </w:p>
    <w:p w14:paraId="7E495BDD" w14:textId="77777777" w:rsidR="00592F77" w:rsidRDefault="00592F77" w:rsidP="00BC577E">
      <w:pPr>
        <w:tabs>
          <w:tab w:val="left" w:pos="993"/>
        </w:tabs>
        <w:spacing w:line="360" w:lineRule="auto"/>
        <w:contextualSpacing/>
        <w:jc w:val="both"/>
      </w:pPr>
    </w:p>
    <w:p w14:paraId="4C4A4D16" w14:textId="5F5635A7" w:rsidR="00BC577E" w:rsidRPr="0089123E" w:rsidRDefault="00BC577E" w:rsidP="00BC577E">
      <w:pPr>
        <w:tabs>
          <w:tab w:val="left" w:pos="993"/>
        </w:tabs>
        <w:spacing w:line="360" w:lineRule="auto"/>
        <w:contextualSpacing/>
        <w:jc w:val="both"/>
      </w:pPr>
      <w:r w:rsidRPr="0089123E">
        <w:t xml:space="preserve">Având în vedere prevederile art. 6 alin. (3) din Regulamentul (UE) 2017/2195 al Comisiei din 23 noiembrie 2017 de stabilire a unei linii directoare privind echilibrarea sistemului de energie electrică, </w:t>
      </w:r>
    </w:p>
    <w:p w14:paraId="597C2D37" w14:textId="77777777" w:rsidR="00BC577E" w:rsidRPr="0089123E" w:rsidRDefault="00BC577E" w:rsidP="00BC577E">
      <w:pPr>
        <w:tabs>
          <w:tab w:val="left" w:pos="993"/>
        </w:tabs>
        <w:spacing w:line="360" w:lineRule="auto"/>
        <w:contextualSpacing/>
        <w:jc w:val="both"/>
      </w:pPr>
      <w:r>
        <w:t>î</w:t>
      </w:r>
      <w:r w:rsidRPr="0089123E">
        <w:t xml:space="preserve">n temeiul dispozițiilor art. 5 alin. (1) lit. c) și ale art. 9 alin. (1) lit. h) din Ordonanța de urgență a Guvernului nr. 33/2007 privind organizarea și funcționarea Autorității Naționale de Reglementare în Domeniul Energiei, aprobată cu modificări și completări prin Legea nr. 160/2012, cu modificările și completările ulterioare, </w:t>
      </w:r>
    </w:p>
    <w:p w14:paraId="533E3360" w14:textId="77777777" w:rsidR="009E6D18" w:rsidRPr="0089123E" w:rsidRDefault="009E6D18" w:rsidP="00BC577E">
      <w:pPr>
        <w:tabs>
          <w:tab w:val="left" w:pos="993"/>
        </w:tabs>
        <w:spacing w:line="360" w:lineRule="auto"/>
        <w:contextualSpacing/>
        <w:jc w:val="both"/>
        <w:rPr>
          <w:b/>
          <w:bCs/>
        </w:rPr>
      </w:pPr>
    </w:p>
    <w:p w14:paraId="19C66E1F" w14:textId="77777777" w:rsidR="00BC577E" w:rsidRPr="0089123E" w:rsidRDefault="00BC577E" w:rsidP="00BC577E">
      <w:pPr>
        <w:tabs>
          <w:tab w:val="left" w:pos="993"/>
        </w:tabs>
        <w:spacing w:line="360" w:lineRule="auto"/>
        <w:contextualSpacing/>
        <w:jc w:val="both"/>
      </w:pPr>
      <w:r w:rsidRPr="0089123E">
        <w:rPr>
          <w:b/>
          <w:bCs/>
        </w:rPr>
        <w:t xml:space="preserve">președintele Autorității Naționale de Reglementare în Domeniul Energiei </w:t>
      </w:r>
      <w:r w:rsidRPr="0089123E">
        <w:t xml:space="preserve">emite următorul ordin: </w:t>
      </w:r>
    </w:p>
    <w:p w14:paraId="557A5DBE" w14:textId="77777777" w:rsidR="009E6D18" w:rsidRPr="0089123E" w:rsidRDefault="009E6D18" w:rsidP="00BC577E">
      <w:pPr>
        <w:tabs>
          <w:tab w:val="left" w:pos="993"/>
        </w:tabs>
        <w:spacing w:line="360" w:lineRule="auto"/>
        <w:contextualSpacing/>
        <w:jc w:val="both"/>
      </w:pPr>
    </w:p>
    <w:p w14:paraId="54D2B470" w14:textId="65E45AF9" w:rsidR="00BC577E" w:rsidRDefault="00762B71" w:rsidP="00BC577E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contextualSpacing/>
        <w:jc w:val="both"/>
      </w:pPr>
      <w:r w:rsidRPr="00762B71">
        <w:rPr>
          <w:b/>
          <w:bCs/>
        </w:rPr>
        <w:t>–</w:t>
      </w:r>
      <w:r>
        <w:t xml:space="preserve"> </w:t>
      </w:r>
      <w:r w:rsidR="00BC577E" w:rsidRPr="0089123E">
        <w:t>Ordinul președintelui Autorității Naționale de Reglementare în Domeniul Energiei nr. 127/2021 pentru aprobarea Regulamentului privind clauzele și condițiile pentru furnizorii de servicii de echilibrare și pentru furnizorii de rezervă de stabilizare a frecvenței şi a Regulamentului privind clauzele și condițiile pentru părțile responsabile cu echilibrarea şi pentru modificarea şi abrogarea unor ordine ale preşedintelui Autorităţii Naţionale de Reglementare în Domeniul Energiei</w:t>
      </w:r>
      <w:r w:rsidR="00FC7D8A">
        <w:t>,</w:t>
      </w:r>
      <w:r w:rsidR="00BC577E" w:rsidRPr="0089123E">
        <w:t xml:space="preserve"> publicat în Monitorul Oficial al României, Partea I, nr. 1196 din 17 decembrie 2021, </w:t>
      </w:r>
      <w:r w:rsidR="002E0873">
        <w:t>cu modificările și completările ulterioare</w:t>
      </w:r>
      <w:r w:rsidR="003E3F55">
        <w:t>,</w:t>
      </w:r>
      <w:r w:rsidR="002E0873">
        <w:t xml:space="preserve"> </w:t>
      </w:r>
      <w:r w:rsidR="00BC577E" w:rsidRPr="0089123E">
        <w:t xml:space="preserve">se modifică după cum urmează: </w:t>
      </w:r>
    </w:p>
    <w:p w14:paraId="7FDBAAA5" w14:textId="17E1E0D0" w:rsidR="005313C0" w:rsidRDefault="009C19D8" w:rsidP="005313C0">
      <w:pPr>
        <w:tabs>
          <w:tab w:val="left" w:pos="0"/>
        </w:tabs>
        <w:spacing w:line="360" w:lineRule="auto"/>
        <w:contextualSpacing/>
        <w:jc w:val="both"/>
        <w:rPr>
          <w:lang w:bidi="en-US"/>
        </w:rPr>
      </w:pPr>
      <w:r w:rsidRPr="004067A4">
        <w:rPr>
          <w:b/>
          <w:bCs/>
        </w:rPr>
        <w:t>Anexa nr. 2</w:t>
      </w:r>
      <w:r>
        <w:t xml:space="preserve"> </w:t>
      </w:r>
      <w:r w:rsidRPr="008B7EF7">
        <w:rPr>
          <w:lang w:bidi="en-US"/>
        </w:rPr>
        <w:t>se modifică după cum urmează:</w:t>
      </w:r>
    </w:p>
    <w:p w14:paraId="13A27F8B" w14:textId="23F8C475" w:rsidR="009C19D8" w:rsidRPr="004067A4" w:rsidRDefault="004067A4" w:rsidP="005313C0">
      <w:pPr>
        <w:tabs>
          <w:tab w:val="left" w:pos="0"/>
        </w:tabs>
        <w:spacing w:line="360" w:lineRule="auto"/>
        <w:contextualSpacing/>
        <w:jc w:val="both"/>
        <w:rPr>
          <w:lang w:bidi="en-US"/>
        </w:rPr>
      </w:pPr>
      <w:r w:rsidRPr="004067A4">
        <w:rPr>
          <w:b/>
          <w:bCs/>
          <w:lang w:bidi="en-US"/>
        </w:rPr>
        <w:t>1</w:t>
      </w:r>
      <w:r w:rsidR="009C19D8" w:rsidRPr="004067A4">
        <w:rPr>
          <w:b/>
          <w:bCs/>
          <w:lang w:bidi="en-US"/>
        </w:rPr>
        <w:t>)</w:t>
      </w:r>
      <w:r w:rsidR="009C19D8">
        <w:rPr>
          <w:lang w:bidi="en-US"/>
        </w:rPr>
        <w:t xml:space="preserve"> Articolul 171 se modifică și va avea următorul cuprins</w:t>
      </w:r>
      <w:r w:rsidR="009C19D8" w:rsidRPr="004067A4">
        <w:rPr>
          <w:lang w:bidi="en-US"/>
        </w:rPr>
        <w:t>:</w:t>
      </w:r>
    </w:p>
    <w:p w14:paraId="3DE535BE" w14:textId="0B109A8E" w:rsidR="00592F77" w:rsidRPr="00592F77" w:rsidRDefault="009E6D18" w:rsidP="00592F77">
      <w:pPr>
        <w:tabs>
          <w:tab w:val="left" w:pos="0"/>
        </w:tabs>
        <w:spacing w:line="360" w:lineRule="auto"/>
        <w:contextualSpacing/>
        <w:jc w:val="both"/>
      </w:pPr>
      <w:r>
        <w:t>”</w:t>
      </w:r>
      <w:r w:rsidR="00592F77" w:rsidRPr="00592F77">
        <w:t>(1) Pentru fiecare IDi se calculează suma tuturor volumelor contractate pentru respectiva UFR/GFR (j), pentru furnizarea creșterii, respectiv reducerii de putere în scopul stabilității frecvenței în zona proprie de control al energiei de reglaj, notată cu</w:t>
      </w:r>
      <w:r w:rsidR="00EF5DAA"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∑VC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</m:oMath>
      <w:r w:rsidR="00592F77" w:rsidRPr="00592F77">
        <w:t>.</w:t>
      </w:r>
    </w:p>
    <w:p w14:paraId="25DE1DA5" w14:textId="7648526D" w:rsidR="00592F77" w:rsidRPr="00592F77" w:rsidRDefault="00592F77" w:rsidP="00592F77">
      <w:pPr>
        <w:tabs>
          <w:tab w:val="left" w:pos="0"/>
        </w:tabs>
        <w:spacing w:line="360" w:lineRule="auto"/>
        <w:contextualSpacing/>
        <w:jc w:val="both"/>
      </w:pPr>
      <w:r w:rsidRPr="00592F77">
        <w:t>(2) Volumul net de energie de reglaj livrat în zona proprie de control de</w:t>
      </w:r>
      <w:r w:rsidR="00C569C7">
        <w:t xml:space="preserve"> o/un</w:t>
      </w:r>
      <w:r w:rsidRPr="00592F77">
        <w:t xml:space="preserve"> UFR/GFR activată pe PE, în scopul stabilității frecvenței, se determină de OTS pentru fiecare IDi astfel: </w:t>
      </w:r>
    </w:p>
    <w:p w14:paraId="759CFD5C" w14:textId="67F1C351" w:rsidR="005313C0" w:rsidRDefault="009C19D8" w:rsidP="005313C0">
      <w:pPr>
        <w:tabs>
          <w:tab w:val="left" w:pos="0"/>
        </w:tabs>
        <w:spacing w:line="360" w:lineRule="auto"/>
        <w:contextualSpacing/>
        <w:jc w:val="both"/>
      </w:pPr>
      <w:r>
        <w:tab/>
        <w:t>(i)</w:t>
      </w:r>
      <w:r w:rsidR="00B96B27">
        <w:tab/>
      </w:r>
      <w:r>
        <w:t xml:space="preserve">Dacă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∑VC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  <m:r>
          <w:rPr>
            <w:rFonts w:ascii="Cambria Math" w:hAnsi="Cambria Math"/>
            <w:lang w:val="pl-PL"/>
          </w:rPr>
          <m:t>&gt;0</m:t>
        </m:r>
      </m:oMath>
      <w:r w:rsidR="00B96B27">
        <w:t xml:space="preserve"> și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Min (∑VC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i,j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– 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Np</m:t>
                </m:r>
              </m:e>
              <m:sub>
                <m:r>
                  <w:rPr>
                    <w:rFonts w:ascii="Cambria Math" w:hAnsi="Cambria Math"/>
                  </w:rPr>
                  <m:t>i,j</m:t>
                </m:r>
              </m:sub>
            </m:sSub>
            <m:ctrlPr>
              <w:rPr>
                <w:rFonts w:ascii="Cambria Math" w:hAnsi="Cambria Math"/>
                <w:bCs/>
                <w:i/>
              </w:rPr>
            </m:ctrlPr>
          </m:e>
        </m:d>
        <m:r>
          <w:rPr>
            <w:rFonts w:ascii="Cambria Math" w:hAnsi="Cambria Math"/>
          </w:rPr>
          <m:t>)&gt;0</m:t>
        </m:r>
      </m:oMath>
      <w:r w:rsidR="00B96B27">
        <w:t xml:space="preserve"> , </w:t>
      </w:r>
    </w:p>
    <w:p w14:paraId="1DF859CE" w14:textId="298EDEC7" w:rsidR="00B96B27" w:rsidRDefault="00B96B27" w:rsidP="005313C0">
      <w:pPr>
        <w:tabs>
          <w:tab w:val="left" w:pos="0"/>
        </w:tabs>
        <w:spacing w:line="360" w:lineRule="auto"/>
        <w:contextualSpacing/>
        <w:jc w:val="both"/>
      </w:pPr>
      <w:r>
        <w:tab/>
      </w:r>
      <w:r>
        <w:tab/>
        <w:t>atunci</w:t>
      </w:r>
      <w:r w:rsidR="00FB3B3E">
        <w:t xml:space="preserve"> </w:t>
      </w:r>
      <w: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i,j</m:t>
            </m:r>
          </m:sub>
          <m:sup>
            <m:r>
              <w:rPr>
                <w:rFonts w:ascii="Cambria Math" w:hAnsi="Cambria Math"/>
              </w:rPr>
              <m:t>Livrat</m:t>
            </m:r>
          </m:sup>
        </m:sSubSup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Min (∑VC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i,j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– 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Np</m:t>
                </m:r>
              </m:e>
              <m:sub>
                <m:r>
                  <w:rPr>
                    <w:rFonts w:ascii="Cambria Math" w:hAnsi="Cambria Math"/>
                  </w:rPr>
                  <m:t>i,j</m:t>
                </m:r>
              </m:sub>
            </m:sSub>
            <m:ctrlPr>
              <w:rPr>
                <w:rFonts w:ascii="Cambria Math" w:hAnsi="Cambria Math"/>
                <w:bCs/>
                <w:i/>
              </w:rPr>
            </m:ctrlPr>
          </m:e>
        </m:d>
        <m:r>
          <w:rPr>
            <w:rFonts w:ascii="Cambria Math" w:hAnsi="Cambria Math"/>
          </w:rPr>
          <m:t>)</m:t>
        </m:r>
      </m:oMath>
    </w:p>
    <w:p w14:paraId="0A16269B" w14:textId="11BE0AFF" w:rsidR="00FB3B3E" w:rsidRDefault="00FB3B3E" w:rsidP="00FB3B3E">
      <w:pPr>
        <w:tabs>
          <w:tab w:val="left" w:pos="0"/>
        </w:tabs>
        <w:spacing w:line="360" w:lineRule="auto"/>
        <w:contextualSpacing/>
        <w:jc w:val="both"/>
      </w:pPr>
      <w:r>
        <w:tab/>
        <w:t>(ii)</w:t>
      </w:r>
      <w:r>
        <w:tab/>
        <w:t xml:space="preserve">Dacă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∑VC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  <m:r>
          <w:rPr>
            <w:rFonts w:ascii="Cambria Math" w:hAnsi="Cambria Math"/>
          </w:rPr>
          <m:t>&gt;0</m:t>
        </m:r>
      </m:oMath>
      <w:r>
        <w:t xml:space="preserve"> și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Min (∑VC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i,j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– 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Np</m:t>
                </m:r>
              </m:e>
              <m:sub>
                <m:r>
                  <w:rPr>
                    <w:rFonts w:ascii="Cambria Math" w:hAnsi="Cambria Math"/>
                  </w:rPr>
                  <m:t>i,j</m:t>
                </m:r>
              </m:sub>
            </m:sSub>
            <m:ctrlPr>
              <w:rPr>
                <w:rFonts w:ascii="Cambria Math" w:hAnsi="Cambria Math"/>
                <w:bCs/>
                <w:i/>
              </w:rPr>
            </m:ctrlPr>
          </m:e>
        </m:d>
        <m:r>
          <w:rPr>
            <w:rFonts w:ascii="Cambria Math" w:hAnsi="Cambria Math"/>
          </w:rPr>
          <m:t>)≤0</m:t>
        </m:r>
      </m:oMath>
      <w:r>
        <w:t xml:space="preserve"> , </w:t>
      </w:r>
    </w:p>
    <w:p w14:paraId="0ED3D09E" w14:textId="4529790A" w:rsidR="00FB3B3E" w:rsidRDefault="00FB3B3E" w:rsidP="00FB3B3E">
      <w:pPr>
        <w:tabs>
          <w:tab w:val="left" w:pos="0"/>
        </w:tabs>
        <w:spacing w:line="360" w:lineRule="auto"/>
        <w:contextualSpacing/>
        <w:jc w:val="both"/>
      </w:pPr>
      <w:r>
        <w:tab/>
      </w:r>
      <w:r>
        <w:tab/>
        <w:t xml:space="preserve">atunci 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i,j</m:t>
            </m:r>
          </m:sub>
          <m:sup>
            <m:r>
              <w:rPr>
                <w:rFonts w:ascii="Cambria Math" w:hAnsi="Cambria Math"/>
              </w:rPr>
              <m:t>Livrat</m:t>
            </m:r>
          </m:sup>
        </m:sSubSup>
        <m:r>
          <w:rPr>
            <w:rFonts w:ascii="Cambria Math" w:hAnsi="Cambria Math"/>
          </w:rPr>
          <m:t>=0</m:t>
        </m:r>
      </m:oMath>
    </w:p>
    <w:p w14:paraId="5226FE7D" w14:textId="72CCE4C5" w:rsidR="00FB3B3E" w:rsidRDefault="00FB3B3E" w:rsidP="00FB3B3E">
      <w:pPr>
        <w:tabs>
          <w:tab w:val="left" w:pos="0"/>
        </w:tabs>
        <w:spacing w:line="360" w:lineRule="auto"/>
        <w:contextualSpacing/>
        <w:jc w:val="both"/>
      </w:pPr>
      <w:r>
        <w:lastRenderedPageBreak/>
        <w:tab/>
        <w:t>(iii)</w:t>
      </w:r>
      <w:r>
        <w:tab/>
        <w:t xml:space="preserve">Dacă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∑VC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  <m:r>
          <w:rPr>
            <w:rFonts w:ascii="Cambria Math" w:hAnsi="Cambria Math"/>
          </w:rPr>
          <m:t>&lt;0</m:t>
        </m:r>
      </m:oMath>
      <w:r>
        <w:t xml:space="preserve"> și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Max (∑VC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i,j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– 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Np</m:t>
                </m:r>
              </m:e>
              <m:sub>
                <m:r>
                  <w:rPr>
                    <w:rFonts w:ascii="Cambria Math" w:hAnsi="Cambria Math"/>
                  </w:rPr>
                  <m:t>i,j</m:t>
                </m:r>
              </m:sub>
            </m:sSub>
            <m:ctrlPr>
              <w:rPr>
                <w:rFonts w:ascii="Cambria Math" w:hAnsi="Cambria Math"/>
                <w:bCs/>
                <w:i/>
              </w:rPr>
            </m:ctrlPr>
          </m:e>
        </m:d>
        <m:r>
          <w:rPr>
            <w:rFonts w:ascii="Cambria Math" w:hAnsi="Cambria Math"/>
          </w:rPr>
          <m:t xml:space="preserve">)&lt;0 </m:t>
        </m:r>
      </m:oMath>
      <w:r>
        <w:t xml:space="preserve">, </w:t>
      </w:r>
    </w:p>
    <w:p w14:paraId="3CFDCFDC" w14:textId="288918F5" w:rsidR="00FB3B3E" w:rsidRDefault="00FB3B3E" w:rsidP="00FB3B3E">
      <w:pPr>
        <w:tabs>
          <w:tab w:val="left" w:pos="0"/>
        </w:tabs>
        <w:spacing w:line="360" w:lineRule="auto"/>
        <w:contextualSpacing/>
        <w:jc w:val="both"/>
      </w:pPr>
      <w:r>
        <w:tab/>
      </w:r>
      <w:r>
        <w:tab/>
        <w:t xml:space="preserve">atunci 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i,j</m:t>
            </m:r>
          </m:sub>
          <m:sup>
            <m:r>
              <w:rPr>
                <w:rFonts w:ascii="Cambria Math" w:hAnsi="Cambria Math"/>
              </w:rPr>
              <m:t>Livrat</m:t>
            </m:r>
          </m:sup>
        </m:sSubSup>
        <m:r>
          <w:rPr>
            <w:rFonts w:ascii="Cambria Math" w:hAnsi="Cambria Math"/>
          </w:rPr>
          <m:t>=Max (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∑VC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  <m:r>
          <w:rPr>
            <w:rFonts w:ascii="Cambria Math" w:hAnsi="Cambria Math"/>
          </w:rPr>
          <m:t xml:space="preserve"> , 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i,j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– 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Np</m:t>
                </m:r>
              </m:e>
              <m:sub>
                <m:r>
                  <w:rPr>
                    <w:rFonts w:ascii="Cambria Math" w:hAnsi="Cambria Math"/>
                  </w:rPr>
                  <m:t>i,j</m:t>
                </m:r>
              </m:sub>
            </m:sSub>
          </m:e>
        </m:d>
        <m:r>
          <w:rPr>
            <w:rFonts w:ascii="Cambria Math" w:hAnsi="Cambria Math"/>
          </w:rPr>
          <m:t>)</m:t>
        </m:r>
      </m:oMath>
    </w:p>
    <w:p w14:paraId="06BD41D3" w14:textId="31F29C84" w:rsidR="00592F77" w:rsidRDefault="00592F77" w:rsidP="00592F77">
      <w:pPr>
        <w:tabs>
          <w:tab w:val="left" w:pos="0"/>
        </w:tabs>
        <w:spacing w:line="360" w:lineRule="auto"/>
        <w:contextualSpacing/>
        <w:jc w:val="both"/>
      </w:pPr>
      <w:r>
        <w:tab/>
        <w:t>(iv)</w:t>
      </w:r>
      <w:r>
        <w:tab/>
        <w:t xml:space="preserve">Dacă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∑VC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  <m:r>
          <w:rPr>
            <w:rFonts w:ascii="Cambria Math" w:hAnsi="Cambria Math"/>
          </w:rPr>
          <m:t>&lt;0</m:t>
        </m:r>
      </m:oMath>
      <w:r>
        <w:t xml:space="preserve"> și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Max (∑VC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i,j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– 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Np</m:t>
                </m:r>
              </m:e>
              <m:sub>
                <m:r>
                  <w:rPr>
                    <w:rFonts w:ascii="Cambria Math" w:hAnsi="Cambria Math"/>
                  </w:rPr>
                  <m:t>i,j</m:t>
                </m:r>
              </m:sub>
            </m:sSub>
            <m:ctrlPr>
              <w:rPr>
                <w:rFonts w:ascii="Cambria Math" w:hAnsi="Cambria Math"/>
                <w:bCs/>
                <w:i/>
              </w:rPr>
            </m:ctrlPr>
          </m:e>
        </m:d>
        <m:r>
          <w:rPr>
            <w:rFonts w:ascii="Cambria Math" w:hAnsi="Cambria Math"/>
          </w:rPr>
          <m:t>)≥0</m:t>
        </m:r>
      </m:oMath>
      <w:r>
        <w:t xml:space="preserve"> , </w:t>
      </w:r>
    </w:p>
    <w:p w14:paraId="2592DCD9" w14:textId="77777777" w:rsidR="00592F77" w:rsidRDefault="00592F77" w:rsidP="00592F77">
      <w:pPr>
        <w:tabs>
          <w:tab w:val="left" w:pos="0"/>
        </w:tabs>
        <w:spacing w:line="360" w:lineRule="auto"/>
        <w:contextualSpacing/>
        <w:jc w:val="both"/>
      </w:pPr>
      <w:r>
        <w:tab/>
      </w:r>
      <w:r>
        <w:tab/>
        <w:t xml:space="preserve">atunci 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i,j</m:t>
            </m:r>
          </m:sub>
          <m:sup>
            <m:r>
              <w:rPr>
                <w:rFonts w:ascii="Cambria Math" w:hAnsi="Cambria Math"/>
              </w:rPr>
              <m:t>Livrat</m:t>
            </m:r>
          </m:sup>
        </m:sSubSup>
        <m:r>
          <w:rPr>
            <w:rFonts w:ascii="Cambria Math" w:hAnsi="Cambria Math"/>
          </w:rPr>
          <m:t>=0</m:t>
        </m:r>
      </m:oMath>
    </w:p>
    <w:p w14:paraId="5330F7B2" w14:textId="77777777" w:rsidR="00592F77" w:rsidRDefault="00592F77" w:rsidP="00592F77">
      <w:pPr>
        <w:tabs>
          <w:tab w:val="left" w:pos="0"/>
        </w:tabs>
        <w:spacing w:line="360" w:lineRule="auto"/>
        <w:contextualSpacing/>
        <w:jc w:val="both"/>
      </w:pPr>
      <w:r w:rsidRPr="00592F77">
        <w:t xml:space="preserve">unde: </w:t>
      </w:r>
    </w:p>
    <w:p w14:paraId="3DC32F9B" w14:textId="47DBC9DB" w:rsidR="00592F77" w:rsidRDefault="004614A2" w:rsidP="00592F77">
      <w:pPr>
        <w:pStyle w:val="ListParagraph"/>
        <w:numPr>
          <w:ilvl w:val="0"/>
          <w:numId w:val="10"/>
        </w:numPr>
        <w:tabs>
          <w:tab w:val="left" w:pos="270"/>
        </w:tabs>
        <w:spacing w:line="360" w:lineRule="auto"/>
        <w:ind w:left="0" w:firstLine="0"/>
        <w:jc w:val="both"/>
      </w:pP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592F77" w:rsidRPr="00592F77">
        <w:t>reprezintă valoarea măsurată pentru fiecare UFR/GFR (j) pentru care FSE a încheiat una sau mai multe tranzacții angajate în IDi, pe PE și/sau pentru stabilizarea frecvenței;</w:t>
      </w:r>
    </w:p>
    <w:p w14:paraId="4A1E67E3" w14:textId="1F98B814" w:rsidR="00592F77" w:rsidRDefault="004614A2" w:rsidP="00592F77">
      <w:pPr>
        <w:pStyle w:val="ListParagraph"/>
        <w:numPr>
          <w:ilvl w:val="0"/>
          <w:numId w:val="10"/>
        </w:numPr>
        <w:tabs>
          <w:tab w:val="left" w:pos="270"/>
        </w:tabs>
        <w:spacing w:line="360" w:lineRule="auto"/>
        <w:ind w:left="0" w:firstLine="0"/>
        <w:jc w:val="both"/>
      </w:pP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Np</m:t>
            </m:r>
          </m:e>
          <m:sub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j</m:t>
            </m:r>
          </m:sub>
        </m:sSub>
      </m:oMath>
      <w:r w:rsidR="00EF5DAA">
        <w:t xml:space="preserve"> </w:t>
      </w:r>
      <w:r w:rsidR="00592F77" w:rsidRPr="00592F77">
        <w:t xml:space="preserve">reprezintă volumul programat (notificarea de </w:t>
      </w:r>
      <w:r w:rsidR="00C569C7" w:rsidRPr="00592F77">
        <w:t>producție</w:t>
      </w:r>
      <w:r w:rsidR="00592F77" w:rsidRPr="00592F77">
        <w:t xml:space="preserve">/consum programată/de </w:t>
      </w:r>
      <w:r w:rsidR="00C569C7" w:rsidRPr="00592F77">
        <w:t>referință</w:t>
      </w:r>
      <w:r w:rsidR="00592F77" w:rsidRPr="00592F77">
        <w:t xml:space="preserve">) al fiecărui UFR/GFR (j), pentru care FSE a încheiat una sau mai multe </w:t>
      </w:r>
      <w:r w:rsidR="00C569C7" w:rsidRPr="00592F77">
        <w:t>tranzacții</w:t>
      </w:r>
      <w:r w:rsidR="00592F77" w:rsidRPr="00592F77">
        <w:t xml:space="preserve"> angajate pe PE </w:t>
      </w:r>
      <w:r w:rsidR="009E6D18" w:rsidRPr="00592F77">
        <w:t>și</w:t>
      </w:r>
      <w:r w:rsidR="00592F77" w:rsidRPr="00592F77">
        <w:t xml:space="preserve">/sau pentru stabilizarea </w:t>
      </w:r>
      <w:r w:rsidR="009E6D18" w:rsidRPr="00592F77">
        <w:t>frecvenței</w:t>
      </w:r>
      <w:r w:rsidR="00592F77" w:rsidRPr="00592F77">
        <w:t xml:space="preserve"> în IDi respectiv, volum care este ajustat de către OTS după termenul-limită de transmitere a notificărilor de </w:t>
      </w:r>
      <w:r w:rsidR="00C569C7" w:rsidRPr="00592F77">
        <w:t>producție</w:t>
      </w:r>
      <w:r w:rsidR="00592F77" w:rsidRPr="00592F77">
        <w:t xml:space="preserve"> programată, </w:t>
      </w:r>
      <w:r w:rsidR="00C569C7" w:rsidRPr="00592F77">
        <w:t>față</w:t>
      </w:r>
      <w:r w:rsidR="00592F77" w:rsidRPr="00592F77">
        <w:t xml:space="preserve"> de cel transmis de FSE, cu </w:t>
      </w:r>
      <w:r w:rsidR="00C569C7" w:rsidRPr="00592F77">
        <w:t>cantitățile</w:t>
      </w:r>
      <w:r w:rsidR="00592F77" w:rsidRPr="00592F77">
        <w:t xml:space="preserve"> contractate cu OTS sau cu OD, conform informării transmise obligatoriu de </w:t>
      </w:r>
      <w:r w:rsidR="00C569C7" w:rsidRPr="00592F77">
        <w:t>aceștia</w:t>
      </w:r>
      <w:r w:rsidR="00592F77" w:rsidRPr="00592F77">
        <w:t>, pentru managementul congestiilor în piață sau în afara pieței</w:t>
      </w:r>
      <w:r w:rsidR="009E6D18">
        <w:t>.”</w:t>
      </w:r>
    </w:p>
    <w:p w14:paraId="7CA66965" w14:textId="77824F72" w:rsidR="00C92A32" w:rsidRDefault="00C92A32" w:rsidP="009E6D18">
      <w:pPr>
        <w:pStyle w:val="ListParagraph"/>
        <w:tabs>
          <w:tab w:val="left" w:pos="270"/>
        </w:tabs>
        <w:spacing w:line="360" w:lineRule="auto"/>
        <w:ind w:left="0"/>
        <w:jc w:val="both"/>
      </w:pPr>
      <w:r>
        <w:rPr>
          <w:b/>
          <w:bCs/>
        </w:rPr>
        <w:t>2)</w:t>
      </w:r>
      <w:r>
        <w:t xml:space="preserve"> Articolul 180 se modifică și va avea următorul cuprins</w:t>
      </w:r>
      <w:r w:rsidRPr="00C92A32">
        <w:t>:</w:t>
      </w:r>
    </w:p>
    <w:p w14:paraId="59C75FE9" w14:textId="77777777" w:rsidR="00C92A32" w:rsidRDefault="00C92A32" w:rsidP="009E6D18">
      <w:pPr>
        <w:pStyle w:val="ListParagraph"/>
        <w:tabs>
          <w:tab w:val="left" w:pos="270"/>
        </w:tabs>
        <w:spacing w:line="360" w:lineRule="auto"/>
        <w:ind w:left="0"/>
        <w:jc w:val="both"/>
      </w:pPr>
      <w:r>
        <w:t xml:space="preserve">”(1) </w:t>
      </w:r>
      <w:r w:rsidRPr="00C92A32">
        <w:t>OTS transmite ODDPRE, imediat ce primește factura aferentă unei luni de livrare de la entitatea europeană responsabilă de calculele de decontare, datele privind volumul de energie aferent schimburilor neintenționate/volumul de energie aferent schimburilor planificate prevăzute la art. 176 pct. (iii), (iv) și (v), precum și costurile/veniturile aferente schimburilor neintenționate/schimburilor planificate prevăzute la art. 176 pct. (iii) și (iv), rezultate în fiecare ID al lunii de livrare, în moneda națională a României la cursul de schimb publicat de Banca Națională a României, valabil pentru ziua de facturare, valori exprimate în lei cu două zecimale.</w:t>
      </w:r>
    </w:p>
    <w:p w14:paraId="1C452185" w14:textId="77777777" w:rsidR="00F073E3" w:rsidRPr="00C569C7" w:rsidRDefault="00C92A32" w:rsidP="009E6D18">
      <w:pPr>
        <w:pStyle w:val="ListParagraph"/>
        <w:tabs>
          <w:tab w:val="left" w:pos="270"/>
        </w:tabs>
        <w:spacing w:line="360" w:lineRule="auto"/>
        <w:ind w:left="0"/>
        <w:jc w:val="both"/>
      </w:pPr>
      <w:r w:rsidRPr="00C569C7">
        <w:t xml:space="preserve">(2) În cazul în care OTS primește de la entitățile europene responsabile de calculele de decontare ale mecanismului de compensare a dezechilibrelor, ale schimburilor planificate și schimburilor neintenționate facturi aferente modificărilor valorilor cantităților de energie schimbate prin intermediul acestor mecanisme cu abateri mai mici de 50% din valorile inițiale ale acestor cantități, </w:t>
      </w:r>
      <w:r w:rsidR="00B777F4" w:rsidRPr="00C569C7">
        <w:t xml:space="preserve">aceste facturi se vor lua în considerare în cadrul calculului final al decontării pieței de energie electrică </w:t>
      </w:r>
      <w:r w:rsidR="00B777F4" w:rsidRPr="00C569C7">
        <w:rPr>
          <w:b/>
          <w:bCs/>
        </w:rPr>
        <w:t>o singură dată pe an, în luna decembrie</w:t>
      </w:r>
      <w:r w:rsidR="00B777F4" w:rsidRPr="00C569C7">
        <w:t xml:space="preserve">. </w:t>
      </w:r>
    </w:p>
    <w:p w14:paraId="4016ED12" w14:textId="1DC0FE6A" w:rsidR="00C92A32" w:rsidRDefault="00F073E3" w:rsidP="009E6D18">
      <w:pPr>
        <w:pStyle w:val="ListParagraph"/>
        <w:tabs>
          <w:tab w:val="left" w:pos="270"/>
        </w:tabs>
        <w:spacing w:line="360" w:lineRule="auto"/>
        <w:ind w:left="0"/>
        <w:jc w:val="both"/>
      </w:pPr>
      <w:r w:rsidRPr="00C569C7">
        <w:t xml:space="preserve">(3) Facturile menționate la alin. (2) vor fi luate în considerare la </w:t>
      </w:r>
      <w:r w:rsidR="00ED40DF" w:rsidRPr="00C569C7">
        <w:t>d</w:t>
      </w:r>
      <w:r w:rsidRPr="00C569C7">
        <w:t>eterminarea costurilor, respectiv a veniturilor rezultate din echilibrarea SEN</w:t>
      </w:r>
      <w:r w:rsidR="00ED40DF" w:rsidRPr="00C569C7">
        <w:t>, conform celor descrise în cadrul secțiunii 6.7 a prezentului regulament. Valorile vor fi considerate în moneda națională a României la cursul de schimb publicat de Banca Națională a României, valabil pentru ziua de facturare, valori exprimate în lei cu două zecimale.</w:t>
      </w:r>
      <w:r w:rsidR="00C92A32" w:rsidRPr="00C569C7">
        <w:t>”</w:t>
      </w:r>
    </w:p>
    <w:p w14:paraId="060760DA" w14:textId="6BE2F38D" w:rsidR="009E6D18" w:rsidRDefault="00C92A32" w:rsidP="009E6D18">
      <w:pPr>
        <w:pStyle w:val="ListParagraph"/>
        <w:tabs>
          <w:tab w:val="left" w:pos="270"/>
        </w:tabs>
        <w:spacing w:line="360" w:lineRule="auto"/>
        <w:ind w:left="0"/>
        <w:jc w:val="both"/>
      </w:pPr>
      <w:r>
        <w:rPr>
          <w:b/>
          <w:bCs/>
        </w:rPr>
        <w:t>3</w:t>
      </w:r>
      <w:r w:rsidR="004067A4">
        <w:rPr>
          <w:b/>
          <w:bCs/>
        </w:rPr>
        <w:t>)</w:t>
      </w:r>
      <w:r w:rsidR="009E6D18">
        <w:t xml:space="preserve"> Articolul 187 se modifică și va avea următorul cuprins</w:t>
      </w:r>
      <w:r w:rsidR="009E6D18">
        <w:rPr>
          <w:lang w:val="en-US"/>
        </w:rPr>
        <w:t>:</w:t>
      </w:r>
    </w:p>
    <w:p w14:paraId="39A8A0BC" w14:textId="748A20BB" w:rsidR="009E6D18" w:rsidRPr="009E6D18" w:rsidRDefault="009E6D18" w:rsidP="009E6D18">
      <w:pPr>
        <w:pStyle w:val="ListParagraph"/>
        <w:tabs>
          <w:tab w:val="left" w:pos="270"/>
        </w:tabs>
        <w:spacing w:line="360" w:lineRule="auto"/>
        <w:ind w:left="0"/>
        <w:jc w:val="both"/>
      </w:pPr>
      <w:r>
        <w:t>”</w:t>
      </w:r>
      <w:r w:rsidRPr="009E6D18">
        <w:t xml:space="preserve">OTS determină operativ </w:t>
      </w:r>
      <w:r w:rsidRPr="00C569C7">
        <w:t>prețul estimat unic de dezechilibru</w:t>
      </w:r>
      <w:r w:rsidRPr="009E6D18">
        <w:t xml:space="preserve"> pentru toate dezechilibrele PRE în fiecare IDi,</w:t>
      </w:r>
      <w:r>
        <w:t xml:space="preserve"> după cum urmează</w:t>
      </w:r>
      <w:r w:rsidRPr="009E6D18">
        <w:t>:</w:t>
      </w:r>
    </w:p>
    <w:p w14:paraId="06C037CB" w14:textId="77777777" w:rsidR="009E6D18" w:rsidRDefault="009E6D18" w:rsidP="009E6D18">
      <w:pPr>
        <w:pStyle w:val="ListParagraph"/>
        <w:tabs>
          <w:tab w:val="left" w:pos="270"/>
        </w:tabs>
        <w:spacing w:line="360" w:lineRule="auto"/>
        <w:ind w:left="0"/>
        <w:jc w:val="both"/>
      </w:pPr>
      <w:r w:rsidRPr="009E6D18">
        <w:lastRenderedPageBreak/>
        <w:t xml:space="preserve">a) dacă într-un ID a fost activată numai energie de echilibrare pentru creștere de putere, atunci prețul </w:t>
      </w:r>
      <w:r w:rsidRPr="00C569C7">
        <w:t>estimat unic de dezechilibru pentru toate dezechilibrele PRE din ID respectiv va fi egal cu media</w:t>
      </w:r>
      <w:r w:rsidRPr="009E6D18">
        <w:t xml:space="preserve"> ponderată a prețurilor marginale pentru fiecare tip de energie de echilibrare activată pentru creștere de putere și a cantităților de energie corespunzătoare tranzacțiilor angajate;</w:t>
      </w:r>
      <w:r>
        <w:t xml:space="preserve"> </w:t>
      </w:r>
    </w:p>
    <w:p w14:paraId="195ACE34" w14:textId="77777777" w:rsidR="009E6D18" w:rsidRDefault="009E6D18" w:rsidP="009E6D18">
      <w:pPr>
        <w:pStyle w:val="ListParagraph"/>
        <w:tabs>
          <w:tab w:val="left" w:pos="270"/>
        </w:tabs>
        <w:spacing w:line="360" w:lineRule="auto"/>
        <w:ind w:left="0"/>
        <w:jc w:val="both"/>
      </w:pPr>
      <w:r w:rsidRPr="009E6D18">
        <w:t xml:space="preserve">b) dacă într-un ID a fost activată numai energie de echilibrare pentru reducere de putere, atunci prețul </w:t>
      </w:r>
      <w:r w:rsidRPr="00C569C7">
        <w:t>estimat unic de dezechilibru pentru toate dezechilibrele PRE din ID respectiv va fi egal cu media</w:t>
      </w:r>
      <w:r w:rsidRPr="009E6D18">
        <w:t xml:space="preserve"> ponderată a prețurilor marginale pentru fiecare tip de energie de echilibrare activată pentru reducere de putere și a cantităților de energie corespunzătoare tranzacțiilor angajate;</w:t>
      </w:r>
    </w:p>
    <w:p w14:paraId="3AA493C8" w14:textId="77777777" w:rsidR="009E6D18" w:rsidRDefault="009E6D18" w:rsidP="009E6D18">
      <w:pPr>
        <w:pStyle w:val="ListParagraph"/>
        <w:tabs>
          <w:tab w:val="left" w:pos="270"/>
        </w:tabs>
        <w:spacing w:line="360" w:lineRule="auto"/>
        <w:ind w:left="0"/>
        <w:jc w:val="both"/>
      </w:pPr>
      <w:r w:rsidRPr="009E6D18">
        <w:t xml:space="preserve">c) dacă într-un ID a fost activată energie de echilibrare și pentru creștere de putere și pentru reducere </w:t>
      </w:r>
      <w:r w:rsidRPr="00C569C7">
        <w:t>de putere, prețul estimat unic de dezechilibru pentru toate dezechilibrele PRE se va stabili în funcție</w:t>
      </w:r>
      <w:r w:rsidRPr="009E6D18">
        <w:t xml:space="preserve"> de direcția dezechilibrului SEN astfel:</w:t>
      </w:r>
    </w:p>
    <w:p w14:paraId="57A72854" w14:textId="2F608FE8" w:rsidR="00286BBE" w:rsidRDefault="009E6D18" w:rsidP="00286BBE">
      <w:pPr>
        <w:pStyle w:val="ListParagraph"/>
        <w:spacing w:line="360" w:lineRule="auto"/>
        <w:ind w:left="0"/>
        <w:jc w:val="both"/>
      </w:pPr>
      <w:r>
        <w:tab/>
      </w:r>
      <w:r w:rsidRPr="00C569C7">
        <w:t xml:space="preserve">(i) în cazul în care sistemul a fost în deficit, prețul </w:t>
      </w:r>
      <w:r w:rsidR="00286BBE" w:rsidRPr="00C569C7">
        <w:t xml:space="preserve">estimat </w:t>
      </w:r>
      <w:r w:rsidRPr="00C569C7">
        <w:t>unic de dezechilibru pentru toate</w:t>
      </w:r>
      <w:r w:rsidRPr="009E6D18">
        <w:t xml:space="preserve"> dezechilibrele PRE va fi egal cu media ponderată a </w:t>
      </w:r>
      <w:r w:rsidR="00286BBE" w:rsidRPr="009E6D18">
        <w:t>prețurilor</w:t>
      </w:r>
      <w:r w:rsidRPr="009E6D18">
        <w:t xml:space="preserve"> marginale ale fiecărui tip de energie de echilibrare activată pentru </w:t>
      </w:r>
      <w:r w:rsidR="00286BBE" w:rsidRPr="009E6D18">
        <w:t>creștere</w:t>
      </w:r>
      <w:r w:rsidRPr="009E6D18">
        <w:t xml:space="preserve"> de putere </w:t>
      </w:r>
      <w:r w:rsidR="00286BBE" w:rsidRPr="009E6D18">
        <w:t>și</w:t>
      </w:r>
      <w:r w:rsidRPr="009E6D18">
        <w:t xml:space="preserve"> a </w:t>
      </w:r>
      <w:r w:rsidR="00286BBE" w:rsidRPr="009E6D18">
        <w:t>cantităților</w:t>
      </w:r>
      <w:r w:rsidRPr="009E6D18">
        <w:t xml:space="preserve"> corespunzătoare;</w:t>
      </w:r>
    </w:p>
    <w:p w14:paraId="33D110EE" w14:textId="77777777" w:rsidR="00286BBE" w:rsidRDefault="00286BBE" w:rsidP="00286BBE">
      <w:pPr>
        <w:pStyle w:val="ListParagraph"/>
        <w:spacing w:line="360" w:lineRule="auto"/>
        <w:ind w:left="0"/>
        <w:jc w:val="both"/>
      </w:pPr>
      <w:r>
        <w:tab/>
      </w:r>
      <w:r w:rsidR="009E6D18" w:rsidRPr="00C569C7">
        <w:t xml:space="preserve">(ii) în cazul în care sistemul a fost în excedent, </w:t>
      </w:r>
      <w:r w:rsidRPr="00C569C7">
        <w:t>prețul</w:t>
      </w:r>
      <w:r w:rsidR="009E6D18" w:rsidRPr="00C569C7">
        <w:t xml:space="preserve"> </w:t>
      </w:r>
      <w:r w:rsidRPr="00C569C7">
        <w:t xml:space="preserve">estimat </w:t>
      </w:r>
      <w:r w:rsidR="009E6D18" w:rsidRPr="00C569C7">
        <w:t>unic de dezechilibru pentru toate</w:t>
      </w:r>
      <w:r w:rsidR="009E6D18" w:rsidRPr="009E6D18">
        <w:t xml:space="preserve"> dezechilibrele PRE va fi egal cu media ponderată a </w:t>
      </w:r>
      <w:r w:rsidRPr="009E6D18">
        <w:t>prețurilor</w:t>
      </w:r>
      <w:r w:rsidR="009E6D18" w:rsidRPr="009E6D18">
        <w:t xml:space="preserve"> marginale ale fiecărui tip de energie de echilibrare activată pentru reducere de putere </w:t>
      </w:r>
      <w:r w:rsidRPr="009E6D18">
        <w:t>și</w:t>
      </w:r>
      <w:r w:rsidR="009E6D18" w:rsidRPr="009E6D18">
        <w:t xml:space="preserve"> a </w:t>
      </w:r>
      <w:r w:rsidRPr="009E6D18">
        <w:t>cantităților</w:t>
      </w:r>
      <w:r w:rsidR="009E6D18" w:rsidRPr="009E6D18">
        <w:t xml:space="preserve"> corespunzătoare;</w:t>
      </w:r>
      <w:r>
        <w:t xml:space="preserve"> </w:t>
      </w:r>
    </w:p>
    <w:p w14:paraId="73F893CB" w14:textId="77777777" w:rsidR="00286BBE" w:rsidRDefault="009E6D18" w:rsidP="00286BBE">
      <w:pPr>
        <w:pStyle w:val="ListParagraph"/>
        <w:spacing w:line="360" w:lineRule="auto"/>
        <w:ind w:left="0"/>
        <w:jc w:val="both"/>
      </w:pPr>
      <w:r w:rsidRPr="009E6D18">
        <w:t xml:space="preserve">d) în cazul în care într-un ID nu a fost activată energie de echilibrare nici pentru </w:t>
      </w:r>
      <w:r w:rsidR="00286BBE" w:rsidRPr="009E6D18">
        <w:t>creștere</w:t>
      </w:r>
      <w:r w:rsidRPr="009E6D18">
        <w:t xml:space="preserve"> de putere, </w:t>
      </w:r>
      <w:r w:rsidRPr="00C569C7">
        <w:t xml:space="preserve">nici pentru reducere de putere, </w:t>
      </w:r>
      <w:r w:rsidR="00286BBE" w:rsidRPr="00C569C7">
        <w:t>prețul</w:t>
      </w:r>
      <w:r w:rsidRPr="00C569C7">
        <w:t xml:space="preserve"> </w:t>
      </w:r>
      <w:r w:rsidR="00286BBE" w:rsidRPr="00C569C7">
        <w:t>estimat</w:t>
      </w:r>
      <w:r w:rsidRPr="00C569C7">
        <w:t xml:space="preserve"> unic de dezechilibru pentru toate dezechilibrele PRE va</w:t>
      </w:r>
      <w:r w:rsidRPr="009E6D18">
        <w:t xml:space="preserve"> fi egal cu media aritmetică dintre cel mai mic </w:t>
      </w:r>
      <w:r w:rsidR="00286BBE" w:rsidRPr="009E6D18">
        <w:t>preț</w:t>
      </w:r>
      <w:r w:rsidRPr="009E6D18">
        <w:t xml:space="preserve"> al ofertelor din ordinea de merit pentru </w:t>
      </w:r>
      <w:r w:rsidR="00286BBE" w:rsidRPr="009E6D18">
        <w:t>creștere</w:t>
      </w:r>
      <w:r w:rsidRPr="009E6D18">
        <w:t xml:space="preserve"> de putere </w:t>
      </w:r>
      <w:r w:rsidR="00286BBE" w:rsidRPr="009E6D18">
        <w:t>și</w:t>
      </w:r>
      <w:r w:rsidRPr="009E6D18">
        <w:t xml:space="preserve"> cel mai mare </w:t>
      </w:r>
      <w:r w:rsidR="00286BBE" w:rsidRPr="009E6D18">
        <w:t>preț</w:t>
      </w:r>
      <w:r w:rsidRPr="009E6D18">
        <w:t>, în modul, al ofertelor din ordinea de merit pentru reducere de putere corespunzătoare ID respectiv</w:t>
      </w:r>
      <w:r w:rsidR="00286BBE">
        <w:t>.”</w:t>
      </w:r>
    </w:p>
    <w:p w14:paraId="7DCBA14A" w14:textId="720CD6D4" w:rsidR="00813F83" w:rsidRDefault="00C92A32" w:rsidP="00286BBE">
      <w:pPr>
        <w:pStyle w:val="ListParagraph"/>
        <w:spacing w:line="360" w:lineRule="auto"/>
        <w:ind w:left="0"/>
        <w:jc w:val="both"/>
      </w:pPr>
      <w:r>
        <w:rPr>
          <w:b/>
          <w:bCs/>
        </w:rPr>
        <w:t>4</w:t>
      </w:r>
      <w:r w:rsidR="004067A4">
        <w:rPr>
          <w:b/>
          <w:bCs/>
        </w:rPr>
        <w:t>)</w:t>
      </w:r>
      <w:r w:rsidR="00286BBE">
        <w:t xml:space="preserve"> Articolul </w:t>
      </w:r>
      <w:r w:rsidR="00813F83">
        <w:t>195 se modifică după cum urmează</w:t>
      </w:r>
      <w:r w:rsidR="00813F83">
        <w:rPr>
          <w:lang w:val="en-US"/>
        </w:rPr>
        <w:t>:</w:t>
      </w:r>
    </w:p>
    <w:p w14:paraId="52D647E3" w14:textId="6D64C8ED" w:rsidR="00813F83" w:rsidRDefault="00813F83" w:rsidP="00286BBE">
      <w:pPr>
        <w:pStyle w:val="ListParagraph"/>
        <w:spacing w:line="360" w:lineRule="auto"/>
        <w:ind w:left="0"/>
        <w:jc w:val="both"/>
      </w:pPr>
      <w:r>
        <w:t>”</w:t>
      </w:r>
      <w:r w:rsidRPr="00813F83">
        <w:t>(1) ODDPRE stabilește un preț final unic de dezechilibru</w:t>
      </w:r>
      <w:r>
        <w:t xml:space="preserve"> pentru </w:t>
      </w:r>
      <w:r w:rsidRPr="00813F83">
        <w:t>fiecare IDi al lunii de livrare</w:t>
      </w:r>
      <w:r>
        <w:t xml:space="preserve"> </w:t>
      </w:r>
      <w:r w:rsidRPr="00813F83">
        <w:t xml:space="preserve">în care se verifică </w:t>
      </w:r>
      <w:r w:rsidR="00C569C7">
        <w:t xml:space="preserve">simultan </w:t>
      </w:r>
      <w:r w:rsidRPr="00813F83">
        <w:t>următoarele condiții:</w:t>
      </w:r>
    </w:p>
    <w:p w14:paraId="5D683A33" w14:textId="04082367" w:rsidR="009E6D18" w:rsidRPr="00FD110F" w:rsidRDefault="004614A2" w:rsidP="00FD110F">
      <w:pPr>
        <w:pStyle w:val="ListParagraph"/>
        <w:numPr>
          <w:ilvl w:val="0"/>
          <w:numId w:val="10"/>
        </w:numPr>
        <w:spacing w:line="360" w:lineRule="auto"/>
        <w:jc w:val="both"/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Dez</m:t>
                </m:r>
              </m:e>
              <m:sub>
                <m:r>
                  <w:rPr>
                    <w:rFonts w:ascii="Cambria Math" w:hAnsi="Cambria Math"/>
                  </w:rPr>
                  <m:t>SEN</m:t>
                </m:r>
                <m: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∑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probe</m:t>
                </m:r>
                <m: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i</m:t>
                </m:r>
              </m:sub>
            </m:sSub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≥0,1%*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SEN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i</m:t>
            </m:r>
          </m:sub>
        </m:sSub>
      </m:oMath>
      <w:r w:rsidR="00FD110F">
        <w:rPr>
          <w:bCs/>
        </w:rPr>
        <w:t xml:space="preserve">  și</w:t>
      </w:r>
    </w:p>
    <w:p w14:paraId="40275531" w14:textId="728FE482" w:rsidR="00FD110F" w:rsidRDefault="00FD110F" w:rsidP="00FD110F">
      <w:pPr>
        <w:pStyle w:val="ListParagraph"/>
        <w:numPr>
          <w:ilvl w:val="0"/>
          <w:numId w:val="10"/>
        </w:numPr>
        <w:spacing w:line="360" w:lineRule="auto"/>
        <w:jc w:val="both"/>
      </w:pPr>
      <m:oMath>
        <m:r>
          <m:rPr>
            <m:sty m:val="p"/>
          </m:rPr>
          <w:rPr>
            <w:rFonts w:ascii="Cambria Math" w:hAnsi="Cambria Math"/>
          </w:rPr>
          <m:t>∑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i,j</m:t>
            </m:r>
          </m:sub>
          <m:sup>
            <m:r>
              <w:rPr>
                <w:rFonts w:ascii="Cambria Math" w:hAnsi="Cambria Math"/>
              </w:rPr>
              <m:t>creș</m:t>
            </m:r>
          </m:sup>
        </m:sSubSup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∑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Cs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i,x</m:t>
                </m:r>
              </m:sub>
              <m:sup>
                <m:r>
                  <w:rPr>
                    <w:rFonts w:ascii="Cambria Math" w:hAnsi="Cambria Math"/>
                  </w:rPr>
                  <m:t>red</m:t>
                </m:r>
              </m:sup>
            </m:sSubSup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kΔft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SN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≤4*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Dez</m:t>
                </m:r>
              </m:e>
              <m:sub>
                <m:r>
                  <w:rPr>
                    <w:rFonts w:ascii="Cambria Math" w:hAnsi="Cambria Math"/>
                  </w:rPr>
                  <m:t>SEN,i</m:t>
                </m:r>
              </m:sub>
            </m:sSub>
            <m: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∑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probe,i</m:t>
                </m:r>
              </m:sub>
            </m:sSub>
            <m:ctrlPr>
              <w:rPr>
                <w:rFonts w:ascii="Cambria Math" w:hAnsi="Cambria Math"/>
                <w:i/>
              </w:rPr>
            </m:ctrlPr>
          </m:e>
        </m:d>
      </m:oMath>
      <w:r w:rsidR="000E1825">
        <w:t xml:space="preserve">  și </w:t>
      </w:r>
    </w:p>
    <w:p w14:paraId="542125B9" w14:textId="7F1B80EA" w:rsidR="000E1825" w:rsidRPr="009E6D18" w:rsidRDefault="004614A2" w:rsidP="00FD110F">
      <w:pPr>
        <w:pStyle w:val="ListParagraph"/>
        <w:numPr>
          <w:ilvl w:val="0"/>
          <w:numId w:val="10"/>
        </w:numPr>
        <w:spacing w:line="360" w:lineRule="auto"/>
        <w:jc w:val="both"/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∑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Dez</m:t>
                </m:r>
              </m:e>
              <m:sub>
                <m:r>
                  <w:rPr>
                    <w:rFonts w:ascii="Cambria Math" w:hAnsi="Cambria Math"/>
                  </w:rPr>
                  <m:t>PRE</m:t>
                </m:r>
                <m: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i</m:t>
                </m:r>
              </m:sub>
            </m:sSub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≥0,5%*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SEN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i</m:t>
            </m:r>
          </m:sub>
        </m:sSub>
      </m:oMath>
      <w:r w:rsidR="000E1825">
        <w:t xml:space="preserve"> </w:t>
      </w:r>
    </w:p>
    <w:p w14:paraId="3557E84F" w14:textId="4BCE92D4" w:rsidR="009E6D18" w:rsidRDefault="000E1825" w:rsidP="009E6D18">
      <w:pPr>
        <w:pStyle w:val="ListParagraph"/>
        <w:tabs>
          <w:tab w:val="left" w:pos="270"/>
        </w:tabs>
        <w:spacing w:line="360" w:lineRule="auto"/>
        <w:ind w:left="0"/>
        <w:jc w:val="both"/>
      </w:pPr>
      <w:r w:rsidRPr="000E1825">
        <w:t>unde:</w:t>
      </w:r>
    </w:p>
    <w:p w14:paraId="0FA398CC" w14:textId="40CC4559" w:rsidR="000E1825" w:rsidRDefault="004614A2" w:rsidP="000E1825">
      <w:pPr>
        <w:pStyle w:val="ListParagraph"/>
        <w:numPr>
          <w:ilvl w:val="0"/>
          <w:numId w:val="11"/>
        </w:numPr>
        <w:tabs>
          <w:tab w:val="left" w:pos="450"/>
        </w:tabs>
        <w:spacing w:line="360" w:lineRule="auto"/>
        <w:ind w:left="0" w:firstLine="0"/>
        <w:jc w:val="both"/>
      </w:pP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Dez</m:t>
            </m:r>
          </m:e>
          <m:sub>
            <m:r>
              <w:rPr>
                <w:rFonts w:ascii="Cambria Math" w:hAnsi="Cambria Math"/>
              </w:rPr>
              <m:t>SEN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i</m:t>
            </m:r>
          </m:sub>
        </m:sSub>
      </m:oMath>
      <w:r w:rsidR="00EF5DAA">
        <w:rPr>
          <w:bCs/>
        </w:rPr>
        <w:t xml:space="preserve"> </w:t>
      </w:r>
      <w:r w:rsidR="000E1825" w:rsidRPr="000E1825">
        <w:t>reprezintă dezechilibrul SEN calculat conform prevederilor art. 168;</w:t>
      </w:r>
    </w:p>
    <w:p w14:paraId="7D7278B5" w14:textId="5E65091E" w:rsidR="009E6D18" w:rsidRDefault="00BD1226" w:rsidP="00C534F3">
      <w:pPr>
        <w:pStyle w:val="ListParagraph"/>
        <w:numPr>
          <w:ilvl w:val="0"/>
          <w:numId w:val="11"/>
        </w:numPr>
        <w:tabs>
          <w:tab w:val="left" w:pos="450"/>
        </w:tabs>
        <w:spacing w:line="360" w:lineRule="auto"/>
        <w:ind w:left="0" w:firstLine="0"/>
        <w:jc w:val="both"/>
      </w:pPr>
      <m:oMath>
        <m:r>
          <m:rPr>
            <m:sty m:val="p"/>
          </m:rPr>
          <w:rPr>
            <w:rFonts w:ascii="Cambria Math" w:hAnsi="Cambria Math"/>
          </w:rPr>
          <m:t>∑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probe,i</m:t>
            </m:r>
          </m:sub>
        </m:sSub>
      </m:oMath>
      <w:r w:rsidR="00EF5DAA">
        <w:t xml:space="preserve"> </w:t>
      </w:r>
      <w:r w:rsidR="000E1825">
        <w:t xml:space="preserve">reprezintă cantitatea </w:t>
      </w:r>
      <w:r>
        <w:t xml:space="preserve">totală </w:t>
      </w:r>
      <w:r w:rsidR="000E1825">
        <w:t>de energie electrică livrată de centralele aflate în perioada de probă</w:t>
      </w:r>
      <w:r w:rsidR="000E1825" w:rsidRPr="000E1825">
        <w:t>;</w:t>
      </w:r>
    </w:p>
    <w:p w14:paraId="1D0DF780" w14:textId="4797A1E2" w:rsidR="000E1825" w:rsidRDefault="004614A2" w:rsidP="000E1825">
      <w:pPr>
        <w:pStyle w:val="ListParagraph"/>
        <w:numPr>
          <w:ilvl w:val="0"/>
          <w:numId w:val="11"/>
        </w:numPr>
        <w:tabs>
          <w:tab w:val="left" w:pos="450"/>
        </w:tabs>
        <w:spacing w:line="360" w:lineRule="auto"/>
        <w:ind w:left="0" w:firstLine="0"/>
        <w:jc w:val="both"/>
      </w:pP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SEN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i</m:t>
            </m:r>
          </m:sub>
        </m:sSub>
      </m:oMath>
      <w:r w:rsidR="00EF5DAA">
        <w:t xml:space="preserve"> </w:t>
      </w:r>
      <w:r w:rsidR="000E1825">
        <w:t xml:space="preserve">reprezintă </w:t>
      </w:r>
      <w:r w:rsidR="000E1825" w:rsidRPr="000E1825">
        <w:t>consumul total al SEN, stabilit de ODDPRE pe baza valorilor măsurate;</w:t>
      </w:r>
    </w:p>
    <w:p w14:paraId="5737CA52" w14:textId="6A0D0316" w:rsidR="000E1825" w:rsidRDefault="000E1825" w:rsidP="00C534F3">
      <w:pPr>
        <w:pStyle w:val="ListParagraph"/>
        <w:numPr>
          <w:ilvl w:val="0"/>
          <w:numId w:val="11"/>
        </w:numPr>
        <w:tabs>
          <w:tab w:val="left" w:pos="450"/>
        </w:tabs>
        <w:spacing w:line="360" w:lineRule="auto"/>
        <w:ind w:left="0" w:firstLine="0"/>
        <w:jc w:val="both"/>
      </w:pPr>
      <w: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i,j</m:t>
            </m:r>
          </m:sub>
          <m:sup>
            <m:r>
              <w:rPr>
                <w:rFonts w:ascii="Cambria Math" w:hAnsi="Cambria Math"/>
              </w:rPr>
              <m:t>creș</m:t>
            </m:r>
          </m:sup>
        </m:sSubSup>
      </m:oMath>
      <w:r>
        <w:t xml:space="preserve"> și </w:t>
      </w:r>
      <m:oMath>
        <m:sSubSup>
          <m:sSubSupPr>
            <m:ctrlPr>
              <w:rPr>
                <w:rFonts w:ascii="Cambria Math" w:hAnsi="Cambria Math"/>
                <w:bCs/>
                <w:i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i,x</m:t>
            </m:r>
          </m:sub>
          <m:sup>
            <m:r>
              <w:rPr>
                <w:rFonts w:ascii="Cambria Math" w:hAnsi="Cambria Math"/>
              </w:rPr>
              <m:t>red</m:t>
            </m:r>
          </m:sup>
        </m:sSubSup>
      </m:oMath>
      <w:r>
        <w:rPr>
          <w:bCs/>
        </w:rPr>
        <w:t xml:space="preserve"> </w:t>
      </w:r>
      <w:r w:rsidRPr="000E1825">
        <w:t>reprezintă cantitatea energiei activate pentru echilibrarea SEN, corespunzătoare tranzacției angajate j/x pentru furnizarea creșterii/reducerii de putere în IDi;</w:t>
      </w:r>
    </w:p>
    <w:p w14:paraId="76493742" w14:textId="1AF41F85" w:rsidR="000E1825" w:rsidRDefault="004614A2" w:rsidP="00C534F3">
      <w:pPr>
        <w:pStyle w:val="ListParagraph"/>
        <w:numPr>
          <w:ilvl w:val="0"/>
          <w:numId w:val="11"/>
        </w:numPr>
        <w:tabs>
          <w:tab w:val="left" w:pos="450"/>
        </w:tabs>
        <w:spacing w:line="360" w:lineRule="auto"/>
        <w:ind w:left="0" w:firstLine="0"/>
        <w:jc w:val="both"/>
      </w:pP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kΔft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EF5DAA">
        <w:rPr>
          <w:bCs/>
        </w:rPr>
        <w:t xml:space="preserve"> </w:t>
      </w:r>
      <w:r w:rsidR="000E1825" w:rsidRPr="000E1825">
        <w:t>reprezintă volumul schimburilor planificate de energie pentru stabilizarea frecvenței în aria sincronă Europa Continentală;</w:t>
      </w:r>
    </w:p>
    <w:p w14:paraId="29856F18" w14:textId="22063110" w:rsidR="000E1825" w:rsidRDefault="004614A2" w:rsidP="00C534F3">
      <w:pPr>
        <w:pStyle w:val="ListParagraph"/>
        <w:numPr>
          <w:ilvl w:val="0"/>
          <w:numId w:val="11"/>
        </w:numPr>
        <w:tabs>
          <w:tab w:val="left" w:pos="450"/>
        </w:tabs>
        <w:spacing w:line="360" w:lineRule="auto"/>
        <w:ind w:left="0" w:firstLine="0"/>
        <w:jc w:val="both"/>
      </w:pP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SN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EF5DAA">
        <w:rPr>
          <w:bCs/>
        </w:rPr>
        <w:t xml:space="preserve"> </w:t>
      </w:r>
      <w:r w:rsidR="000E1825" w:rsidRPr="000E1825">
        <w:t>reprezintă volumul schimburilor neintenționate determinat conform art. 176;</w:t>
      </w:r>
    </w:p>
    <w:p w14:paraId="11F0A731" w14:textId="2BF23268" w:rsidR="00FB3B3E" w:rsidRDefault="00BD1226" w:rsidP="00301978">
      <w:pPr>
        <w:pStyle w:val="ListParagraph"/>
        <w:numPr>
          <w:ilvl w:val="0"/>
          <w:numId w:val="11"/>
        </w:numPr>
        <w:tabs>
          <w:tab w:val="left" w:pos="450"/>
        </w:tabs>
        <w:spacing w:line="360" w:lineRule="auto"/>
        <w:ind w:left="0" w:firstLine="0"/>
        <w:jc w:val="both"/>
      </w:pPr>
      <m:oMath>
        <m:r>
          <m:rPr>
            <m:sty m:val="p"/>
          </m:rPr>
          <w:rPr>
            <w:rFonts w:ascii="Cambria Math" w:hAnsi="Cambria Math"/>
          </w:rPr>
          <m:t>∑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Dez</m:t>
            </m:r>
          </m:e>
          <m:sub>
            <m:r>
              <w:rPr>
                <w:rFonts w:ascii="Cambria Math" w:hAnsi="Cambria Math"/>
              </w:rPr>
              <m:t>PRE,i</m:t>
            </m:r>
          </m:sub>
        </m:sSub>
      </m:oMath>
      <w:r w:rsidR="00EF5DAA">
        <w:rPr>
          <w:bCs/>
        </w:rPr>
        <w:t xml:space="preserve"> </w:t>
      </w:r>
      <w:r w:rsidR="000E1825" w:rsidRPr="000E1825">
        <w:t>reprezintă suma algebrică a dezechilibrelor PRE în IDi; se consideră dezechilibrul PRE pozitiv cu semnul plus și dezechilibrul PRE negativ cu semnul minus.</w:t>
      </w:r>
    </w:p>
    <w:p w14:paraId="6A27BF03" w14:textId="145749EA" w:rsidR="00301978" w:rsidRDefault="00301978" w:rsidP="00301978">
      <w:pPr>
        <w:pStyle w:val="ListParagraph"/>
        <w:tabs>
          <w:tab w:val="left" w:pos="450"/>
        </w:tabs>
        <w:spacing w:line="360" w:lineRule="auto"/>
        <w:ind w:left="0"/>
        <w:jc w:val="both"/>
      </w:pPr>
      <w:r>
        <w:t xml:space="preserve">(2) </w:t>
      </w:r>
      <w:r w:rsidRPr="00301978">
        <w:t>În situația prevăzută la alin. (1), ODDPRE stabilește în intervalul IDi prețul final unic de dezechilibru cu următoarea formulă:</w:t>
      </w:r>
    </w:p>
    <w:p w14:paraId="7657852D" w14:textId="07CA5266" w:rsidR="00301978" w:rsidRPr="00301978" w:rsidRDefault="004614A2" w:rsidP="00301978">
      <w:pPr>
        <w:pStyle w:val="ListParagraph"/>
        <w:tabs>
          <w:tab w:val="left" w:pos="450"/>
        </w:tabs>
        <w:spacing w:line="360" w:lineRule="auto"/>
        <w:ind w:left="0"/>
        <w:jc w:val="both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dez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fin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dez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in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neutr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fin</m:t>
              </m:r>
            </m:sup>
          </m:sSubSup>
        </m:oMath>
      </m:oMathPara>
    </w:p>
    <w:p w14:paraId="48C4424C" w14:textId="77CE8AAD" w:rsidR="00301978" w:rsidRDefault="00301978" w:rsidP="00301978">
      <w:pPr>
        <w:pStyle w:val="ListParagraph"/>
        <w:tabs>
          <w:tab w:val="left" w:pos="450"/>
        </w:tabs>
        <w:spacing w:line="360" w:lineRule="auto"/>
        <w:ind w:left="0"/>
        <w:jc w:val="both"/>
      </w:pPr>
      <w:r w:rsidRPr="00301978">
        <w:t>unde:</w:t>
      </w:r>
    </w:p>
    <w:p w14:paraId="426D3778" w14:textId="59F28F40" w:rsidR="00301978" w:rsidRDefault="004614A2" w:rsidP="00301978">
      <w:pPr>
        <w:pStyle w:val="ListParagraph"/>
        <w:numPr>
          <w:ilvl w:val="0"/>
          <w:numId w:val="11"/>
        </w:numPr>
        <w:tabs>
          <w:tab w:val="left" w:pos="270"/>
          <w:tab w:val="left" w:pos="450"/>
        </w:tabs>
        <w:spacing w:line="360" w:lineRule="auto"/>
        <w:ind w:left="0" w:firstLine="0"/>
        <w:jc w:val="both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dez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in</m:t>
            </m:r>
          </m:sup>
        </m:sSubSup>
      </m:oMath>
      <w:r w:rsidR="00301978">
        <w:t xml:space="preserve"> reprezintă </w:t>
      </w:r>
      <w:r w:rsidR="00301978" w:rsidRPr="00301978">
        <w:t>prețul inițial unic de dezechilibru în IDi, determinat conform prevederilor de la art. 189;</w:t>
      </w:r>
      <w:r w:rsidR="00301978">
        <w:t xml:space="preserve"> </w:t>
      </w:r>
    </w:p>
    <w:p w14:paraId="5A4DD67C" w14:textId="4180990D" w:rsidR="00301978" w:rsidRPr="00301978" w:rsidRDefault="004614A2" w:rsidP="00301978">
      <w:pPr>
        <w:pStyle w:val="ListParagraph"/>
        <w:numPr>
          <w:ilvl w:val="0"/>
          <w:numId w:val="11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rFonts w:ascii="Cambria Math" w:hAnsi="Cambria Math"/>
          <w:i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neutr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fin</m:t>
            </m:r>
          </m:sup>
        </m:sSubSup>
      </m:oMath>
      <w:r w:rsidR="00301978">
        <w:t xml:space="preserve"> reprezintă </w:t>
      </w:r>
      <w:r w:rsidR="00301978" w:rsidRPr="00301978">
        <w:t>componenta de neutralitate financiară a OTS, determinată conform procesului descris la art. 194</w:t>
      </w:r>
      <w:r w:rsidR="00301978">
        <w:t>.</w:t>
      </w:r>
    </w:p>
    <w:p w14:paraId="139E1A2F" w14:textId="43CD3871" w:rsidR="00301978" w:rsidRDefault="00301978" w:rsidP="00301978">
      <w:pPr>
        <w:tabs>
          <w:tab w:val="left" w:pos="270"/>
          <w:tab w:val="left" w:pos="450"/>
        </w:tabs>
        <w:spacing w:line="360" w:lineRule="auto"/>
        <w:jc w:val="both"/>
      </w:pPr>
      <w:r>
        <w:t xml:space="preserve">(3) </w:t>
      </w:r>
      <w:r w:rsidR="00B15E31" w:rsidRPr="00B15E31">
        <w:t xml:space="preserve">Dacă într-un IDi SEN se află în deficit și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dez,i</m:t>
            </m:r>
          </m:sub>
          <m:sup>
            <m:r>
              <w:rPr>
                <w:rFonts w:ascii="Cambria Math" w:hAnsi="Cambria Math"/>
              </w:rPr>
              <m:t>fin</m:t>
            </m:r>
          </m:sup>
        </m:sSubSup>
      </m:oMath>
      <w:r w:rsidR="00B15E31" w:rsidRPr="00B15E31">
        <w:t xml:space="preserve"> &lt;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med,i</m:t>
            </m:r>
          </m:sub>
          <m:sup>
            <m:r>
              <w:rPr>
                <w:rFonts w:ascii="Cambria Math" w:hAnsi="Cambria Math"/>
              </w:rPr>
              <m:t>Creș</m:t>
            </m:r>
          </m:sup>
        </m:sSubSup>
      </m:oMath>
      <w:r w:rsidR="00B15E31">
        <w:t xml:space="preserve"> </w:t>
      </w:r>
      <w:r w:rsidR="00B15E31" w:rsidRPr="00B15E31">
        <w:t>unde</w:t>
      </w:r>
      <w:r w:rsidR="00B15E31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med,i</m:t>
            </m:r>
          </m:sub>
          <m:sup>
            <m:r>
              <w:rPr>
                <w:rFonts w:ascii="Cambria Math" w:hAnsi="Cambria Math"/>
              </w:rPr>
              <m:t>Creș</m:t>
            </m:r>
          </m:sup>
        </m:sSubSup>
      </m:oMath>
      <w:r w:rsidR="00B15E31">
        <w:t xml:space="preserve"> </w:t>
      </w:r>
      <w:r w:rsidR="00B15E31" w:rsidRPr="00B15E31">
        <w:t xml:space="preserve">reprezintă media ponderată a prețurilor marginale pentru fiecare tip de energie de echilibrare activată pentru </w:t>
      </w:r>
      <w:r w:rsidR="00BD1226" w:rsidRPr="00B15E31">
        <w:t>creștere</w:t>
      </w:r>
      <w:r w:rsidR="00B15E31" w:rsidRPr="00B15E31">
        <w:t xml:space="preserve"> de putere </w:t>
      </w:r>
      <w:r w:rsidR="00BD1226" w:rsidRPr="00B15E31">
        <w:t>și</w:t>
      </w:r>
      <w:r w:rsidR="00B15E31" w:rsidRPr="00B15E31">
        <w:t xml:space="preserve"> a </w:t>
      </w:r>
      <w:r w:rsidR="00BD1226" w:rsidRPr="00B15E31">
        <w:t>cantităților</w:t>
      </w:r>
      <w:r w:rsidR="00B15E31" w:rsidRPr="00B15E31">
        <w:t xml:space="preserve"> de energie corespunzătoare în IDi, atunci </w:t>
      </w:r>
      <w:r w:rsidR="00BD1226" w:rsidRPr="00B15E31">
        <w:t>prețul</w:t>
      </w:r>
      <w:r w:rsidR="00B15E31" w:rsidRPr="00B15E31">
        <w:t xml:space="preserve"> final unic de dezechilibru va fi egal cu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med,i</m:t>
            </m:r>
          </m:sub>
          <m:sup>
            <m:r>
              <w:rPr>
                <w:rFonts w:ascii="Cambria Math" w:hAnsi="Cambria Math"/>
              </w:rPr>
              <m:t>Creș</m:t>
            </m:r>
          </m:sup>
        </m:sSubSup>
      </m:oMath>
      <w:r w:rsidR="00B15E31" w:rsidRPr="00B15E31">
        <w:t>, conform prevederilor art. 55 alin. (4) din Regulamentul (UE) 2017/2195. Costurile/Veniturile rezultate în urma aplicării acestei prevederi se vor regulariza conform prevederilor secţiunii 7.3 Repartizarea costurilor sau veniturilor suplimentare provenite din echilibrarea sistemului.</w:t>
      </w:r>
      <w:r w:rsidR="00B15E31">
        <w:t xml:space="preserve"> </w:t>
      </w:r>
    </w:p>
    <w:p w14:paraId="4A41273B" w14:textId="67ED13B4" w:rsidR="00B15E31" w:rsidRDefault="00B15E31" w:rsidP="00301978">
      <w:pPr>
        <w:tabs>
          <w:tab w:val="left" w:pos="270"/>
          <w:tab w:val="left" w:pos="450"/>
        </w:tabs>
        <w:spacing w:line="360" w:lineRule="auto"/>
        <w:jc w:val="both"/>
      </w:pPr>
      <w:r>
        <w:t xml:space="preserve">(4) </w:t>
      </w:r>
      <w:r w:rsidRPr="00B15E31">
        <w:t xml:space="preserve">Dacă într-un IDi SEN se află în </w:t>
      </w:r>
      <w:r>
        <w:t>excedent</w:t>
      </w:r>
      <w:r w:rsidRPr="00B15E31">
        <w:t xml:space="preserve"> și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dez,i</m:t>
            </m:r>
          </m:sub>
          <m:sup>
            <m:r>
              <w:rPr>
                <w:rFonts w:ascii="Cambria Math" w:hAnsi="Cambria Math"/>
              </w:rPr>
              <m:t>fin</m:t>
            </m:r>
          </m:sup>
        </m:sSubSup>
      </m:oMath>
      <w:r w:rsidRPr="00B15E31">
        <w:t xml:space="preserve"> &gt;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med,i</m:t>
            </m:r>
          </m:sub>
          <m:sup>
            <m:r>
              <w:rPr>
                <w:rFonts w:ascii="Cambria Math" w:hAnsi="Cambria Math"/>
              </w:rPr>
              <m:t>Red</m:t>
            </m:r>
          </m:sup>
        </m:sSubSup>
      </m:oMath>
      <w:r>
        <w:t xml:space="preserve"> </w:t>
      </w:r>
      <w:r w:rsidRPr="00B15E31">
        <w:t>unde</w:t>
      </w:r>
      <w: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med,i</m:t>
            </m:r>
          </m:sub>
          <m:sup>
            <m:r>
              <w:rPr>
                <w:rFonts w:ascii="Cambria Math" w:hAnsi="Cambria Math"/>
              </w:rPr>
              <m:t>Red</m:t>
            </m:r>
          </m:sup>
        </m:sSubSup>
      </m:oMath>
      <w:r>
        <w:t xml:space="preserve"> </w:t>
      </w:r>
      <w:r w:rsidRPr="00B15E31">
        <w:t xml:space="preserve">reprezintă media ponderată a prețurilor marginale pentru fiecare tip de energie de echilibrare activată pentru reducere de putere și a cantităților de energie corespunzătoare în IDi, atunci prețul final unic de dezechilibru va fi egal cu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med,i</m:t>
            </m:r>
          </m:sub>
          <m:sup>
            <m:r>
              <w:rPr>
                <w:rFonts w:ascii="Cambria Math" w:hAnsi="Cambria Math"/>
              </w:rPr>
              <m:t>Red</m:t>
            </m:r>
          </m:sup>
        </m:sSubSup>
      </m:oMath>
      <w:r w:rsidRPr="00B15E31">
        <w:t>, conform prevederilor art. 55 alin. (</w:t>
      </w:r>
      <w:r>
        <w:t>5</w:t>
      </w:r>
      <w:r w:rsidRPr="00B15E31">
        <w:t xml:space="preserve">) din Regulamentul (UE) 2017/2195. Costurile/Veniturile rezultate în urma aplicării acestei prevederi se vor regulariza conform prevederilor </w:t>
      </w:r>
      <w:r w:rsidR="00BD1226" w:rsidRPr="00B15E31">
        <w:t>secțiunii</w:t>
      </w:r>
      <w:r w:rsidRPr="00B15E31">
        <w:t xml:space="preserve"> 7.3 Repartizarea costurilor sau veniturilor suplimentare provenite din echilibrarea sistemului.</w:t>
      </w:r>
    </w:p>
    <w:p w14:paraId="4A59C674" w14:textId="77777777" w:rsidR="00A77020" w:rsidRDefault="00B15E31" w:rsidP="00301978">
      <w:pPr>
        <w:tabs>
          <w:tab w:val="left" w:pos="270"/>
          <w:tab w:val="left" w:pos="450"/>
        </w:tabs>
        <w:spacing w:line="360" w:lineRule="auto"/>
        <w:jc w:val="both"/>
      </w:pPr>
      <w:r>
        <w:t xml:space="preserve">(5) </w:t>
      </w:r>
      <w:r w:rsidRPr="00B15E31">
        <w:t>În fiecare I</w:t>
      </w:r>
      <w:r>
        <w:t>D</w:t>
      </w:r>
      <w:r w:rsidRPr="00B15E31">
        <w:t xml:space="preserve">i al lunii de livrare, în care nu se verifică condițiile de la alin. (1), ODDPRE aplică metoda celor două preturi de dezechilibru, respectiv calculează prețul final de deficit,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fin,i</m:t>
            </m:r>
          </m:sub>
          <m:sup>
            <m:r>
              <w:rPr>
                <w:rFonts w:ascii="Cambria Math" w:hAnsi="Cambria Math"/>
              </w:rPr>
              <m:t>def</m:t>
            </m:r>
          </m:sup>
        </m:sSubSup>
      </m:oMath>
      <w:r w:rsidRPr="00B15E31">
        <w:t xml:space="preserve">, și prețul final de excedent,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fin,i</m:t>
            </m:r>
          </m:sub>
          <m:sup>
            <m:r>
              <w:rPr>
                <w:rFonts w:ascii="Cambria Math" w:hAnsi="Cambria Math"/>
              </w:rPr>
              <m:t>exc</m:t>
            </m:r>
          </m:sup>
        </m:sSubSup>
      </m:oMath>
      <w:r>
        <w:t xml:space="preserve"> </w:t>
      </w:r>
      <w:r w:rsidRPr="00B15E31">
        <w:t>, după cum urmează:</w:t>
      </w:r>
      <w:r w:rsidR="00A77020">
        <w:t xml:space="preserve"> </w:t>
      </w:r>
    </w:p>
    <w:p w14:paraId="4E0922E5" w14:textId="76229DB8" w:rsidR="00B15E31" w:rsidRDefault="00A77020" w:rsidP="0002226E">
      <w:pPr>
        <w:tabs>
          <w:tab w:val="left" w:pos="360"/>
        </w:tabs>
        <w:spacing w:line="360" w:lineRule="auto"/>
        <w:jc w:val="both"/>
      </w:pPr>
      <w:r>
        <w:tab/>
      </w:r>
      <w:r>
        <w:tab/>
      </w:r>
      <w:r w:rsidR="00B15E31" w:rsidRPr="00B15E31">
        <w:t xml:space="preserve">a) Se determină </w:t>
      </w:r>
      <w:r w:rsidRPr="00B15E31">
        <w:t>pre</w:t>
      </w:r>
      <w:r w:rsidR="00BD1226">
        <w:t>ț</w:t>
      </w:r>
      <w:r w:rsidRPr="00B15E31">
        <w:t>urile</w:t>
      </w:r>
      <w:r w:rsidR="00B15E31" w:rsidRPr="00B15E31">
        <w:t xml:space="preserve"> de deficit </w:t>
      </w:r>
      <w:r w:rsidRPr="00B15E31">
        <w:t>și</w:t>
      </w:r>
      <w:r w:rsidR="00B15E31" w:rsidRPr="00B15E31">
        <w:t xml:space="preserve"> de excedent </w:t>
      </w:r>
      <w:r w:rsidRPr="00B15E31">
        <w:t>inițiale</w:t>
      </w:r>
      <w:r w:rsidR="00B15E31" w:rsidRPr="00B15E31">
        <w:t xml:space="preserve"> în IDi cu următoarele formule:</w:t>
      </w:r>
    </w:p>
    <w:p w14:paraId="5338EC84" w14:textId="2B9DB793" w:rsidR="00301978" w:rsidRPr="00A77020" w:rsidRDefault="004614A2" w:rsidP="00A77020">
      <w:pPr>
        <w:tabs>
          <w:tab w:val="left" w:pos="630"/>
        </w:tabs>
        <w:spacing w:line="360" w:lineRule="auto"/>
        <w:jc w:val="both"/>
        <w:rPr>
          <w:rFonts w:ascii="Cambria Math" w:hAnsi="Cambria Math"/>
          <w:i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in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def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med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Cre</m:t>
              </m:r>
              <m:r>
                <w:rPr>
                  <w:rFonts w:ascii="Cambria Math" w:hAnsi="Cambria Math"/>
                </w:rPr>
                <m:t>ș</m:t>
              </m:r>
            </m:sup>
          </m:sSubSup>
        </m:oMath>
      </m:oMathPara>
    </w:p>
    <w:p w14:paraId="3E9CD4A5" w14:textId="3B1866FB" w:rsidR="00301978" w:rsidRDefault="004614A2" w:rsidP="00301978">
      <w:pPr>
        <w:pStyle w:val="ListParagraph"/>
        <w:tabs>
          <w:tab w:val="left" w:pos="450"/>
        </w:tabs>
        <w:spacing w:line="360" w:lineRule="auto"/>
        <w:ind w:left="0"/>
        <w:jc w:val="both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in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exc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med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Red</m:t>
              </m:r>
            </m:sup>
          </m:sSubSup>
        </m:oMath>
      </m:oMathPara>
    </w:p>
    <w:p w14:paraId="79CA0F32" w14:textId="693B7B51" w:rsidR="00A77020" w:rsidRDefault="00A77020" w:rsidP="00A77020">
      <w:pPr>
        <w:pStyle w:val="ListParagraph"/>
        <w:tabs>
          <w:tab w:val="left" w:pos="810"/>
        </w:tabs>
        <w:spacing w:line="360" w:lineRule="auto"/>
        <w:jc w:val="both"/>
      </w:pPr>
      <w:r>
        <w:tab/>
      </w:r>
      <w:r w:rsidRPr="00A77020">
        <w:t>unde:</w:t>
      </w:r>
    </w:p>
    <w:p w14:paraId="5C2F7152" w14:textId="02521EC8" w:rsidR="00A77020" w:rsidRDefault="004614A2" w:rsidP="00A77020">
      <w:pPr>
        <w:pStyle w:val="ListParagraph"/>
        <w:numPr>
          <w:ilvl w:val="0"/>
          <w:numId w:val="11"/>
        </w:numPr>
        <w:tabs>
          <w:tab w:val="left" w:pos="1080"/>
        </w:tabs>
        <w:spacing w:line="360" w:lineRule="auto"/>
        <w:ind w:firstLine="0"/>
        <w:jc w:val="both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med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Cre</m:t>
            </m:r>
            <m:r>
              <w:rPr>
                <w:rFonts w:ascii="Cambria Math" w:hAnsi="Cambria Math"/>
              </w:rPr>
              <m:t>ș</m:t>
            </m:r>
          </m:sup>
        </m:sSubSup>
      </m:oMath>
      <w:r w:rsidR="00A77020">
        <w:t xml:space="preserve"> </w:t>
      </w:r>
      <w:r w:rsidR="00A77020" w:rsidRPr="00A77020">
        <w:t xml:space="preserve">reprezintă media ponderată a </w:t>
      </w:r>
      <w:r w:rsidR="00BD1226" w:rsidRPr="00A77020">
        <w:t>prețurilor</w:t>
      </w:r>
      <w:r w:rsidR="00A77020" w:rsidRPr="00A77020">
        <w:t xml:space="preserve"> marginale pentru fiecare tip de energie de echilibrare activată pentru </w:t>
      </w:r>
      <w:r w:rsidR="00BD1226" w:rsidRPr="00A77020">
        <w:t>creștere</w:t>
      </w:r>
      <w:r w:rsidR="00A77020" w:rsidRPr="00A77020">
        <w:t xml:space="preserve"> de putere în IDi;</w:t>
      </w:r>
    </w:p>
    <w:p w14:paraId="282A3243" w14:textId="24860AD8" w:rsidR="00301978" w:rsidRDefault="004614A2" w:rsidP="00A77020">
      <w:pPr>
        <w:pStyle w:val="ListParagraph"/>
        <w:numPr>
          <w:ilvl w:val="0"/>
          <w:numId w:val="11"/>
        </w:numPr>
        <w:tabs>
          <w:tab w:val="left" w:pos="1080"/>
        </w:tabs>
        <w:spacing w:line="360" w:lineRule="auto"/>
        <w:ind w:firstLine="0"/>
        <w:jc w:val="both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med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Red</m:t>
            </m:r>
          </m:sup>
        </m:sSubSup>
      </m:oMath>
      <w:r w:rsidR="00A77020">
        <w:t xml:space="preserve"> </w:t>
      </w:r>
      <w:r w:rsidR="00A77020" w:rsidRPr="00A77020">
        <w:t xml:space="preserve">reprezintă media ponderată a </w:t>
      </w:r>
      <w:r w:rsidR="00BD1226" w:rsidRPr="00A77020">
        <w:t>prețurilor</w:t>
      </w:r>
      <w:r w:rsidR="00A77020" w:rsidRPr="00A77020">
        <w:t xml:space="preserve"> marginale pentru fiecare tip de energie de echilibrare activată pentru reducere de putere în IDi.</w:t>
      </w:r>
    </w:p>
    <w:p w14:paraId="2198427D" w14:textId="2D6C1D75" w:rsidR="00A77020" w:rsidRDefault="00A77020" w:rsidP="0002226E">
      <w:pPr>
        <w:tabs>
          <w:tab w:val="left" w:pos="450"/>
        </w:tabs>
        <w:spacing w:line="360" w:lineRule="auto"/>
        <w:jc w:val="both"/>
      </w:pPr>
      <w:r>
        <w:tab/>
        <w:t xml:space="preserve">b) </w:t>
      </w:r>
      <w:r w:rsidRPr="00A77020">
        <w:t>Pentru fiecare ID se calculează drepturile de încasare inițiale ale PRE, (</w:t>
      </w:r>
      <m:oMath>
        <m:sSub>
          <m:sSubPr>
            <m:ctrlPr>
              <w:rPr>
                <w:rFonts w:ascii="Cambria Math" w:hAnsi="Cambria Math"/>
                <w:bCs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DI</m:t>
            </m:r>
          </m:e>
          <m:sub>
            <m:r>
              <w:rPr>
                <w:rFonts w:ascii="Cambria Math" w:hAnsi="Cambria Math"/>
                <w:vertAlign w:val="subscript"/>
              </w:rPr>
              <m:t>PRE,i</m:t>
            </m:r>
          </m:sub>
        </m:sSub>
      </m:oMath>
      <w:r w:rsidRPr="00A77020">
        <w:t>)</w:t>
      </w:r>
      <w:r>
        <w:t>,</w:t>
      </w:r>
      <w:r w:rsidRPr="00A77020">
        <w:t xml:space="preserve"> </w:t>
      </w:r>
      <w:r w:rsidR="00BD1226" w:rsidRPr="00A77020">
        <w:t xml:space="preserve">și obligațiile de plată inițiale ale </w:t>
      </w:r>
      <w:r w:rsidR="00BD1226">
        <w:t>PRE</w:t>
      </w:r>
      <w:r w:rsidR="00BD1226" w:rsidRPr="00A77020">
        <w:t>, (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OP</m:t>
            </m:r>
          </m:e>
          <m:sub>
            <m:r>
              <w:rPr>
                <w:rFonts w:ascii="Cambria Math" w:hAnsi="Cambria Math"/>
              </w:rPr>
              <m:t>PRE,i</m:t>
            </m:r>
          </m:sub>
        </m:sSub>
      </m:oMath>
      <w:r w:rsidR="00BD1226" w:rsidRPr="00A77020">
        <w:t>)</w:t>
      </w:r>
      <w:r w:rsidR="00BD1226">
        <w:t xml:space="preserve">, </w:t>
      </w:r>
      <w:r w:rsidRPr="00A77020">
        <w:t xml:space="preserve">prin înmulțirea dezechilibrelor negative ale PRE cu prețul de deficit inițial </w:t>
      </w:r>
      <w:r w:rsidR="00BD1226">
        <w:t xml:space="preserve">și a </w:t>
      </w:r>
      <w:r w:rsidR="00BD1226" w:rsidRPr="00A77020">
        <w:t xml:space="preserve">dezechilibrelor pozitive ale PRE </w:t>
      </w:r>
      <w:r w:rsidRPr="00A77020">
        <w:t>cu prețul de excedent inițial.</w:t>
      </w:r>
    </w:p>
    <w:p w14:paraId="56616F99" w14:textId="2F222F99" w:rsidR="00A77020" w:rsidRDefault="00A77020" w:rsidP="0002226E">
      <w:pPr>
        <w:tabs>
          <w:tab w:val="left" w:pos="450"/>
        </w:tabs>
        <w:spacing w:line="360" w:lineRule="auto"/>
        <w:jc w:val="both"/>
        <w:rPr>
          <w:lang w:val="pl-PL"/>
        </w:rPr>
      </w:pPr>
      <w:r>
        <w:tab/>
        <w:t xml:space="preserve">c) </w:t>
      </w:r>
      <w:r w:rsidRPr="0002226E">
        <w:rPr>
          <w:lang w:val="pl-PL"/>
        </w:rPr>
        <w:t xml:space="preserve">Dacă </w:t>
      </w:r>
      <m:oMath>
        <m:d>
          <m:dPr>
            <m:ctrlPr>
              <w:rPr>
                <w:rFonts w:ascii="Cambria Math" w:hAnsi="Cambria Math"/>
                <w:i/>
                <w:lang w:val="pl-PL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OP</m:t>
                </m:r>
              </m:e>
              <m:sub>
                <m:r>
                  <w:rPr>
                    <w:rFonts w:ascii="Cambria Math" w:hAnsi="Cambria Math"/>
                  </w:rPr>
                  <m:t>PRE,i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DI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PRE,i</m:t>
                </m:r>
              </m:sub>
            </m:sSub>
            <m:ctrlPr>
              <w:rPr>
                <w:rFonts w:ascii="Cambria Math" w:hAnsi="Cambria Math"/>
                <w:bCs/>
                <w:i/>
              </w:rPr>
            </m:ctrlPr>
          </m:e>
        </m:d>
        <m:r>
          <w:rPr>
            <w:rFonts w:ascii="Cambria Math" w:hAnsi="Cambria Math"/>
            <w:lang w:val="pl-PL"/>
          </w:rPr>
          <m:t>&gt;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CE</m:t>
            </m:r>
          </m:e>
          <m:sub>
            <m:r>
              <w:rPr>
                <w:rFonts w:ascii="Cambria Math" w:hAnsi="Cambria Math"/>
              </w:rPr>
              <m:t>EchSist,i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02226E">
        <w:rPr>
          <w:bCs/>
        </w:rPr>
        <w:t xml:space="preserve"> </w:t>
      </w:r>
      <w:r w:rsidRPr="0002226E">
        <w:rPr>
          <w:lang w:val="pl-PL"/>
        </w:rPr>
        <w:t>atunci:</w:t>
      </w:r>
    </w:p>
    <w:p w14:paraId="1981FFB5" w14:textId="7F44B4F6" w:rsidR="0002226E" w:rsidRDefault="0002226E" w:rsidP="0002226E">
      <w:pPr>
        <w:tabs>
          <w:tab w:val="left" w:pos="990"/>
        </w:tabs>
        <w:spacing w:line="360" w:lineRule="auto"/>
        <w:ind w:left="900"/>
        <w:jc w:val="both"/>
        <w:rPr>
          <w:lang w:val="pl-PL"/>
        </w:rPr>
      </w:pPr>
      <w:r w:rsidRPr="0002226E">
        <w:rPr>
          <w:b/>
          <w:bCs/>
          <w:lang w:val="pl-PL"/>
        </w:rPr>
        <w:t>(i)</w:t>
      </w:r>
      <w:r w:rsidRPr="0002226E">
        <w:rPr>
          <w:lang w:val="pl-PL"/>
        </w:rPr>
        <w:t xml:space="preserve"> Dacă într-un ID SEN se află în deficit, se calculează componenta de neutralitate financiară a OTS cu următoarea formulă: </w:t>
      </w:r>
    </w:p>
    <w:p w14:paraId="570ACA7E" w14:textId="64784781" w:rsidR="002D67DE" w:rsidRPr="0002226E" w:rsidRDefault="004614A2" w:rsidP="0002226E">
      <w:pPr>
        <w:tabs>
          <w:tab w:val="left" w:pos="990"/>
        </w:tabs>
        <w:spacing w:line="360" w:lineRule="auto"/>
        <w:ind w:left="900"/>
        <w:jc w:val="both"/>
        <w:rPr>
          <w:lang w:val="pl-PL"/>
        </w:rPr>
      </w:pPr>
      <m:oMathPara>
        <m:oMath>
          <m:sSubSup>
            <m:sSubSupPr>
              <m:ctrlPr>
                <w:rPr>
                  <w:rFonts w:ascii="Cambria Math" w:hAnsi="Cambria Math"/>
                  <w:bCs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</w:rPr>
                <m:t>1</m:t>
              </m:r>
            </m:e>
            <m:sub>
              <m:r>
                <w:rPr>
                  <w:rFonts w:ascii="Cambria Math" w:hAnsi="Cambria Math"/>
                </w:rPr>
                <m:t>neutr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fin</m:t>
              </m:r>
            </m:sup>
          </m:sSubSup>
          <m:r>
            <w:rPr>
              <w:rFonts w:ascii="Cambria Math" w:hAnsi="Cambria Math"/>
              <w:vertAlign w:val="subscript"/>
            </w:rPr>
            <m:t xml:space="preserve"> 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PRE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vertAlign w:val="subscript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vertAlign w:val="subscript"/>
                        </w:rPr>
                        <m:t>DI</m:t>
                      </m:r>
                    </m:e>
                    <m:sub>
                      <m:r>
                        <w:rPr>
                          <w:rFonts w:ascii="Cambria Math" w:hAnsi="Cambria Math"/>
                          <w:vertAlign w:val="subscript"/>
                        </w:rPr>
                        <m:t>PRE</m:t>
                      </m:r>
                      <m:r>
                        <w:rPr>
                          <w:rFonts w:ascii="Cambria Math" w:hAnsi="Cambria Math"/>
                          <w:vertAlign w:val="subscript"/>
                        </w:rPr>
                        <m:t>,</m:t>
                      </m:r>
                      <m:r>
                        <w:rPr>
                          <w:rFonts w:ascii="Cambria Math" w:hAnsi="Cambria Math"/>
                          <w:vertAlign w:val="subscript"/>
                        </w:rPr>
                        <m:t>i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CE</m:t>
                  </m:r>
                </m:e>
                <m:sub>
                  <m:r>
                    <w:rPr>
                      <w:rFonts w:ascii="Cambria Math" w:hAnsi="Cambria Math"/>
                    </w:rPr>
                    <m:t>Ec</m:t>
                  </m:r>
                  <m:r>
                    <w:rPr>
                      <w:rFonts w:ascii="Cambria Math" w:hAnsi="Cambria Math"/>
                    </w:rPr>
                    <m:t>h</m:t>
                  </m:r>
                  <m:r>
                    <w:rPr>
                      <w:rFonts w:ascii="Cambria Math" w:hAnsi="Cambria Math"/>
                    </w:rPr>
                    <m:t>Sist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vertAlign w:val="subscript"/>
                </w:rPr>
                <m:t xml:space="preserve"> </m:t>
              </m:r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Cs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DezPRE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poz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14:paraId="41C41677" w14:textId="77777777" w:rsidR="0002226E" w:rsidRPr="0002226E" w:rsidRDefault="0002226E" w:rsidP="00A77020">
      <w:pPr>
        <w:tabs>
          <w:tab w:val="left" w:pos="720"/>
        </w:tabs>
        <w:spacing w:line="360" w:lineRule="auto"/>
        <w:jc w:val="both"/>
        <w:rPr>
          <w:lang w:val="pl-PL"/>
        </w:rPr>
      </w:pPr>
    </w:p>
    <w:p w14:paraId="5EE4842F" w14:textId="625583C9" w:rsidR="002D67DE" w:rsidRDefault="002D67DE" w:rsidP="00A77020">
      <w:pPr>
        <w:tabs>
          <w:tab w:val="left" w:pos="720"/>
        </w:tabs>
        <w:spacing w:line="360" w:lineRule="auto"/>
        <w:jc w:val="both"/>
        <w:rPr>
          <w:lang w:val="pl-PL"/>
        </w:rPr>
      </w:pPr>
      <w:r>
        <w:rPr>
          <w:lang w:val="pl-PL"/>
        </w:rPr>
        <w:tab/>
      </w:r>
      <w:r w:rsidRPr="002D67DE">
        <w:rPr>
          <w:lang w:val="pl-PL"/>
        </w:rPr>
        <w:t>unde:</w:t>
      </w:r>
    </w:p>
    <w:p w14:paraId="70367F6F" w14:textId="0CB91693" w:rsidR="002D67DE" w:rsidRPr="002D67DE" w:rsidRDefault="002D67DE" w:rsidP="002D67DE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</w:pPr>
      <w:r w:rsidRPr="002D67DE">
        <w:t> 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OP</m:t>
            </m:r>
          </m:e>
          <m:sub>
            <m:r>
              <w:rPr>
                <w:rFonts w:ascii="Cambria Math" w:hAnsi="Cambria Math"/>
              </w:rPr>
              <m:t>PRE,i</m:t>
            </m:r>
          </m:sub>
        </m:sSub>
      </m:oMath>
      <w:r w:rsidRPr="002D67DE">
        <w:rPr>
          <w:bCs/>
        </w:rPr>
        <w:t xml:space="preserve"> </w:t>
      </w:r>
      <w:r w:rsidRPr="002D67DE">
        <w:t>reprezintă obligațiile de plată ale PRE în IDi;</w:t>
      </w:r>
    </w:p>
    <w:p w14:paraId="1636E843" w14:textId="77777777" w:rsidR="002D67DE" w:rsidRDefault="004614A2" w:rsidP="002D67DE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</w:pPr>
      <m:oMath>
        <m:sSub>
          <m:sSubPr>
            <m:ctrlPr>
              <w:rPr>
                <w:rFonts w:ascii="Cambria Math" w:hAnsi="Cambria Math"/>
                <w:bCs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DI</m:t>
            </m:r>
          </m:e>
          <m:sub>
            <m:r>
              <w:rPr>
                <w:rFonts w:ascii="Cambria Math" w:hAnsi="Cambria Math"/>
                <w:vertAlign w:val="subscript"/>
              </w:rPr>
              <m:t>PRE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i</m:t>
            </m:r>
          </m:sub>
        </m:sSub>
      </m:oMath>
      <w:r w:rsidR="002D67DE" w:rsidRPr="002D67DE">
        <w:t xml:space="preserve"> reprezintă drepturile de încasare ale PRE</w:t>
      </w:r>
      <w:r w:rsidR="002D67DE">
        <w:t xml:space="preserve"> </w:t>
      </w:r>
      <w:r w:rsidR="002D67DE" w:rsidRPr="002D67DE">
        <w:t>în IDi;</w:t>
      </w:r>
    </w:p>
    <w:p w14:paraId="27AFE845" w14:textId="77777777" w:rsidR="002D67DE" w:rsidRDefault="002D67DE" w:rsidP="002D67DE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</w:pPr>
      <w:r w:rsidRPr="002D67DE">
        <w:t> 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CE</m:t>
            </m:r>
          </m:e>
          <m:sub>
            <m:r>
              <w:rPr>
                <w:rFonts w:ascii="Cambria Math" w:hAnsi="Cambria Math"/>
              </w:rPr>
              <m:t>EchSist,i</m:t>
            </m:r>
          </m:sub>
        </m:sSub>
      </m:oMath>
      <w:r w:rsidRPr="002D67DE">
        <w:t xml:space="preserve"> reprezintă costurile efective pentru echilibrarea SEN în IDi, calculate conform prevederilor art. 184;</w:t>
      </w:r>
    </w:p>
    <w:p w14:paraId="285222A5" w14:textId="77777777" w:rsidR="002D67DE" w:rsidRDefault="004614A2" w:rsidP="002D67DE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bCs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DezPRE</m:t>
                </m:r>
              </m:e>
              <m:sub>
                <m:r>
                  <w:rPr>
                    <w:rFonts w:ascii="Cambria Math" w:hAnsi="Cambria Math"/>
                  </w:rPr>
                  <m:t>poz</m:t>
                </m:r>
                <m: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 w:rsidR="002D67DE">
        <w:rPr>
          <w:bCs/>
        </w:rPr>
        <w:t xml:space="preserve"> </w:t>
      </w:r>
      <w:r w:rsidR="002D67DE" w:rsidRPr="002D67DE">
        <w:t>reprezintă suma dezechilibrelor pozitive ale tuturor PRE.</w:t>
      </w:r>
      <w:r w:rsidR="002D67DE">
        <w:t xml:space="preserve"> </w:t>
      </w:r>
    </w:p>
    <w:p w14:paraId="32F9E666" w14:textId="17747C06" w:rsidR="00A77020" w:rsidRDefault="002D67DE" w:rsidP="002D67DE">
      <w:pPr>
        <w:tabs>
          <w:tab w:val="left" w:pos="720"/>
        </w:tabs>
        <w:spacing w:line="360" w:lineRule="auto"/>
        <w:jc w:val="both"/>
      </w:pPr>
      <w:r>
        <w:tab/>
      </w:r>
      <w:r w:rsidRPr="002D67DE">
        <w:t>Pre</w:t>
      </w:r>
      <w:r>
        <w:t>ț</w:t>
      </w:r>
      <w:r w:rsidRPr="002D67DE">
        <w:t>urile finale de deficit și excedent se calculează cu următoarele formule:</w:t>
      </w:r>
    </w:p>
    <w:p w14:paraId="626368FA" w14:textId="5B5B9D10" w:rsidR="002D67DE" w:rsidRPr="002D67DE" w:rsidRDefault="004614A2" w:rsidP="002D67DE">
      <w:pPr>
        <w:tabs>
          <w:tab w:val="left" w:pos="720"/>
        </w:tabs>
        <w:spacing w:line="360" w:lineRule="auto"/>
        <w:jc w:val="both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fin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def</m:t>
              </m:r>
            </m:sup>
          </m:sSubSup>
          <m:r>
            <w:rPr>
              <w:rFonts w:ascii="Cambria Math" w:hAnsi="Cambria Math"/>
              <w:vertAlign w:val="subscript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med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Cres</m:t>
              </m:r>
            </m:sup>
          </m:sSubSup>
        </m:oMath>
      </m:oMathPara>
    </w:p>
    <w:p w14:paraId="6AC529A2" w14:textId="28DB0E02" w:rsidR="002D67DE" w:rsidRPr="002D67DE" w:rsidRDefault="004614A2" w:rsidP="002D67DE">
      <w:pPr>
        <w:tabs>
          <w:tab w:val="left" w:pos="720"/>
        </w:tabs>
        <w:spacing w:line="360" w:lineRule="auto"/>
        <w:jc w:val="both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fin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exc</m:t>
              </m:r>
            </m:sup>
          </m:sSubSup>
          <m:r>
            <w:rPr>
              <w:rFonts w:ascii="Cambria Math" w:hAnsi="Cambria Math"/>
              <w:vertAlign w:val="subscript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med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Red</m:t>
              </m:r>
            </m:sup>
          </m:sSubSup>
          <m:r>
            <w:rPr>
              <w:rFonts w:ascii="Cambria Math" w:hAnsi="Cambria Math"/>
            </w:rPr>
            <m:t xml:space="preserve">+ </m:t>
          </m:r>
          <m:sSubSup>
            <m:sSubSupPr>
              <m:ctrlPr>
                <w:rPr>
                  <w:rFonts w:ascii="Cambria Math" w:hAnsi="Cambria Math"/>
                  <w:bCs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</w:rPr>
                <m:t>1</m:t>
              </m:r>
            </m:e>
            <m:sub>
              <m:r>
                <w:rPr>
                  <w:rFonts w:ascii="Cambria Math" w:hAnsi="Cambria Math"/>
                </w:rPr>
                <m:t>neutr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fin</m:t>
              </m:r>
            </m:sup>
          </m:sSubSup>
        </m:oMath>
      </m:oMathPara>
    </w:p>
    <w:p w14:paraId="7EB549B5" w14:textId="125773F6" w:rsidR="002D67DE" w:rsidRPr="002D67DE" w:rsidRDefault="002D67DE" w:rsidP="002D67DE">
      <w:pPr>
        <w:tabs>
          <w:tab w:val="left" w:pos="990"/>
        </w:tabs>
        <w:spacing w:line="360" w:lineRule="auto"/>
        <w:ind w:left="900"/>
        <w:jc w:val="both"/>
      </w:pPr>
      <w:r w:rsidRPr="0002226E">
        <w:rPr>
          <w:b/>
          <w:bCs/>
        </w:rPr>
        <w:t>(i</w:t>
      </w:r>
      <w:r>
        <w:rPr>
          <w:b/>
          <w:bCs/>
        </w:rPr>
        <w:t>i</w:t>
      </w:r>
      <w:r w:rsidRPr="0002226E">
        <w:rPr>
          <w:b/>
          <w:bCs/>
        </w:rPr>
        <w:t>)</w:t>
      </w:r>
      <w:r w:rsidRPr="0002226E">
        <w:t xml:space="preserve"> Dacă într-un ID SEN se află în </w:t>
      </w:r>
      <w:r>
        <w:t>excedent</w:t>
      </w:r>
      <w:r w:rsidRPr="0002226E">
        <w:t xml:space="preserve">, se calculează componenta de neutralitate financiară a OTS cu următoarea formulă: </w:t>
      </w:r>
    </w:p>
    <w:p w14:paraId="3D7A7544" w14:textId="61FF7CC7" w:rsidR="00A77020" w:rsidRPr="002D67DE" w:rsidRDefault="004614A2" w:rsidP="00A77020">
      <w:pPr>
        <w:tabs>
          <w:tab w:val="left" w:pos="720"/>
        </w:tabs>
        <w:spacing w:line="360" w:lineRule="auto"/>
        <w:jc w:val="both"/>
      </w:pPr>
      <m:oMathPara>
        <m:oMath>
          <m:sSubSup>
            <m:sSubSupPr>
              <m:ctrlPr>
                <w:rPr>
                  <w:rFonts w:ascii="Cambria Math" w:hAnsi="Cambria Math"/>
                  <w:bCs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</w:rPr>
                <m:t>2</m:t>
              </m:r>
            </m:e>
            <m:sub>
              <m:r>
                <w:rPr>
                  <w:rFonts w:ascii="Cambria Math" w:hAnsi="Cambria Math"/>
                </w:rPr>
                <m:t>neutr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fin</m:t>
              </m:r>
            </m:sup>
          </m:sSubSup>
          <m:r>
            <w:rPr>
              <w:rFonts w:ascii="Cambria Math" w:hAnsi="Cambria Math"/>
              <w:vertAlign w:val="subscript"/>
            </w:rPr>
            <m:t xml:space="preserve"> 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PRE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vertAlign w:val="subscript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vertAlign w:val="subscript"/>
                        </w:rPr>
                        <m:t>DI</m:t>
                      </m:r>
                    </m:e>
                    <m:sub>
                      <m:r>
                        <w:rPr>
                          <w:rFonts w:ascii="Cambria Math" w:hAnsi="Cambria Math"/>
                          <w:vertAlign w:val="subscript"/>
                        </w:rPr>
                        <m:t>PRE</m:t>
                      </m:r>
                      <m:r>
                        <w:rPr>
                          <w:rFonts w:ascii="Cambria Math" w:hAnsi="Cambria Math"/>
                          <w:vertAlign w:val="subscript"/>
                        </w:rPr>
                        <m:t>,</m:t>
                      </m:r>
                      <m:r>
                        <w:rPr>
                          <w:rFonts w:ascii="Cambria Math" w:hAnsi="Cambria Math"/>
                          <w:vertAlign w:val="subscript"/>
                        </w:rPr>
                        <m:t>i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CE</m:t>
                  </m:r>
                </m:e>
                <m:sub>
                  <m:r>
                    <w:rPr>
                      <w:rFonts w:ascii="Cambria Math" w:hAnsi="Cambria Math"/>
                    </w:rPr>
                    <m:t>Ec</m:t>
                  </m:r>
                  <m:r>
                    <w:rPr>
                      <w:rFonts w:ascii="Cambria Math" w:hAnsi="Cambria Math"/>
                    </w:rPr>
                    <m:t>h</m:t>
                  </m:r>
                  <m:r>
                    <w:rPr>
                      <w:rFonts w:ascii="Cambria Math" w:hAnsi="Cambria Math"/>
                    </w:rPr>
                    <m:t>Sist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vertAlign w:val="subscript"/>
                </w:rPr>
                <m:t xml:space="preserve"> </m:t>
              </m:r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Cs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DezPRE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neg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14:paraId="436247DE" w14:textId="77777777" w:rsidR="002D67DE" w:rsidRDefault="002D67DE" w:rsidP="002D67DE">
      <w:pPr>
        <w:tabs>
          <w:tab w:val="left" w:pos="720"/>
        </w:tabs>
        <w:spacing w:line="360" w:lineRule="auto"/>
        <w:jc w:val="both"/>
        <w:rPr>
          <w:lang w:val="pl-PL"/>
        </w:rPr>
      </w:pPr>
      <w:r>
        <w:rPr>
          <w:lang w:val="pl-PL"/>
        </w:rPr>
        <w:tab/>
      </w:r>
      <w:r w:rsidRPr="002D67DE">
        <w:rPr>
          <w:lang w:val="pl-PL"/>
        </w:rPr>
        <w:t>unde:</w:t>
      </w:r>
    </w:p>
    <w:p w14:paraId="2C6BD6AF" w14:textId="77777777" w:rsidR="002D67DE" w:rsidRPr="002D67DE" w:rsidRDefault="002D67DE" w:rsidP="002D67DE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</w:pPr>
      <w:r w:rsidRPr="002D67DE">
        <w:t> 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OP</m:t>
            </m:r>
          </m:e>
          <m:sub>
            <m:r>
              <w:rPr>
                <w:rFonts w:ascii="Cambria Math" w:hAnsi="Cambria Math"/>
              </w:rPr>
              <m:t>PRE,i</m:t>
            </m:r>
          </m:sub>
        </m:sSub>
      </m:oMath>
      <w:r w:rsidRPr="002D67DE">
        <w:rPr>
          <w:bCs/>
        </w:rPr>
        <w:t xml:space="preserve"> </w:t>
      </w:r>
      <w:r w:rsidRPr="002D67DE">
        <w:t>reprezintă obligațiile de plată ale PRE în IDi;</w:t>
      </w:r>
    </w:p>
    <w:p w14:paraId="4017B28B" w14:textId="77777777" w:rsidR="002D67DE" w:rsidRDefault="004614A2" w:rsidP="002D67DE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</w:pPr>
      <m:oMath>
        <m:sSub>
          <m:sSubPr>
            <m:ctrlPr>
              <w:rPr>
                <w:rFonts w:ascii="Cambria Math" w:hAnsi="Cambria Math"/>
                <w:bCs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DI</m:t>
            </m:r>
          </m:e>
          <m:sub>
            <m:r>
              <w:rPr>
                <w:rFonts w:ascii="Cambria Math" w:hAnsi="Cambria Math"/>
                <w:vertAlign w:val="subscript"/>
              </w:rPr>
              <m:t>P</m:t>
            </m:r>
            <m:r>
              <w:rPr>
                <w:rFonts w:ascii="Cambria Math" w:hAnsi="Cambria Math"/>
                <w:vertAlign w:val="subscript"/>
              </w:rPr>
              <m:t>RE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i</m:t>
            </m:r>
          </m:sub>
        </m:sSub>
      </m:oMath>
      <w:r w:rsidR="002D67DE" w:rsidRPr="002D67DE">
        <w:t xml:space="preserve"> reprezintă drepturile de încasare ale PRE</w:t>
      </w:r>
      <w:r w:rsidR="002D67DE">
        <w:t xml:space="preserve"> </w:t>
      </w:r>
      <w:r w:rsidR="002D67DE" w:rsidRPr="002D67DE">
        <w:t>în IDi;</w:t>
      </w:r>
    </w:p>
    <w:p w14:paraId="68295676" w14:textId="77777777" w:rsidR="002D67DE" w:rsidRDefault="002D67DE" w:rsidP="002D67DE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</w:pPr>
      <w:r w:rsidRPr="002D67DE">
        <w:t> 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CE</m:t>
            </m:r>
          </m:e>
          <m:sub>
            <m:r>
              <w:rPr>
                <w:rFonts w:ascii="Cambria Math" w:hAnsi="Cambria Math"/>
              </w:rPr>
              <m:t>EchSist,i</m:t>
            </m:r>
          </m:sub>
        </m:sSub>
      </m:oMath>
      <w:r w:rsidRPr="002D67DE">
        <w:t xml:space="preserve"> reprezintă costurile efective pentru echilibrarea SEN în IDi, calculate conform prevederilor art. 184;</w:t>
      </w:r>
    </w:p>
    <w:p w14:paraId="14E6D026" w14:textId="77DD8E85" w:rsidR="002D67DE" w:rsidRDefault="004614A2" w:rsidP="002D67DE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bCs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DezPRE</m:t>
                </m:r>
              </m:e>
              <m:sub>
                <m:r>
                  <w:rPr>
                    <w:rFonts w:ascii="Cambria Math" w:hAnsi="Cambria Math"/>
                  </w:rPr>
                  <m:t>neg</m:t>
                </m:r>
                <m: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 w:rsidR="002D67DE">
        <w:rPr>
          <w:bCs/>
        </w:rPr>
        <w:t xml:space="preserve"> </w:t>
      </w:r>
      <w:r w:rsidR="002D67DE" w:rsidRPr="002D67DE">
        <w:t xml:space="preserve">reprezintă suma dezechilibrelor </w:t>
      </w:r>
      <w:r w:rsidR="002D67DE">
        <w:t>negative</w:t>
      </w:r>
      <w:r w:rsidR="002D67DE" w:rsidRPr="002D67DE">
        <w:t xml:space="preserve"> ale tuturor PRE.</w:t>
      </w:r>
      <w:r w:rsidR="002D67DE">
        <w:t xml:space="preserve"> </w:t>
      </w:r>
    </w:p>
    <w:p w14:paraId="75CC0F21" w14:textId="77777777" w:rsidR="002D67DE" w:rsidRDefault="002D67DE" w:rsidP="002D67DE">
      <w:pPr>
        <w:tabs>
          <w:tab w:val="left" w:pos="720"/>
        </w:tabs>
        <w:spacing w:line="360" w:lineRule="auto"/>
        <w:jc w:val="both"/>
      </w:pPr>
      <w:r>
        <w:tab/>
      </w:r>
      <w:r w:rsidRPr="002D67DE">
        <w:t>Pre</w:t>
      </w:r>
      <w:r>
        <w:t>ț</w:t>
      </w:r>
      <w:r w:rsidRPr="002D67DE">
        <w:t>urile finale de deficit și excedent se calculează cu următoarele formule:</w:t>
      </w:r>
    </w:p>
    <w:p w14:paraId="45B45FE5" w14:textId="4BFC6B51" w:rsidR="00A77020" w:rsidRDefault="004614A2" w:rsidP="00A77020">
      <w:pPr>
        <w:tabs>
          <w:tab w:val="left" w:pos="720"/>
        </w:tabs>
        <w:spacing w:line="360" w:lineRule="auto"/>
        <w:jc w:val="both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fin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def</m:t>
              </m:r>
            </m:sup>
          </m:sSubSup>
          <m:r>
            <w:rPr>
              <w:rFonts w:ascii="Cambria Math" w:hAnsi="Cambria Math"/>
              <w:vertAlign w:val="subscript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med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Cres</m:t>
              </m:r>
            </m:sup>
          </m:sSubSup>
          <m:r>
            <w:rPr>
              <w:rFonts w:ascii="Cambria Math" w:hAnsi="Cambria Math"/>
            </w:rPr>
            <m:t xml:space="preserve">- </m:t>
          </m:r>
          <m:sSubSup>
            <m:sSubSupPr>
              <m:ctrlPr>
                <w:rPr>
                  <w:rFonts w:ascii="Cambria Math" w:hAnsi="Cambria Math"/>
                  <w:bCs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</w:rPr>
                <m:t>2</m:t>
              </m:r>
            </m:e>
            <m:sub>
              <m:r>
                <w:rPr>
                  <w:rFonts w:ascii="Cambria Math" w:hAnsi="Cambria Math"/>
                </w:rPr>
                <m:t>neutr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fin</m:t>
              </m:r>
            </m:sup>
          </m:sSubSup>
          <m:r>
            <w:rPr>
              <w:rFonts w:ascii="Cambria Math" w:hAnsi="Cambria Math"/>
            </w:rPr>
            <m:t>|</m:t>
          </m:r>
        </m:oMath>
      </m:oMathPara>
    </w:p>
    <w:p w14:paraId="4273C4A6" w14:textId="38CF76C8" w:rsidR="00A77020" w:rsidRDefault="004614A2" w:rsidP="00A77020">
      <w:pPr>
        <w:tabs>
          <w:tab w:val="left" w:pos="720"/>
        </w:tabs>
        <w:spacing w:line="360" w:lineRule="auto"/>
        <w:jc w:val="both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fin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exc</m:t>
              </m:r>
            </m:sup>
          </m:sSubSup>
          <m:r>
            <w:rPr>
              <w:rFonts w:ascii="Cambria Math" w:hAnsi="Cambria Math"/>
              <w:vertAlign w:val="subscript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med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Red</m:t>
              </m:r>
            </m:sup>
          </m:sSubSup>
        </m:oMath>
      </m:oMathPara>
    </w:p>
    <w:p w14:paraId="720A3277" w14:textId="6414F780" w:rsidR="00A77020" w:rsidRPr="00E545C1" w:rsidRDefault="00E545C1" w:rsidP="00E545C1">
      <w:pPr>
        <w:tabs>
          <w:tab w:val="left" w:pos="450"/>
        </w:tabs>
        <w:spacing w:line="360" w:lineRule="auto"/>
        <w:jc w:val="both"/>
      </w:pPr>
      <w:r w:rsidRPr="00E545C1">
        <w:tab/>
        <w:t xml:space="preserve">d) Dacă </w:t>
      </w:r>
      <m:oMath>
        <m:d>
          <m:dPr>
            <m:ctrlPr>
              <w:rPr>
                <w:rFonts w:ascii="Cambria Math" w:hAnsi="Cambria Math"/>
                <w:i/>
                <w:lang w:val="pl-PL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OP</m:t>
                </m:r>
              </m:e>
              <m:sub>
                <m:r>
                  <w:rPr>
                    <w:rFonts w:ascii="Cambria Math" w:hAnsi="Cambria Math"/>
                  </w:rPr>
                  <m:t>PRE,i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DI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PRE,i</m:t>
                </m:r>
              </m:sub>
            </m:sSub>
            <m:ctrlPr>
              <w:rPr>
                <w:rFonts w:ascii="Cambria Math" w:hAnsi="Cambria Math"/>
                <w:bCs/>
                <w:i/>
              </w:rPr>
            </m:ctrlPr>
          </m:e>
        </m:d>
        <m:r>
          <w:rPr>
            <w:rFonts w:ascii="Cambria Math" w:hAnsi="Cambria Math"/>
            <w:lang w:val="en-US"/>
          </w:rPr>
          <m:t>&lt;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CE</m:t>
            </m:r>
          </m:e>
          <m:sub>
            <m:r>
              <w:rPr>
                <w:rFonts w:ascii="Cambria Math" w:hAnsi="Cambria Math"/>
              </w:rPr>
              <m:t>EchSist,i</m:t>
            </m:r>
          </m:sub>
        </m:sSub>
      </m:oMath>
      <w:r>
        <w:rPr>
          <w:bCs/>
        </w:rPr>
        <w:t xml:space="preserve"> </w:t>
      </w:r>
      <w:r w:rsidRPr="00E545C1">
        <w:t>atunci se calculează componenta de neutralitate financiară a OTS cu următoarea formulă:</w:t>
      </w:r>
    </w:p>
    <w:p w14:paraId="64B53B48" w14:textId="3D9654F5" w:rsidR="00A77020" w:rsidRDefault="004614A2" w:rsidP="00A77020">
      <w:pPr>
        <w:tabs>
          <w:tab w:val="left" w:pos="720"/>
        </w:tabs>
        <w:spacing w:line="360" w:lineRule="auto"/>
        <w:jc w:val="both"/>
      </w:pPr>
      <m:oMathPara>
        <m:oMath>
          <m:sSubSup>
            <m:sSubSupPr>
              <m:ctrlPr>
                <w:rPr>
                  <w:rFonts w:ascii="Cambria Math" w:hAnsi="Cambria Math"/>
                  <w:bCs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</w:rPr>
                <m:t>3</m:t>
              </m:r>
            </m:e>
            <m:sub>
              <m:r>
                <w:rPr>
                  <w:rFonts w:ascii="Cambria Math" w:hAnsi="Cambria Math"/>
                </w:rPr>
                <m:t>neutr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fin</m:t>
              </m:r>
            </m:sup>
          </m:sSubSup>
          <m:r>
            <w:rPr>
              <w:rFonts w:ascii="Cambria Math" w:hAnsi="Cambria Math"/>
              <w:vertAlign w:val="subscript"/>
            </w:rPr>
            <m:t xml:space="preserve"> 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OP</m:t>
                  </m:r>
                </m:e>
                <m:sub>
                  <m:r>
                    <w:rPr>
                      <w:rFonts w:ascii="Cambria Math" w:hAnsi="Cambria Math"/>
                    </w:rPr>
                    <m:t>PRE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vertAlign w:val="subscript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bscript"/>
                    </w:rPr>
                    <m:t>DI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PRE</m:t>
                  </m:r>
                  <m:r>
                    <w:rPr>
                      <w:rFonts w:ascii="Cambria Math" w:hAnsi="Cambria Math"/>
                      <w:vertAlign w:val="subscript"/>
                    </w:rPr>
                    <m:t>,</m:t>
                  </m:r>
                  <m:r>
                    <w:rPr>
                      <w:rFonts w:ascii="Cambria Math" w:hAnsi="Cambria Math"/>
                      <w:vertAlign w:val="subscript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vertAlign w:val="subscript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CE</m:t>
                  </m:r>
                </m:e>
                <m:sub>
                  <m:r>
                    <w:rPr>
                      <w:rFonts w:ascii="Cambria Math" w:hAnsi="Cambria Math"/>
                    </w:rPr>
                    <m:t>Ec</m:t>
                  </m:r>
                  <m:r>
                    <w:rPr>
                      <w:rFonts w:ascii="Cambria Math" w:hAnsi="Cambria Math"/>
                    </w:rPr>
                    <m:t>h</m:t>
                  </m:r>
                  <m:r>
                    <w:rPr>
                      <w:rFonts w:ascii="Cambria Math" w:hAnsi="Cambria Math"/>
                    </w:rPr>
                    <m:t>Sist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vertAlign w:val="subscript"/>
                </w:rPr>
                <m:t xml:space="preserve"> </m:t>
              </m:r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Cs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DezPRE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poz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/>
                </w:rPr>
                <m:t>+|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Cs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DezPRE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neg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|</m:t>
                  </m:r>
                </m:e>
              </m:nary>
            </m:den>
          </m:f>
        </m:oMath>
      </m:oMathPara>
    </w:p>
    <w:p w14:paraId="45435058" w14:textId="77777777" w:rsidR="00E545C1" w:rsidRDefault="00E545C1" w:rsidP="00E545C1">
      <w:pPr>
        <w:tabs>
          <w:tab w:val="left" w:pos="720"/>
        </w:tabs>
        <w:spacing w:line="360" w:lineRule="auto"/>
        <w:jc w:val="both"/>
        <w:rPr>
          <w:lang w:val="pl-PL"/>
        </w:rPr>
      </w:pPr>
      <w:r>
        <w:rPr>
          <w:lang w:val="pl-PL"/>
        </w:rPr>
        <w:tab/>
      </w:r>
      <w:r w:rsidRPr="002D67DE">
        <w:rPr>
          <w:lang w:val="pl-PL"/>
        </w:rPr>
        <w:t>unde:</w:t>
      </w:r>
    </w:p>
    <w:p w14:paraId="426E0C05" w14:textId="77777777" w:rsidR="00E545C1" w:rsidRPr="002D67DE" w:rsidRDefault="00E545C1" w:rsidP="00E545C1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</w:pPr>
      <w:r w:rsidRPr="002D67DE">
        <w:t> 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OP</m:t>
            </m:r>
          </m:e>
          <m:sub>
            <m:r>
              <w:rPr>
                <w:rFonts w:ascii="Cambria Math" w:hAnsi="Cambria Math"/>
              </w:rPr>
              <m:t>PRE,i</m:t>
            </m:r>
          </m:sub>
        </m:sSub>
      </m:oMath>
      <w:r w:rsidRPr="002D67DE">
        <w:rPr>
          <w:bCs/>
        </w:rPr>
        <w:t xml:space="preserve"> </w:t>
      </w:r>
      <w:r w:rsidRPr="002D67DE">
        <w:t>reprezintă obligațiile de plată ale PRE în IDi;</w:t>
      </w:r>
    </w:p>
    <w:p w14:paraId="12D003AC" w14:textId="77777777" w:rsidR="00E545C1" w:rsidRDefault="004614A2" w:rsidP="00E545C1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</w:pPr>
      <m:oMath>
        <m:sSub>
          <m:sSubPr>
            <m:ctrlPr>
              <w:rPr>
                <w:rFonts w:ascii="Cambria Math" w:hAnsi="Cambria Math"/>
                <w:bCs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DI</m:t>
            </m:r>
          </m:e>
          <m:sub>
            <m:r>
              <w:rPr>
                <w:rFonts w:ascii="Cambria Math" w:hAnsi="Cambria Math"/>
                <w:vertAlign w:val="subscript"/>
              </w:rPr>
              <m:t>PRE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i</m:t>
            </m:r>
          </m:sub>
        </m:sSub>
      </m:oMath>
      <w:r w:rsidR="00E545C1" w:rsidRPr="002D67DE">
        <w:t xml:space="preserve"> reprezintă drepturile de încasare ale PRE</w:t>
      </w:r>
      <w:r w:rsidR="00E545C1">
        <w:t xml:space="preserve"> </w:t>
      </w:r>
      <w:r w:rsidR="00E545C1" w:rsidRPr="002D67DE">
        <w:t>în IDi;</w:t>
      </w:r>
    </w:p>
    <w:p w14:paraId="51298785" w14:textId="77777777" w:rsidR="00E545C1" w:rsidRDefault="00E545C1" w:rsidP="00E545C1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</w:pPr>
      <w:r w:rsidRPr="002D67DE">
        <w:t> 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CE</m:t>
            </m:r>
          </m:e>
          <m:sub>
            <m:r>
              <w:rPr>
                <w:rFonts w:ascii="Cambria Math" w:hAnsi="Cambria Math"/>
              </w:rPr>
              <m:t>EchSist,i</m:t>
            </m:r>
          </m:sub>
        </m:sSub>
      </m:oMath>
      <w:r w:rsidRPr="002D67DE">
        <w:t xml:space="preserve"> reprezintă costurile efective pentru echilibrarea SEN în IDi, calculate conform prevederilor art. 184;</w:t>
      </w:r>
    </w:p>
    <w:p w14:paraId="4140CF56" w14:textId="0E034B00" w:rsidR="00E545C1" w:rsidRDefault="004614A2" w:rsidP="00E545C1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bCs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DezPRE</m:t>
                </m:r>
              </m:e>
              <m:sub>
                <m:r>
                  <w:rPr>
                    <w:rFonts w:ascii="Cambria Math" w:hAnsi="Cambria Math"/>
                  </w:rPr>
                  <m:t>poz</m:t>
                </m:r>
                <m: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 w:rsidR="00E545C1">
        <w:rPr>
          <w:bCs/>
        </w:rPr>
        <w:t xml:space="preserve"> </w:t>
      </w:r>
      <w:r w:rsidR="00E545C1" w:rsidRPr="002D67DE">
        <w:t>reprezintă suma dezechilibrelor pozitive ale tuturor PRE</w:t>
      </w:r>
      <w:r w:rsidR="009F1507" w:rsidRPr="002D67DE">
        <w:t>;</w:t>
      </w:r>
      <w:r w:rsidR="00E545C1">
        <w:t xml:space="preserve"> </w:t>
      </w:r>
    </w:p>
    <w:p w14:paraId="7870CF95" w14:textId="77777777" w:rsidR="009F1507" w:rsidRDefault="004614A2" w:rsidP="009F1507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jc w:val="both"/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bCs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DezPRE</m:t>
                </m:r>
              </m:e>
              <m:sub>
                <m:r>
                  <w:rPr>
                    <w:rFonts w:ascii="Cambria Math" w:hAnsi="Cambria Math"/>
                  </w:rPr>
                  <m:t>neg</m:t>
                </m:r>
                <m: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 w:rsidR="009F1507">
        <w:rPr>
          <w:bCs/>
        </w:rPr>
        <w:t xml:space="preserve"> </w:t>
      </w:r>
      <w:r w:rsidR="009F1507" w:rsidRPr="002D67DE">
        <w:t xml:space="preserve">reprezintă suma dezechilibrelor </w:t>
      </w:r>
      <w:r w:rsidR="009F1507">
        <w:t>negative</w:t>
      </w:r>
      <w:r w:rsidR="009F1507" w:rsidRPr="002D67DE">
        <w:t xml:space="preserve"> ale tuturor PRE.</w:t>
      </w:r>
      <w:r w:rsidR="009F1507">
        <w:t xml:space="preserve"> </w:t>
      </w:r>
    </w:p>
    <w:p w14:paraId="47A6A943" w14:textId="3D0A4ECD" w:rsidR="00E47F7B" w:rsidRDefault="009F1507" w:rsidP="00301978">
      <w:pPr>
        <w:pStyle w:val="ListParagraph"/>
        <w:tabs>
          <w:tab w:val="left" w:pos="450"/>
        </w:tabs>
        <w:spacing w:line="360" w:lineRule="auto"/>
        <w:ind w:left="0"/>
        <w:jc w:val="both"/>
      </w:pPr>
      <w:r w:rsidRPr="009F1507">
        <w:tab/>
      </w:r>
      <w:r w:rsidR="00E47F7B" w:rsidRPr="00E47F7B">
        <w:t>Pre</w:t>
      </w:r>
      <w:r w:rsidR="00E47F7B">
        <w:t>țu</w:t>
      </w:r>
      <w:r w:rsidR="00E47F7B" w:rsidRPr="00E47F7B">
        <w:t>rile finale de deficit și excedent se calculează cu următoarele formule:</w:t>
      </w:r>
    </w:p>
    <w:p w14:paraId="767C1D72" w14:textId="189CFE37" w:rsidR="009F1507" w:rsidRPr="00E47F7B" w:rsidRDefault="004614A2" w:rsidP="00301978">
      <w:pPr>
        <w:pStyle w:val="ListParagraph"/>
        <w:tabs>
          <w:tab w:val="left" w:pos="450"/>
        </w:tabs>
        <w:spacing w:line="360" w:lineRule="auto"/>
        <w:ind w:left="0"/>
        <w:jc w:val="both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fin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def</m:t>
              </m:r>
            </m:sup>
          </m:sSubSup>
          <m:r>
            <w:rPr>
              <w:rFonts w:ascii="Cambria Math" w:hAnsi="Cambria Math"/>
              <w:vertAlign w:val="subscript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med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Cres</m:t>
              </m:r>
            </m:sup>
          </m:sSubSup>
          <m:r>
            <w:rPr>
              <w:rFonts w:ascii="Cambria Math" w:hAnsi="Cambria Math"/>
            </w:rPr>
            <m:t>+|</m:t>
          </m:r>
          <m:sSubSup>
            <m:sSubSupPr>
              <m:ctrlPr>
                <w:rPr>
                  <w:rFonts w:ascii="Cambria Math" w:hAnsi="Cambria Math"/>
                  <w:bCs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</w:rPr>
                <m:t>3</m:t>
              </m:r>
            </m:e>
            <m:sub>
              <m:r>
                <w:rPr>
                  <w:rFonts w:ascii="Cambria Math" w:hAnsi="Cambria Math"/>
                </w:rPr>
                <m:t>neutr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fin</m:t>
              </m:r>
            </m:sup>
          </m:sSubSup>
          <m:r>
            <w:rPr>
              <w:rFonts w:ascii="Cambria Math" w:hAnsi="Cambria Math"/>
            </w:rPr>
            <m:t>|</m:t>
          </m:r>
        </m:oMath>
      </m:oMathPara>
    </w:p>
    <w:p w14:paraId="377A7BD2" w14:textId="4D00F5E1" w:rsidR="00B96B27" w:rsidRPr="00E47F7B" w:rsidRDefault="004614A2" w:rsidP="005313C0">
      <w:pPr>
        <w:tabs>
          <w:tab w:val="left" w:pos="0"/>
        </w:tabs>
        <w:spacing w:line="360" w:lineRule="auto"/>
        <w:contextualSpacing/>
        <w:jc w:val="both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fin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exc</m:t>
              </m:r>
            </m:sup>
          </m:sSubSup>
          <m:r>
            <w:rPr>
              <w:rFonts w:ascii="Cambria Math" w:hAnsi="Cambria Math"/>
              <w:vertAlign w:val="subscript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med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Red</m:t>
              </m:r>
            </m:sup>
          </m:sSubSup>
          <m:r>
            <w:rPr>
              <w:rFonts w:ascii="Cambria Math" w:hAnsi="Cambria Math"/>
            </w:rPr>
            <m:t>-|</m:t>
          </m:r>
          <m:sSubSup>
            <m:sSubSupPr>
              <m:ctrlPr>
                <w:rPr>
                  <w:rFonts w:ascii="Cambria Math" w:hAnsi="Cambria Math"/>
                  <w:bCs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</w:rPr>
                <m:t>3</m:t>
              </m:r>
            </m:e>
            <m:sub>
              <m:r>
                <w:rPr>
                  <w:rFonts w:ascii="Cambria Math" w:hAnsi="Cambria Math"/>
                </w:rPr>
                <m:t>neutr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fin</m:t>
              </m:r>
            </m:sup>
          </m:sSubSup>
          <m:r>
            <w:rPr>
              <w:rFonts w:ascii="Cambria Math" w:hAnsi="Cambria Math"/>
            </w:rPr>
            <m:t>|</m:t>
          </m:r>
        </m:oMath>
      </m:oMathPara>
    </w:p>
    <w:p w14:paraId="402A8B01" w14:textId="2A68B364" w:rsidR="00BC577E" w:rsidRPr="0089123E" w:rsidRDefault="00B52BF2" w:rsidP="00762B71">
      <w:pPr>
        <w:numPr>
          <w:ilvl w:val="0"/>
          <w:numId w:val="1"/>
        </w:numPr>
        <w:tabs>
          <w:tab w:val="left" w:pos="810"/>
          <w:tab w:val="left" w:pos="990"/>
        </w:tabs>
        <w:spacing w:line="360" w:lineRule="auto"/>
        <w:ind w:left="0" w:firstLine="0"/>
        <w:contextualSpacing/>
        <w:jc w:val="both"/>
      </w:pPr>
      <w:r w:rsidRPr="004F50FD">
        <w:rPr>
          <w:b/>
        </w:rPr>
        <w:t>–</w:t>
      </w:r>
      <w:r>
        <w:rPr>
          <w:b/>
        </w:rPr>
        <w:t xml:space="preserve"> </w:t>
      </w:r>
      <w:r w:rsidR="00762B71">
        <w:t>Operatorii economici din sectorul energiei electrice</w:t>
      </w:r>
      <w:r w:rsidR="00762B71" w:rsidRPr="004A7194">
        <w:t xml:space="preserve"> duc la îndeplinire prevederile prezentului ordin. </w:t>
      </w:r>
      <w:r w:rsidR="00BC577E" w:rsidRPr="0089123E">
        <w:t xml:space="preserve"> </w:t>
      </w:r>
    </w:p>
    <w:p w14:paraId="3B2389C5" w14:textId="77777777" w:rsidR="00BC577E" w:rsidRDefault="0017369E" w:rsidP="00BC577E">
      <w:pPr>
        <w:numPr>
          <w:ilvl w:val="0"/>
          <w:numId w:val="1"/>
        </w:numPr>
        <w:tabs>
          <w:tab w:val="left" w:pos="0"/>
          <w:tab w:val="left" w:pos="900"/>
        </w:tabs>
        <w:spacing w:line="360" w:lineRule="auto"/>
        <w:ind w:left="0" w:firstLine="0"/>
        <w:contextualSpacing/>
        <w:jc w:val="both"/>
      </w:pPr>
      <w:r w:rsidRPr="00762B71">
        <w:rPr>
          <w:b/>
          <w:bCs/>
        </w:rPr>
        <w:t>–</w:t>
      </w:r>
      <w:r>
        <w:t xml:space="preserve"> </w:t>
      </w:r>
      <w:r w:rsidR="00BC577E" w:rsidRPr="0089123E">
        <w:t xml:space="preserve">Direcțiile de specialitate din cadrul Autorității Naționale de Reglementare în Domeniul Energiei urmăresc respectarea prevederilor prezentului ordin. </w:t>
      </w:r>
    </w:p>
    <w:p w14:paraId="5D690D53" w14:textId="715FD00A" w:rsidR="003B71D5" w:rsidRPr="0089123E" w:rsidRDefault="0017369E" w:rsidP="00BC577E">
      <w:pPr>
        <w:numPr>
          <w:ilvl w:val="0"/>
          <w:numId w:val="1"/>
        </w:numPr>
        <w:tabs>
          <w:tab w:val="left" w:pos="0"/>
          <w:tab w:val="left" w:pos="900"/>
        </w:tabs>
        <w:spacing w:line="360" w:lineRule="auto"/>
        <w:ind w:left="0" w:firstLine="0"/>
        <w:contextualSpacing/>
        <w:jc w:val="both"/>
      </w:pPr>
      <w:r w:rsidRPr="00762B71">
        <w:rPr>
          <w:b/>
          <w:bCs/>
        </w:rPr>
        <w:t>–</w:t>
      </w:r>
      <w:r w:rsidR="003B71D5">
        <w:t xml:space="preserve"> Prezentul ordin se publică în Monitorul Oficial al României, Partea I</w:t>
      </w:r>
      <w:r w:rsidR="002E0873">
        <w:t xml:space="preserve"> și intră în vigoare la</w:t>
      </w:r>
      <w:r w:rsidR="005C15B3">
        <w:t xml:space="preserve"> data </w:t>
      </w:r>
      <w:r w:rsidR="00762B71">
        <w:t>publicării</w:t>
      </w:r>
      <w:r w:rsidR="002E0873">
        <w:t>.</w:t>
      </w:r>
    </w:p>
    <w:p w14:paraId="6666AA48" w14:textId="77777777" w:rsidR="00762B71" w:rsidRDefault="00762B71" w:rsidP="00BC577E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</w:p>
    <w:p w14:paraId="2639891A" w14:textId="77777777" w:rsidR="00F11F00" w:rsidRDefault="00F11F00" w:rsidP="00BC577E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</w:p>
    <w:p w14:paraId="3EB2A836" w14:textId="77777777" w:rsidR="0048534D" w:rsidRDefault="0048534D" w:rsidP="00BC577E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</w:p>
    <w:p w14:paraId="52238434" w14:textId="77777777" w:rsidR="00BC577E" w:rsidRPr="0089123E" w:rsidRDefault="00BC577E" w:rsidP="00BC577E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  <w:r w:rsidRPr="0089123E">
        <w:rPr>
          <w:b/>
          <w:bCs/>
        </w:rPr>
        <w:t>Președintele Autorității Naționale de Reglementare în Domeniul Energiei</w:t>
      </w:r>
    </w:p>
    <w:p w14:paraId="5EE0E312" w14:textId="4CE6E97B" w:rsidR="00CB7F03" w:rsidRDefault="00BC577E" w:rsidP="00F11F00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  <w:r w:rsidRPr="0089123E">
        <w:rPr>
          <w:b/>
          <w:bCs/>
        </w:rPr>
        <w:t>George-Sergiu Niculescu</w:t>
      </w:r>
    </w:p>
    <w:p w14:paraId="64CA2C42" w14:textId="77777777" w:rsidR="00DC62B9" w:rsidRDefault="00DC62B9" w:rsidP="00F11F00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</w:p>
    <w:p w14:paraId="0E9DD71B" w14:textId="77777777" w:rsidR="00DC62B9" w:rsidRDefault="00DC62B9" w:rsidP="00F11F00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</w:p>
    <w:p w14:paraId="58244933" w14:textId="77777777" w:rsidR="00DC62B9" w:rsidRDefault="00DC62B9" w:rsidP="00F11F00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</w:p>
    <w:p w14:paraId="70D12842" w14:textId="77777777" w:rsidR="00DC62B9" w:rsidRDefault="00DC62B9" w:rsidP="00F11F00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</w:p>
    <w:p w14:paraId="2E02F4B7" w14:textId="77777777" w:rsidR="00DC62B9" w:rsidRDefault="00DC62B9" w:rsidP="00F11F00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</w:p>
    <w:p w14:paraId="496F6D2F" w14:textId="77777777" w:rsidR="00DC62B9" w:rsidRDefault="00DC62B9" w:rsidP="00F11F00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</w:p>
    <w:p w14:paraId="22124462" w14:textId="77777777" w:rsidR="00DC62B9" w:rsidRDefault="00DC62B9" w:rsidP="00F11F00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</w:p>
    <w:p w14:paraId="0028AA72" w14:textId="77777777" w:rsidR="00DC62B9" w:rsidRDefault="00DC62B9" w:rsidP="00F11F00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</w:p>
    <w:p w14:paraId="5D147382" w14:textId="77777777" w:rsidR="00DC62B9" w:rsidRDefault="00DC62B9" w:rsidP="00F11F00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  <w:bookmarkStart w:id="0" w:name="_GoBack"/>
      <w:bookmarkEnd w:id="0"/>
    </w:p>
    <w:sectPr w:rsidR="00DC62B9" w:rsidSect="00F11F00">
      <w:footerReference w:type="default" r:id="rId8"/>
      <w:footerReference w:type="first" r:id="rId9"/>
      <w:pgSz w:w="11906" w:h="16838"/>
      <w:pgMar w:top="900" w:right="1016" w:bottom="1170" w:left="1260" w:header="708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E0BFA" w14:textId="77777777" w:rsidR="004614A2" w:rsidRDefault="004614A2">
      <w:r>
        <w:separator/>
      </w:r>
    </w:p>
  </w:endnote>
  <w:endnote w:type="continuationSeparator" w:id="0">
    <w:p w14:paraId="5F54FB3E" w14:textId="77777777" w:rsidR="004614A2" w:rsidRDefault="0046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ACA62" w14:textId="77777777" w:rsidR="00130759" w:rsidRDefault="0013075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2D2DDA7" w14:textId="77777777" w:rsidR="00130759" w:rsidRDefault="00130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4B9B7" w14:textId="77777777" w:rsidR="00130759" w:rsidRDefault="0013075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7857780" w14:textId="77777777" w:rsidR="00130759" w:rsidRDefault="00130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9A14B" w14:textId="77777777" w:rsidR="004614A2" w:rsidRDefault="004614A2">
      <w:r>
        <w:separator/>
      </w:r>
    </w:p>
  </w:footnote>
  <w:footnote w:type="continuationSeparator" w:id="0">
    <w:p w14:paraId="2C6D6441" w14:textId="77777777" w:rsidR="004614A2" w:rsidRDefault="00461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813DA"/>
    <w:multiLevelType w:val="hybridMultilevel"/>
    <w:tmpl w:val="9C82CD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6BB7"/>
    <w:multiLevelType w:val="hybridMultilevel"/>
    <w:tmpl w:val="9C82C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74948"/>
    <w:multiLevelType w:val="hybridMultilevel"/>
    <w:tmpl w:val="CDA4BF12"/>
    <w:lvl w:ilvl="0" w:tplc="01EC0BFA">
      <w:start w:val="1"/>
      <w:numFmt w:val="upperRoman"/>
      <w:lvlText w:val="Art. %1"/>
      <w:lvlJc w:val="left"/>
      <w:pPr>
        <w:ind w:left="261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4A84"/>
    <w:multiLevelType w:val="hybridMultilevel"/>
    <w:tmpl w:val="9D624996"/>
    <w:lvl w:ilvl="0" w:tplc="DA1CF6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60E2D"/>
    <w:multiLevelType w:val="hybridMultilevel"/>
    <w:tmpl w:val="F50A3B2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4A5A58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A257AF5"/>
    <w:multiLevelType w:val="hybridMultilevel"/>
    <w:tmpl w:val="0EF89AE2"/>
    <w:lvl w:ilvl="0" w:tplc="7FA08A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B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C3BF8"/>
    <w:multiLevelType w:val="hybridMultilevel"/>
    <w:tmpl w:val="93546C7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3CC17610"/>
    <w:multiLevelType w:val="hybridMultilevel"/>
    <w:tmpl w:val="163AF040"/>
    <w:lvl w:ilvl="0" w:tplc="7FF0AD68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 w15:restartNumberingAfterBreak="0">
    <w:nsid w:val="40D55D69"/>
    <w:multiLevelType w:val="hybridMultilevel"/>
    <w:tmpl w:val="B8344168"/>
    <w:lvl w:ilvl="0" w:tplc="15BC12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70A81"/>
    <w:multiLevelType w:val="hybridMultilevel"/>
    <w:tmpl w:val="2EFC052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6C68C3"/>
    <w:multiLevelType w:val="hybridMultilevel"/>
    <w:tmpl w:val="D7C4F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A2E0E"/>
    <w:multiLevelType w:val="hybridMultilevel"/>
    <w:tmpl w:val="4DDAF354"/>
    <w:lvl w:ilvl="0" w:tplc="7ED8AFD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7E"/>
    <w:rsid w:val="0002226E"/>
    <w:rsid w:val="0002766B"/>
    <w:rsid w:val="00034D03"/>
    <w:rsid w:val="00044675"/>
    <w:rsid w:val="00094E18"/>
    <w:rsid w:val="000D2AC8"/>
    <w:rsid w:val="000E1825"/>
    <w:rsid w:val="00100386"/>
    <w:rsid w:val="001165D2"/>
    <w:rsid w:val="001265F7"/>
    <w:rsid w:val="00130759"/>
    <w:rsid w:val="00156374"/>
    <w:rsid w:val="00156B29"/>
    <w:rsid w:val="0017369E"/>
    <w:rsid w:val="00182F03"/>
    <w:rsid w:val="001A1153"/>
    <w:rsid w:val="001F1651"/>
    <w:rsid w:val="002044E7"/>
    <w:rsid w:val="00213DC6"/>
    <w:rsid w:val="00223C13"/>
    <w:rsid w:val="00286BBE"/>
    <w:rsid w:val="0029378A"/>
    <w:rsid w:val="002D3132"/>
    <w:rsid w:val="002D67DE"/>
    <w:rsid w:val="002D6DDA"/>
    <w:rsid w:val="002E0873"/>
    <w:rsid w:val="002F1DDA"/>
    <w:rsid w:val="00301978"/>
    <w:rsid w:val="00321A93"/>
    <w:rsid w:val="00323EFF"/>
    <w:rsid w:val="0032407C"/>
    <w:rsid w:val="0032704F"/>
    <w:rsid w:val="003B718F"/>
    <w:rsid w:val="003B71D5"/>
    <w:rsid w:val="003E3F55"/>
    <w:rsid w:val="003F1F05"/>
    <w:rsid w:val="003F7615"/>
    <w:rsid w:val="004067A4"/>
    <w:rsid w:val="00460392"/>
    <w:rsid w:val="004614A2"/>
    <w:rsid w:val="0046173C"/>
    <w:rsid w:val="004844FE"/>
    <w:rsid w:val="0048534D"/>
    <w:rsid w:val="00497945"/>
    <w:rsid w:val="004E17C2"/>
    <w:rsid w:val="004F5433"/>
    <w:rsid w:val="004F6CC9"/>
    <w:rsid w:val="005313C0"/>
    <w:rsid w:val="0055283F"/>
    <w:rsid w:val="00592F77"/>
    <w:rsid w:val="005A3EE5"/>
    <w:rsid w:val="005C15B3"/>
    <w:rsid w:val="00600607"/>
    <w:rsid w:val="00636630"/>
    <w:rsid w:val="00642377"/>
    <w:rsid w:val="006664D1"/>
    <w:rsid w:val="00671835"/>
    <w:rsid w:val="006A56B0"/>
    <w:rsid w:val="00715379"/>
    <w:rsid w:val="00762B71"/>
    <w:rsid w:val="007A216A"/>
    <w:rsid w:val="007E35B0"/>
    <w:rsid w:val="007E3F68"/>
    <w:rsid w:val="00812185"/>
    <w:rsid w:val="00813F83"/>
    <w:rsid w:val="008B4838"/>
    <w:rsid w:val="008E7B04"/>
    <w:rsid w:val="00933769"/>
    <w:rsid w:val="009C19D8"/>
    <w:rsid w:val="009E6D18"/>
    <w:rsid w:val="009F1507"/>
    <w:rsid w:val="00A77020"/>
    <w:rsid w:val="00AF4C64"/>
    <w:rsid w:val="00B1290E"/>
    <w:rsid w:val="00B15E31"/>
    <w:rsid w:val="00B52BF2"/>
    <w:rsid w:val="00B777F4"/>
    <w:rsid w:val="00B8113C"/>
    <w:rsid w:val="00B96B27"/>
    <w:rsid w:val="00B97211"/>
    <w:rsid w:val="00BC577E"/>
    <w:rsid w:val="00BD1226"/>
    <w:rsid w:val="00C27438"/>
    <w:rsid w:val="00C32DC8"/>
    <w:rsid w:val="00C444BE"/>
    <w:rsid w:val="00C569C7"/>
    <w:rsid w:val="00C669C7"/>
    <w:rsid w:val="00C928F3"/>
    <w:rsid w:val="00C92A32"/>
    <w:rsid w:val="00CB7F03"/>
    <w:rsid w:val="00D17C86"/>
    <w:rsid w:val="00D211DC"/>
    <w:rsid w:val="00D67C90"/>
    <w:rsid w:val="00D67E53"/>
    <w:rsid w:val="00D67FB7"/>
    <w:rsid w:val="00D7362E"/>
    <w:rsid w:val="00DC3C91"/>
    <w:rsid w:val="00DC62B9"/>
    <w:rsid w:val="00E254FD"/>
    <w:rsid w:val="00E47F7B"/>
    <w:rsid w:val="00E545C1"/>
    <w:rsid w:val="00E61BE4"/>
    <w:rsid w:val="00E84E98"/>
    <w:rsid w:val="00E90414"/>
    <w:rsid w:val="00E949E7"/>
    <w:rsid w:val="00EA48EA"/>
    <w:rsid w:val="00EA67D6"/>
    <w:rsid w:val="00ED40DF"/>
    <w:rsid w:val="00EE0B30"/>
    <w:rsid w:val="00EF1F6D"/>
    <w:rsid w:val="00EF5DAA"/>
    <w:rsid w:val="00F02E56"/>
    <w:rsid w:val="00F073E3"/>
    <w:rsid w:val="00F11F00"/>
    <w:rsid w:val="00F217A4"/>
    <w:rsid w:val="00F93CA2"/>
    <w:rsid w:val="00FA51C8"/>
    <w:rsid w:val="00FA5EB9"/>
    <w:rsid w:val="00FB3B3E"/>
    <w:rsid w:val="00FB5532"/>
    <w:rsid w:val="00FC7D8A"/>
    <w:rsid w:val="00FD110F"/>
    <w:rsid w:val="00FE3D6A"/>
    <w:rsid w:val="00FE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12E6"/>
  <w15:chartTrackingRefBased/>
  <w15:docId w15:val="{DBD31C77-2435-4256-B8F7-0B642EEF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7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7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7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7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7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7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7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7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7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7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77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nhideWhenUsed/>
    <w:rsid w:val="00BC57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C577E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Revision">
    <w:name w:val="Revision"/>
    <w:hidden/>
    <w:uiPriority w:val="99"/>
    <w:semiHidden/>
    <w:rsid w:val="005528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C7D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D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7D8A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D8A"/>
    <w:rPr>
      <w:rFonts w:ascii="Times New Roman" w:eastAsia="Times New Roman" w:hAnsi="Times New Roman" w:cs="Times New Roman"/>
      <w:b/>
      <w:bCs/>
      <w:kern w:val="0"/>
      <w:sz w:val="20"/>
      <w:szCs w:val="20"/>
      <w:lang w:val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3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377"/>
    <w:rPr>
      <w:rFonts w:ascii="Segoe UI" w:eastAsia="Times New Roman" w:hAnsi="Segoe UI" w:cs="Segoe UI"/>
      <w:kern w:val="0"/>
      <w:sz w:val="18"/>
      <w:szCs w:val="18"/>
      <w:lang w:val="ro-RO"/>
      <w14:ligatures w14:val="none"/>
    </w:rPr>
  </w:style>
  <w:style w:type="paragraph" w:customStyle="1" w:styleId="sartttl">
    <w:name w:val="s_art_ttl"/>
    <w:basedOn w:val="Normal"/>
    <w:rsid w:val="00642377"/>
    <w:pPr>
      <w:spacing w:before="100" w:beforeAutospacing="1" w:after="100" w:afterAutospacing="1"/>
    </w:pPr>
    <w:rPr>
      <w:lang w:val="en-GB" w:eastAsia="en-GB"/>
    </w:rPr>
  </w:style>
  <w:style w:type="character" w:customStyle="1" w:styleId="salnttl">
    <w:name w:val="s_aln_ttl"/>
    <w:basedOn w:val="DefaultParagraphFont"/>
    <w:rsid w:val="00642377"/>
  </w:style>
  <w:style w:type="character" w:customStyle="1" w:styleId="salnbdy">
    <w:name w:val="s_aln_bdy"/>
    <w:basedOn w:val="DefaultParagraphFont"/>
    <w:rsid w:val="00642377"/>
  </w:style>
  <w:style w:type="character" w:styleId="Hyperlink">
    <w:name w:val="Hyperlink"/>
    <w:basedOn w:val="DefaultParagraphFont"/>
    <w:uiPriority w:val="99"/>
    <w:unhideWhenUsed/>
    <w:rsid w:val="00642377"/>
    <w:rPr>
      <w:color w:val="0000FF"/>
      <w:u w:val="single"/>
    </w:rPr>
  </w:style>
  <w:style w:type="paragraph" w:customStyle="1" w:styleId="spar">
    <w:name w:val="s_par"/>
    <w:basedOn w:val="Normal"/>
    <w:rsid w:val="00FA51C8"/>
    <w:pPr>
      <w:spacing w:before="100" w:beforeAutospacing="1" w:after="100" w:afterAutospacing="1"/>
    </w:pPr>
    <w:rPr>
      <w:lang w:val="en-GB" w:eastAsia="en-GB"/>
    </w:rPr>
  </w:style>
  <w:style w:type="character" w:customStyle="1" w:styleId="spctttl">
    <w:name w:val="s_pct_ttl"/>
    <w:basedOn w:val="DefaultParagraphFont"/>
    <w:rsid w:val="00FA51C8"/>
  </w:style>
  <w:style w:type="character" w:customStyle="1" w:styleId="spctbdy">
    <w:name w:val="s_pct_bdy"/>
    <w:basedOn w:val="DefaultParagraphFont"/>
    <w:rsid w:val="00FA51C8"/>
  </w:style>
  <w:style w:type="character" w:customStyle="1" w:styleId="slitttl">
    <w:name w:val="s_lit_ttl"/>
    <w:basedOn w:val="DefaultParagraphFont"/>
    <w:rsid w:val="00FA51C8"/>
  </w:style>
  <w:style w:type="character" w:customStyle="1" w:styleId="slitbdy">
    <w:name w:val="s_lit_bdy"/>
    <w:basedOn w:val="DefaultParagraphFont"/>
    <w:rsid w:val="00FA51C8"/>
  </w:style>
  <w:style w:type="character" w:styleId="PlaceholderText">
    <w:name w:val="Placeholder Text"/>
    <w:basedOn w:val="DefaultParagraphFont"/>
    <w:uiPriority w:val="99"/>
    <w:semiHidden/>
    <w:rsid w:val="009C19D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3019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7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2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E7982-EF9D-4526-BFAF-22DA7D30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2025-02-06T14:18:00Z</cp:lastPrinted>
  <dcterms:created xsi:type="dcterms:W3CDTF">2025-02-06T14:16:00Z</dcterms:created>
  <dcterms:modified xsi:type="dcterms:W3CDTF">2025-02-11T13:58:00Z</dcterms:modified>
</cp:coreProperties>
</file>