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EBA1" w14:textId="065EAD89" w:rsidR="00B41F4E" w:rsidRPr="00C34C61" w:rsidRDefault="00B41F4E" w:rsidP="00B41F4E">
      <w:pPr>
        <w:jc w:val="center"/>
        <w:rPr>
          <w:rFonts w:ascii="Times New Roman" w:hAnsi="Times New Roman" w:cs="Times New Roman"/>
          <w:b/>
          <w:sz w:val="24"/>
          <w:szCs w:val="24"/>
        </w:rPr>
      </w:pPr>
      <w:r w:rsidRPr="00C34C61">
        <w:rPr>
          <w:rFonts w:ascii="Times New Roman" w:hAnsi="Times New Roman" w:cs="Times New Roman"/>
          <w:b/>
          <w:sz w:val="24"/>
          <w:szCs w:val="24"/>
        </w:rPr>
        <w:t>Ordin nr ....... din .............</w:t>
      </w:r>
    </w:p>
    <w:p w14:paraId="62FEB342" w14:textId="77777777" w:rsidR="000C76EC" w:rsidRPr="00C34C61" w:rsidRDefault="00B41F4E" w:rsidP="00B41F4E">
      <w:pPr>
        <w:jc w:val="center"/>
        <w:rPr>
          <w:rFonts w:ascii="Times New Roman" w:hAnsi="Times New Roman" w:cs="Times New Roman"/>
          <w:b/>
          <w:sz w:val="24"/>
          <w:szCs w:val="24"/>
        </w:rPr>
      </w:pPr>
      <w:bookmarkStart w:id="0" w:name="_Hlk190341772"/>
      <w:r w:rsidRPr="00C34C61">
        <w:rPr>
          <w:rFonts w:ascii="Times New Roman" w:hAnsi="Times New Roman" w:cs="Times New Roman"/>
          <w:b/>
          <w:bCs/>
          <w:sz w:val="24"/>
          <w:szCs w:val="24"/>
        </w:rPr>
        <w:t xml:space="preserve">privind aprobarea </w:t>
      </w:r>
      <w:r w:rsidRPr="00C34C61">
        <w:rPr>
          <w:rFonts w:ascii="Times New Roman" w:hAnsi="Times New Roman" w:cs="Times New Roman"/>
          <w:b/>
          <w:sz w:val="24"/>
          <w:szCs w:val="24"/>
        </w:rPr>
        <w:t xml:space="preserve">Normelor metodologice privind </w:t>
      </w:r>
    </w:p>
    <w:p w14:paraId="7A1F1F09" w14:textId="3C298E39" w:rsidR="00B41F4E" w:rsidRPr="00C34C61" w:rsidRDefault="00182D94" w:rsidP="00FD15BC">
      <w:pPr>
        <w:jc w:val="center"/>
        <w:rPr>
          <w:rFonts w:ascii="Times New Roman" w:hAnsi="Times New Roman" w:cs="Times New Roman"/>
          <w:i/>
          <w:iCs/>
          <w:sz w:val="24"/>
          <w:szCs w:val="24"/>
          <w:lang w:val="en-US"/>
        </w:rPr>
      </w:pPr>
      <w:r w:rsidRPr="00C34C61">
        <w:rPr>
          <w:rFonts w:ascii="Times New Roman" w:hAnsi="Times New Roman" w:cs="Times New Roman"/>
          <w:b/>
          <w:sz w:val="24"/>
          <w:szCs w:val="24"/>
        </w:rPr>
        <w:t>exceptarea</w:t>
      </w:r>
      <w:r w:rsidR="00B41F4E" w:rsidRPr="00C34C61">
        <w:rPr>
          <w:rFonts w:ascii="Times New Roman" w:hAnsi="Times New Roman" w:cs="Times New Roman"/>
          <w:b/>
          <w:sz w:val="24"/>
          <w:szCs w:val="24"/>
        </w:rPr>
        <w:t xml:space="preserve"> de la plata tarifelor reglementate aplicate de </w:t>
      </w:r>
      <w:r w:rsidR="000D378B" w:rsidRPr="00C34C61">
        <w:rPr>
          <w:rFonts w:ascii="Times New Roman" w:hAnsi="Times New Roman" w:cs="Times New Roman"/>
          <w:b/>
          <w:sz w:val="24"/>
          <w:szCs w:val="24"/>
        </w:rPr>
        <w:t xml:space="preserve">către </w:t>
      </w:r>
      <w:r w:rsidR="00B41F4E" w:rsidRPr="00C34C61">
        <w:rPr>
          <w:rFonts w:ascii="Times New Roman" w:hAnsi="Times New Roman" w:cs="Times New Roman"/>
          <w:b/>
          <w:sz w:val="24"/>
          <w:szCs w:val="24"/>
        </w:rPr>
        <w:t>operatorii de rețea din domeniul energiei electrice</w:t>
      </w:r>
      <w:r w:rsidR="000D378B" w:rsidRPr="00C34C61">
        <w:rPr>
          <w:rFonts w:ascii="Times New Roman" w:hAnsi="Times New Roman" w:cs="Times New Roman"/>
          <w:b/>
          <w:sz w:val="24"/>
          <w:szCs w:val="24"/>
        </w:rPr>
        <w:t xml:space="preserve"> pentru energia electrică </w:t>
      </w:r>
      <w:r w:rsidR="00025BAA" w:rsidRPr="00C34C61">
        <w:rPr>
          <w:rFonts w:ascii="Times New Roman" w:hAnsi="Times New Roman" w:cs="Times New Roman"/>
          <w:b/>
          <w:sz w:val="24"/>
          <w:szCs w:val="24"/>
        </w:rPr>
        <w:t>stoca</w:t>
      </w:r>
      <w:r w:rsidR="00D45F22" w:rsidRPr="00C34C61">
        <w:rPr>
          <w:rFonts w:ascii="Times New Roman" w:hAnsi="Times New Roman" w:cs="Times New Roman"/>
          <w:b/>
          <w:sz w:val="24"/>
          <w:szCs w:val="24"/>
        </w:rPr>
        <w:t>tă</w:t>
      </w:r>
      <w:r w:rsidR="001D616D" w:rsidRPr="00C34C61">
        <w:rPr>
          <w:rFonts w:ascii="Times New Roman" w:hAnsi="Times New Roman" w:cs="Times New Roman"/>
          <w:b/>
          <w:sz w:val="24"/>
          <w:szCs w:val="24"/>
        </w:rPr>
        <w:t>, extrasă din rețea</w:t>
      </w:r>
    </w:p>
    <w:bookmarkEnd w:id="0"/>
    <w:p w14:paraId="16F6944F" w14:textId="3D38B539" w:rsidR="00B41F4E" w:rsidRPr="00C34C61" w:rsidRDefault="00B41F4E" w:rsidP="0006212F">
      <w:pPr>
        <w:jc w:val="both"/>
        <w:rPr>
          <w:rFonts w:ascii="Times New Roman" w:hAnsi="Times New Roman" w:cs="Times New Roman"/>
          <w:b/>
          <w:bCs/>
          <w:sz w:val="24"/>
          <w:szCs w:val="24"/>
        </w:rPr>
      </w:pPr>
      <w:r w:rsidRPr="00C34C61">
        <w:rPr>
          <w:rFonts w:ascii="Times New Roman" w:hAnsi="Times New Roman" w:cs="Times New Roman"/>
          <w:sz w:val="24"/>
          <w:szCs w:val="24"/>
        </w:rPr>
        <w:t xml:space="preserve">Având în vedere prevederile </w:t>
      </w:r>
      <w:r w:rsidR="009B654A" w:rsidRPr="00C34C61">
        <w:rPr>
          <w:rFonts w:ascii="Times New Roman" w:hAnsi="Times New Roman" w:cs="Times New Roman"/>
          <w:sz w:val="24"/>
          <w:szCs w:val="24"/>
        </w:rPr>
        <w:t xml:space="preserve">art. 66^3, ale </w:t>
      </w:r>
      <w:r w:rsidRPr="00C34C61">
        <w:rPr>
          <w:rFonts w:ascii="Times New Roman" w:hAnsi="Times New Roman" w:cs="Times New Roman"/>
          <w:sz w:val="24"/>
          <w:szCs w:val="24"/>
        </w:rPr>
        <w:t xml:space="preserve">art. 75 alin. (1) lit.a), ale art. 76 alin. (1) și ale art. 79 alin. (1) din Legea energiei electrice şi a gazelor naturale nr. 123/2012, cu modificările şi completările ulterioare </w:t>
      </w:r>
      <w:r w:rsidR="00C87E66" w:rsidRPr="00C34C61">
        <w:rPr>
          <w:rFonts w:ascii="Times New Roman" w:hAnsi="Times New Roman" w:cs="Times New Roman"/>
          <w:sz w:val="24"/>
          <w:szCs w:val="24"/>
        </w:rPr>
        <w:t>și prevederile art. 2 lit. i) și k) din Legea nr. 220/2008 pentru stabilirea sistemului de promovare a producerii energiei din surse regenerabile de energie, republicată, cu modificările și completările ulterioare,</w:t>
      </w:r>
    </w:p>
    <w:p w14:paraId="0CA44DE1" w14:textId="77777777" w:rsidR="00B41F4E" w:rsidRPr="00C34C61" w:rsidRDefault="00B41F4E" w:rsidP="0006212F">
      <w:pPr>
        <w:jc w:val="both"/>
        <w:rPr>
          <w:rFonts w:ascii="Times New Roman" w:hAnsi="Times New Roman" w:cs="Times New Roman"/>
          <w:sz w:val="24"/>
          <w:szCs w:val="24"/>
        </w:rPr>
      </w:pPr>
      <w:r w:rsidRPr="00C34C61">
        <w:rPr>
          <w:rFonts w:ascii="Times New Roman" w:hAnsi="Times New Roman" w:cs="Times New Roman"/>
          <w:sz w:val="24"/>
          <w:szCs w:val="24"/>
        </w:rPr>
        <w:t>în temeiul prevederilor art. 5 alin. (1) lit. b) şi (5) şi ale art. 9 alin. (1) lit. b) din Ordonanţa de urgenţă a Guvernului nr. 33/2007 privind organizarea şi funcţionarea Autorităţii Naţionale de Reglementare în Domeniul Energiei, aprobată cu modificări şi completări prin Legea nr. 160/2012, cu modificările şi completările ulterioare,</w:t>
      </w:r>
      <w:r w:rsidRPr="00C34C61">
        <w:rPr>
          <w:rFonts w:ascii="Times New Roman" w:hAnsi="Times New Roman" w:cs="Times New Roman"/>
          <w:sz w:val="24"/>
          <w:szCs w:val="24"/>
        </w:rPr>
        <w:tab/>
      </w:r>
    </w:p>
    <w:p w14:paraId="0C067FA6" w14:textId="77777777" w:rsidR="00B41F4E" w:rsidRPr="00C34C61" w:rsidRDefault="00B41F4E" w:rsidP="00B41F4E">
      <w:pPr>
        <w:rPr>
          <w:rFonts w:ascii="Times New Roman" w:hAnsi="Times New Roman" w:cs="Times New Roman"/>
          <w:sz w:val="24"/>
          <w:szCs w:val="24"/>
        </w:rPr>
      </w:pPr>
    </w:p>
    <w:p w14:paraId="705BA9AA" w14:textId="77777777" w:rsidR="00B41F4E" w:rsidRPr="00C34C61" w:rsidRDefault="00B41F4E" w:rsidP="00B41F4E">
      <w:pPr>
        <w:jc w:val="center"/>
        <w:rPr>
          <w:rFonts w:ascii="Times New Roman" w:hAnsi="Times New Roman" w:cs="Times New Roman"/>
          <w:sz w:val="24"/>
          <w:szCs w:val="24"/>
        </w:rPr>
      </w:pPr>
      <w:r w:rsidRPr="00C34C61">
        <w:rPr>
          <w:rFonts w:ascii="Times New Roman" w:hAnsi="Times New Roman" w:cs="Times New Roman"/>
          <w:sz w:val="24"/>
          <w:szCs w:val="24"/>
        </w:rPr>
        <w:t>președintele Autorității Naționale de Reglementare în Domeniul Energiei emite prezentul</w:t>
      </w:r>
    </w:p>
    <w:p w14:paraId="0788DEF7" w14:textId="61C98F58" w:rsidR="00B41F4E" w:rsidRPr="00C34C61" w:rsidRDefault="00B41F4E" w:rsidP="00B41F4E">
      <w:pPr>
        <w:jc w:val="center"/>
        <w:rPr>
          <w:rFonts w:ascii="Times New Roman" w:hAnsi="Times New Roman" w:cs="Times New Roman"/>
          <w:sz w:val="24"/>
          <w:szCs w:val="24"/>
        </w:rPr>
      </w:pPr>
      <w:r w:rsidRPr="00C34C61">
        <w:rPr>
          <w:rFonts w:ascii="Times New Roman" w:hAnsi="Times New Roman" w:cs="Times New Roman"/>
          <w:sz w:val="24"/>
          <w:szCs w:val="24"/>
        </w:rPr>
        <w:t>Ordin</w:t>
      </w:r>
    </w:p>
    <w:p w14:paraId="747419E4" w14:textId="43AAE73A" w:rsidR="00B41F4E" w:rsidRPr="00C34C61" w:rsidRDefault="00B41F4E" w:rsidP="00B41F4E">
      <w:pPr>
        <w:jc w:val="both"/>
        <w:rPr>
          <w:rFonts w:ascii="Times New Roman" w:hAnsi="Times New Roman" w:cs="Times New Roman"/>
          <w:sz w:val="24"/>
          <w:szCs w:val="24"/>
        </w:rPr>
      </w:pPr>
      <w:r w:rsidRPr="00C34C61">
        <w:rPr>
          <w:rFonts w:ascii="Times New Roman" w:hAnsi="Times New Roman" w:cs="Times New Roman"/>
          <w:sz w:val="24"/>
          <w:szCs w:val="24"/>
        </w:rPr>
        <w:t xml:space="preserve">Art. 1 Se aprobă Normele metodologice </w:t>
      </w:r>
      <w:r w:rsidR="00B07F7C" w:rsidRPr="00C34C61">
        <w:rPr>
          <w:rFonts w:ascii="Times New Roman" w:hAnsi="Times New Roman" w:cs="Times New Roman"/>
          <w:sz w:val="24"/>
          <w:szCs w:val="24"/>
        </w:rPr>
        <w:t xml:space="preserve">privind exceptarea de la plata tarifelor reglementate aplicate de operatorii de rețea din domeniul energiei electrice pentru energia electrică </w:t>
      </w:r>
      <w:r w:rsidR="007F4307" w:rsidRPr="00C34C61">
        <w:rPr>
          <w:rFonts w:ascii="Times New Roman" w:hAnsi="Times New Roman" w:cs="Times New Roman"/>
          <w:sz w:val="24"/>
          <w:szCs w:val="24"/>
        </w:rPr>
        <w:t>stocatǎ</w:t>
      </w:r>
      <w:r w:rsidR="00B07F7C" w:rsidRPr="00C34C61">
        <w:rPr>
          <w:rFonts w:ascii="Times New Roman" w:hAnsi="Times New Roman" w:cs="Times New Roman"/>
          <w:sz w:val="24"/>
          <w:szCs w:val="24"/>
        </w:rPr>
        <w:t xml:space="preserve">, </w:t>
      </w:r>
      <w:r w:rsidR="0093359E" w:rsidRPr="00C34C61">
        <w:rPr>
          <w:rFonts w:ascii="Times New Roman" w:hAnsi="Times New Roman" w:cs="Times New Roman"/>
          <w:sz w:val="24"/>
          <w:szCs w:val="24"/>
        </w:rPr>
        <w:t>extras</w:t>
      </w:r>
      <w:r w:rsidR="00140639" w:rsidRPr="00C34C61">
        <w:rPr>
          <w:rFonts w:ascii="Times New Roman" w:hAnsi="Times New Roman" w:cs="Times New Roman"/>
          <w:sz w:val="24"/>
          <w:szCs w:val="24"/>
        </w:rPr>
        <w:t>ă</w:t>
      </w:r>
      <w:r w:rsidR="0093359E" w:rsidRPr="00C34C61">
        <w:rPr>
          <w:rFonts w:ascii="Times New Roman" w:hAnsi="Times New Roman" w:cs="Times New Roman"/>
          <w:sz w:val="24"/>
          <w:szCs w:val="24"/>
        </w:rPr>
        <w:t xml:space="preserve"> din retea, </w:t>
      </w:r>
      <w:r w:rsidRPr="00C34C61">
        <w:rPr>
          <w:rFonts w:ascii="Times New Roman" w:hAnsi="Times New Roman" w:cs="Times New Roman"/>
          <w:sz w:val="24"/>
          <w:szCs w:val="24"/>
        </w:rPr>
        <w:t xml:space="preserve">prevăzute în </w:t>
      </w:r>
      <w:hyperlink w:history="1">
        <w:r w:rsidRPr="00C34C61">
          <w:rPr>
            <w:rFonts w:ascii="Times New Roman" w:hAnsi="Times New Roman" w:cs="Times New Roman"/>
            <w:sz w:val="24"/>
            <w:szCs w:val="24"/>
          </w:rPr>
          <w:t>anexa</w:t>
        </w:r>
      </w:hyperlink>
      <w:r w:rsidRPr="00C34C61">
        <w:rPr>
          <w:rFonts w:ascii="Times New Roman" w:hAnsi="Times New Roman" w:cs="Times New Roman"/>
          <w:sz w:val="24"/>
          <w:szCs w:val="24"/>
        </w:rPr>
        <w:t xml:space="preserve"> care face parte integrantă din prezentul ordin.</w:t>
      </w:r>
    </w:p>
    <w:p w14:paraId="2512304C" w14:textId="77777777" w:rsidR="00B41F4E" w:rsidRPr="00C34C61" w:rsidRDefault="00B41F4E" w:rsidP="00B41F4E">
      <w:pPr>
        <w:jc w:val="both"/>
        <w:rPr>
          <w:rFonts w:ascii="Times New Roman" w:hAnsi="Times New Roman" w:cs="Times New Roman"/>
          <w:sz w:val="24"/>
          <w:szCs w:val="24"/>
        </w:rPr>
      </w:pPr>
      <w:r w:rsidRPr="00C34C61">
        <w:rPr>
          <w:rFonts w:ascii="Times New Roman" w:hAnsi="Times New Roman" w:cs="Times New Roman"/>
          <w:b/>
          <w:sz w:val="24"/>
          <w:szCs w:val="24"/>
        </w:rPr>
        <w:t xml:space="preserve">Art. 2 </w:t>
      </w:r>
      <w:r w:rsidRPr="00C34C61">
        <w:rPr>
          <w:rFonts w:ascii="Times New Roman" w:hAnsi="Times New Roman" w:cs="Times New Roman"/>
          <w:sz w:val="24"/>
          <w:szCs w:val="24"/>
        </w:rPr>
        <w:t>Operatorii economici din sectorul energiei electrice duc la îndeplinire prevederile prezentului ordin, iar entităţile organizatorice din cadrul Autorităţii Naţionale de Reglementare în Domeniul Energiei urmăresc respectarea prevederilor prezentului ordin.</w:t>
      </w:r>
    </w:p>
    <w:p w14:paraId="145971F2" w14:textId="569CA406" w:rsidR="00B41F4E" w:rsidRPr="00C34C61" w:rsidRDefault="00B41F4E" w:rsidP="00B41F4E">
      <w:pPr>
        <w:rPr>
          <w:rFonts w:ascii="Times New Roman" w:hAnsi="Times New Roman" w:cs="Times New Roman"/>
          <w:sz w:val="24"/>
          <w:szCs w:val="24"/>
        </w:rPr>
      </w:pPr>
      <w:r w:rsidRPr="00C34C61">
        <w:rPr>
          <w:rFonts w:ascii="Times New Roman" w:hAnsi="Times New Roman" w:cs="Times New Roman"/>
          <w:b/>
          <w:sz w:val="24"/>
          <w:szCs w:val="24"/>
        </w:rPr>
        <w:t>Art. 3</w:t>
      </w:r>
      <w:r w:rsidRPr="00C34C61">
        <w:rPr>
          <w:rFonts w:ascii="Times New Roman" w:hAnsi="Times New Roman" w:cs="Times New Roman"/>
          <w:sz w:val="24"/>
          <w:szCs w:val="24"/>
        </w:rPr>
        <w:t xml:space="preserve">  Prezentul ordin se publică în Monitorul Oficial al României, Partea I și intră în vigoare la data publicării.</w:t>
      </w:r>
    </w:p>
    <w:p w14:paraId="4675116D" w14:textId="77777777" w:rsidR="00B41F4E" w:rsidRPr="00C34C61" w:rsidRDefault="00B41F4E" w:rsidP="00B41F4E">
      <w:pPr>
        <w:rPr>
          <w:rFonts w:ascii="Times New Roman" w:hAnsi="Times New Roman" w:cs="Times New Roman"/>
          <w:b/>
          <w:bCs/>
          <w:sz w:val="24"/>
          <w:szCs w:val="24"/>
        </w:rPr>
      </w:pPr>
    </w:p>
    <w:p w14:paraId="142A6B80" w14:textId="77777777" w:rsidR="00B41F4E" w:rsidRPr="00C34C61" w:rsidRDefault="00B41F4E" w:rsidP="00B41F4E">
      <w:pPr>
        <w:rPr>
          <w:rFonts w:ascii="Times New Roman" w:hAnsi="Times New Roman" w:cs="Times New Roman"/>
          <w:b/>
          <w:bCs/>
          <w:sz w:val="24"/>
          <w:szCs w:val="24"/>
        </w:rPr>
      </w:pPr>
    </w:p>
    <w:p w14:paraId="3A6ACC5E" w14:textId="524D54EB" w:rsidR="00B41F4E" w:rsidRPr="00C34C61" w:rsidRDefault="00B41F4E" w:rsidP="00B41F4E">
      <w:pPr>
        <w:jc w:val="center"/>
        <w:rPr>
          <w:rFonts w:ascii="Times New Roman" w:hAnsi="Times New Roman" w:cs="Times New Roman"/>
          <w:b/>
          <w:bCs/>
          <w:sz w:val="24"/>
          <w:szCs w:val="24"/>
        </w:rPr>
      </w:pPr>
      <w:r w:rsidRPr="00C34C61">
        <w:rPr>
          <w:rFonts w:ascii="Times New Roman" w:hAnsi="Times New Roman" w:cs="Times New Roman"/>
          <w:b/>
          <w:bCs/>
          <w:sz w:val="24"/>
          <w:szCs w:val="24"/>
        </w:rPr>
        <w:t>Preşedintele Autorităţii Naţionale de Reglementare în Domeniul Energiei</w:t>
      </w:r>
    </w:p>
    <w:p w14:paraId="135EC01E" w14:textId="2621DFE0" w:rsidR="00FB7A99" w:rsidRPr="00C34C61" w:rsidRDefault="00B41F4E" w:rsidP="000C76EC">
      <w:pPr>
        <w:jc w:val="center"/>
        <w:rPr>
          <w:rFonts w:ascii="Times New Roman" w:hAnsi="Times New Roman" w:cs="Times New Roman"/>
          <w:b/>
          <w:bCs/>
          <w:sz w:val="24"/>
          <w:szCs w:val="24"/>
        </w:rPr>
      </w:pPr>
      <w:r w:rsidRPr="00C34C61">
        <w:rPr>
          <w:rFonts w:ascii="Times New Roman" w:hAnsi="Times New Roman" w:cs="Times New Roman"/>
          <w:b/>
          <w:bCs/>
          <w:sz w:val="24"/>
          <w:szCs w:val="24"/>
        </w:rPr>
        <w:t>George Sergiu Niculescu</w:t>
      </w:r>
    </w:p>
    <w:p w14:paraId="160543D8" w14:textId="77777777" w:rsidR="00182D94" w:rsidRPr="00C34C61" w:rsidRDefault="00182D94" w:rsidP="000C76EC">
      <w:pPr>
        <w:jc w:val="center"/>
        <w:rPr>
          <w:rFonts w:ascii="Times New Roman" w:hAnsi="Times New Roman" w:cs="Times New Roman"/>
          <w:b/>
          <w:bCs/>
          <w:sz w:val="24"/>
          <w:szCs w:val="24"/>
        </w:rPr>
      </w:pPr>
    </w:p>
    <w:p w14:paraId="5774DDA4" w14:textId="77777777" w:rsidR="00182D94" w:rsidRPr="00C34C61" w:rsidRDefault="00182D94" w:rsidP="000C76EC">
      <w:pPr>
        <w:jc w:val="center"/>
        <w:rPr>
          <w:rFonts w:ascii="Times New Roman" w:hAnsi="Times New Roman" w:cs="Times New Roman"/>
          <w:b/>
          <w:bCs/>
          <w:sz w:val="24"/>
          <w:szCs w:val="24"/>
        </w:rPr>
      </w:pPr>
    </w:p>
    <w:p w14:paraId="5EBF3769" w14:textId="77777777" w:rsidR="00486E0E" w:rsidRPr="00C34C61" w:rsidRDefault="00486E0E" w:rsidP="000C76EC">
      <w:pPr>
        <w:jc w:val="center"/>
        <w:rPr>
          <w:rFonts w:ascii="Times New Roman" w:hAnsi="Times New Roman" w:cs="Times New Roman"/>
          <w:b/>
          <w:bCs/>
          <w:sz w:val="24"/>
          <w:szCs w:val="24"/>
        </w:rPr>
      </w:pPr>
    </w:p>
    <w:p w14:paraId="104EA1BC" w14:textId="77777777" w:rsidR="00001E80" w:rsidRPr="00C34C61" w:rsidRDefault="00001E80" w:rsidP="000C76EC">
      <w:pPr>
        <w:jc w:val="center"/>
        <w:rPr>
          <w:rFonts w:ascii="Times New Roman" w:hAnsi="Times New Roman" w:cs="Times New Roman"/>
          <w:b/>
          <w:bCs/>
          <w:sz w:val="24"/>
          <w:szCs w:val="24"/>
        </w:rPr>
      </w:pPr>
    </w:p>
    <w:p w14:paraId="04DEFC49" w14:textId="77777777" w:rsidR="00001E80" w:rsidRPr="00C34C61" w:rsidRDefault="00001E80" w:rsidP="000C76EC">
      <w:pPr>
        <w:jc w:val="center"/>
        <w:rPr>
          <w:rFonts w:ascii="Times New Roman" w:hAnsi="Times New Roman" w:cs="Times New Roman"/>
          <w:b/>
          <w:bCs/>
          <w:sz w:val="24"/>
          <w:szCs w:val="24"/>
        </w:rPr>
      </w:pPr>
    </w:p>
    <w:p w14:paraId="5A5D62EF" w14:textId="5AB712BA" w:rsidR="00182D94" w:rsidRPr="00C34C61" w:rsidRDefault="00182D94" w:rsidP="00182D94">
      <w:pPr>
        <w:rPr>
          <w:rFonts w:ascii="Times New Roman" w:hAnsi="Times New Roman" w:cs="Times New Roman"/>
          <w:b/>
          <w:bCs/>
          <w:sz w:val="24"/>
          <w:szCs w:val="24"/>
        </w:rPr>
      </w:pPr>
      <w:r w:rsidRPr="00C34C61">
        <w:rPr>
          <w:rFonts w:ascii="Times New Roman" w:hAnsi="Times New Roman" w:cs="Times New Roman"/>
          <w:b/>
          <w:bCs/>
          <w:sz w:val="24"/>
          <w:szCs w:val="24"/>
        </w:rPr>
        <w:lastRenderedPageBreak/>
        <w:tab/>
      </w:r>
      <w:r w:rsidRPr="00C34C61">
        <w:rPr>
          <w:rFonts w:ascii="Times New Roman" w:hAnsi="Times New Roman" w:cs="Times New Roman"/>
          <w:b/>
          <w:bCs/>
          <w:sz w:val="24"/>
          <w:szCs w:val="24"/>
        </w:rPr>
        <w:tab/>
      </w:r>
      <w:r w:rsidRPr="00C34C61">
        <w:rPr>
          <w:rFonts w:ascii="Times New Roman" w:hAnsi="Times New Roman" w:cs="Times New Roman"/>
          <w:b/>
          <w:bCs/>
          <w:sz w:val="24"/>
          <w:szCs w:val="24"/>
        </w:rPr>
        <w:tab/>
      </w:r>
      <w:r w:rsidRPr="00C34C61">
        <w:rPr>
          <w:rFonts w:ascii="Times New Roman" w:hAnsi="Times New Roman" w:cs="Times New Roman"/>
          <w:b/>
          <w:bCs/>
          <w:sz w:val="24"/>
          <w:szCs w:val="24"/>
        </w:rPr>
        <w:tab/>
      </w:r>
      <w:r w:rsidRPr="00C34C61">
        <w:rPr>
          <w:rFonts w:ascii="Times New Roman" w:hAnsi="Times New Roman" w:cs="Times New Roman"/>
          <w:b/>
          <w:bCs/>
          <w:sz w:val="24"/>
          <w:szCs w:val="24"/>
        </w:rPr>
        <w:tab/>
      </w:r>
      <w:r w:rsidRPr="00C34C61">
        <w:rPr>
          <w:rFonts w:ascii="Times New Roman" w:hAnsi="Times New Roman" w:cs="Times New Roman"/>
          <w:b/>
          <w:bCs/>
          <w:sz w:val="24"/>
          <w:szCs w:val="24"/>
        </w:rPr>
        <w:tab/>
      </w:r>
      <w:r w:rsidRPr="00C34C61">
        <w:rPr>
          <w:rFonts w:ascii="Times New Roman" w:hAnsi="Times New Roman" w:cs="Times New Roman"/>
          <w:b/>
          <w:bCs/>
          <w:sz w:val="24"/>
          <w:szCs w:val="24"/>
        </w:rPr>
        <w:tab/>
      </w:r>
      <w:r w:rsidRPr="00C34C61">
        <w:rPr>
          <w:rFonts w:ascii="Times New Roman" w:hAnsi="Times New Roman" w:cs="Times New Roman"/>
          <w:b/>
          <w:bCs/>
          <w:sz w:val="24"/>
          <w:szCs w:val="24"/>
        </w:rPr>
        <w:tab/>
      </w:r>
      <w:r w:rsidRPr="00C34C61">
        <w:rPr>
          <w:rFonts w:ascii="Times New Roman" w:hAnsi="Times New Roman" w:cs="Times New Roman"/>
          <w:b/>
          <w:bCs/>
          <w:sz w:val="24"/>
          <w:szCs w:val="24"/>
        </w:rPr>
        <w:tab/>
      </w:r>
      <w:r w:rsidRPr="00C34C61">
        <w:rPr>
          <w:rFonts w:ascii="Times New Roman" w:hAnsi="Times New Roman" w:cs="Times New Roman"/>
          <w:b/>
          <w:bCs/>
          <w:sz w:val="24"/>
          <w:szCs w:val="24"/>
        </w:rPr>
        <w:tab/>
        <w:t>Anexă</w:t>
      </w:r>
    </w:p>
    <w:p w14:paraId="1EA70507" w14:textId="44CEEBB8" w:rsidR="00182D94" w:rsidRPr="00C34C61" w:rsidRDefault="00182D94" w:rsidP="00182D94">
      <w:pPr>
        <w:jc w:val="center"/>
        <w:rPr>
          <w:rFonts w:ascii="Times New Roman" w:hAnsi="Times New Roman" w:cs="Times New Roman"/>
          <w:b/>
          <w:sz w:val="24"/>
          <w:szCs w:val="24"/>
        </w:rPr>
      </w:pPr>
      <w:r w:rsidRPr="00C34C61">
        <w:rPr>
          <w:rFonts w:ascii="Times New Roman" w:hAnsi="Times New Roman" w:cs="Times New Roman"/>
          <w:b/>
          <w:sz w:val="24"/>
          <w:szCs w:val="24"/>
        </w:rPr>
        <w:t xml:space="preserve">Norme metodologice privind </w:t>
      </w:r>
    </w:p>
    <w:p w14:paraId="38524656" w14:textId="0E757670" w:rsidR="00B07F7C" w:rsidRPr="00C34C61" w:rsidRDefault="00B07F7C" w:rsidP="00B07F7C">
      <w:pPr>
        <w:jc w:val="center"/>
        <w:rPr>
          <w:rFonts w:ascii="Times New Roman" w:hAnsi="Times New Roman" w:cs="Times New Roman"/>
          <w:i/>
          <w:iCs/>
          <w:sz w:val="24"/>
          <w:szCs w:val="24"/>
        </w:rPr>
      </w:pPr>
      <w:r w:rsidRPr="00C34C61">
        <w:rPr>
          <w:rFonts w:ascii="Times New Roman" w:hAnsi="Times New Roman" w:cs="Times New Roman"/>
          <w:b/>
          <w:sz w:val="24"/>
          <w:szCs w:val="24"/>
        </w:rPr>
        <w:t xml:space="preserve">exceptarea de la plata tarifelor reglementate aplicate de către operatorii de rețea din domeniul energiei electrice pentru energia electrică </w:t>
      </w:r>
      <w:r w:rsidR="002A5F78" w:rsidRPr="00C34C61">
        <w:rPr>
          <w:rFonts w:ascii="Times New Roman" w:hAnsi="Times New Roman" w:cs="Times New Roman"/>
          <w:b/>
          <w:sz w:val="24"/>
          <w:szCs w:val="24"/>
        </w:rPr>
        <w:t>stocată</w:t>
      </w:r>
      <w:r w:rsidR="0093359E" w:rsidRPr="00C34C61">
        <w:rPr>
          <w:rFonts w:ascii="Times New Roman" w:hAnsi="Times New Roman" w:cs="Times New Roman"/>
          <w:b/>
          <w:sz w:val="24"/>
          <w:szCs w:val="24"/>
        </w:rPr>
        <w:t>, extras</w:t>
      </w:r>
      <w:r w:rsidR="00140639" w:rsidRPr="00C34C61">
        <w:rPr>
          <w:rFonts w:ascii="Times New Roman" w:hAnsi="Times New Roman" w:cs="Times New Roman"/>
          <w:b/>
          <w:sz w:val="24"/>
          <w:szCs w:val="24"/>
        </w:rPr>
        <w:t>ă</w:t>
      </w:r>
      <w:r w:rsidR="0093359E" w:rsidRPr="00C34C61">
        <w:rPr>
          <w:rFonts w:ascii="Times New Roman" w:hAnsi="Times New Roman" w:cs="Times New Roman"/>
          <w:b/>
          <w:sz w:val="24"/>
          <w:szCs w:val="24"/>
        </w:rPr>
        <w:t xml:space="preserve"> din retea</w:t>
      </w:r>
    </w:p>
    <w:p w14:paraId="4F8D8DE1" w14:textId="77777777" w:rsidR="00E739B5" w:rsidRPr="00C34C61" w:rsidRDefault="009B654A" w:rsidP="009B654A">
      <w:pPr>
        <w:jc w:val="both"/>
        <w:rPr>
          <w:rFonts w:ascii="Times New Roman" w:hAnsi="Times New Roman" w:cs="Times New Roman"/>
          <w:b/>
          <w:bCs/>
          <w:sz w:val="24"/>
          <w:szCs w:val="24"/>
          <w:lang w:val="en-US"/>
        </w:rPr>
      </w:pPr>
      <w:r w:rsidRPr="00C34C61">
        <w:rPr>
          <w:rFonts w:ascii="Times New Roman" w:hAnsi="Times New Roman" w:cs="Times New Roman"/>
          <w:b/>
          <w:bCs/>
          <w:sz w:val="24"/>
          <w:szCs w:val="24"/>
          <w:lang w:val="en-US"/>
        </w:rPr>
        <w:t xml:space="preserve">Articolul 1 </w:t>
      </w:r>
    </w:p>
    <w:p w14:paraId="139E9085" w14:textId="13E38715" w:rsidR="009B654A" w:rsidRPr="00C34C61" w:rsidRDefault="009B654A" w:rsidP="009B654A">
      <w:pPr>
        <w:jc w:val="both"/>
        <w:rPr>
          <w:rStyle w:val="slitbdy"/>
          <w:rFonts w:ascii="Times New Roman" w:eastAsia="Times New Roman" w:hAnsi="Times New Roman" w:cs="Times New Roman"/>
          <w:color w:val="auto"/>
          <w:sz w:val="24"/>
          <w:szCs w:val="24"/>
        </w:rPr>
      </w:pPr>
      <w:r w:rsidRPr="00C34C61">
        <w:rPr>
          <w:rStyle w:val="slitbdy"/>
          <w:rFonts w:ascii="Times New Roman" w:eastAsia="Times New Roman" w:hAnsi="Times New Roman" w:cs="Times New Roman"/>
          <w:color w:val="auto"/>
          <w:sz w:val="24"/>
          <w:szCs w:val="24"/>
        </w:rPr>
        <w:t xml:space="preserve">Prezentele norme metodologice completează prevederile </w:t>
      </w:r>
      <w:hyperlink w:history="1">
        <w:r w:rsidRPr="00C34C61">
          <w:rPr>
            <w:rStyle w:val="slitbdy"/>
            <w:rFonts w:ascii="Times New Roman" w:eastAsia="Times New Roman" w:hAnsi="Times New Roman" w:cs="Times New Roman"/>
            <w:color w:val="auto"/>
            <w:sz w:val="24"/>
            <w:szCs w:val="24"/>
          </w:rPr>
          <w:t>Metodologiei</w:t>
        </w:r>
      </w:hyperlink>
      <w:r w:rsidRPr="00C34C61">
        <w:rPr>
          <w:rStyle w:val="slitbdy"/>
          <w:rFonts w:ascii="Times New Roman" w:eastAsia="Times New Roman" w:hAnsi="Times New Roman" w:cs="Times New Roman"/>
          <w:color w:val="auto"/>
          <w:sz w:val="24"/>
          <w:szCs w:val="24"/>
        </w:rPr>
        <w:t xml:space="preserve"> de stabilire a tarifelor pentru serviciul de transport al energiei electrice, aprobată prin </w:t>
      </w:r>
      <w:hyperlink w:history="1">
        <w:r w:rsidRPr="00C34C61">
          <w:rPr>
            <w:rStyle w:val="slitbdy"/>
            <w:rFonts w:ascii="Times New Roman" w:eastAsia="Times New Roman" w:hAnsi="Times New Roman" w:cs="Times New Roman"/>
            <w:color w:val="auto"/>
            <w:sz w:val="24"/>
            <w:szCs w:val="24"/>
          </w:rPr>
          <w:t>Ordinul preşedintelui Autorităţii Naţionale de Reglementare în Domeniul Energiei nr. 68/2024</w:t>
        </w:r>
      </w:hyperlink>
      <w:r w:rsidRPr="00C34C61">
        <w:rPr>
          <w:rStyle w:val="slitbdy"/>
          <w:rFonts w:ascii="Times New Roman" w:eastAsia="Times New Roman" w:hAnsi="Times New Roman" w:cs="Times New Roman"/>
          <w:color w:val="auto"/>
          <w:sz w:val="24"/>
          <w:szCs w:val="24"/>
        </w:rPr>
        <w:t>, ale  Metodologiei de stabilire a tarifului pentru achiziția serviciilor de sistem, aprobată prin Ordinul preşedintelui Autorităţii Naţionale de Reglementare în Domeniul Energiei nr. 116/2022</w:t>
      </w:r>
      <w:r w:rsidR="003A617B" w:rsidRPr="00C34C61">
        <w:rPr>
          <w:rStyle w:val="slitbdy"/>
          <w:rFonts w:ascii="Times New Roman" w:eastAsia="Times New Roman" w:hAnsi="Times New Roman" w:cs="Times New Roman"/>
          <w:color w:val="auto"/>
          <w:sz w:val="24"/>
          <w:szCs w:val="24"/>
        </w:rPr>
        <w:t>,</w:t>
      </w:r>
      <w:r w:rsidRPr="00C34C61">
        <w:rPr>
          <w:rStyle w:val="slitbdy"/>
          <w:rFonts w:ascii="Times New Roman" w:eastAsia="Times New Roman" w:hAnsi="Times New Roman" w:cs="Times New Roman"/>
          <w:color w:val="auto"/>
          <w:sz w:val="24"/>
          <w:szCs w:val="24"/>
        </w:rPr>
        <w:t xml:space="preserve"> ale </w:t>
      </w:r>
      <w:hyperlink w:history="1">
        <w:r w:rsidRPr="00C34C61">
          <w:rPr>
            <w:rStyle w:val="slitbdy"/>
            <w:rFonts w:ascii="Times New Roman" w:eastAsia="Times New Roman" w:hAnsi="Times New Roman" w:cs="Times New Roman"/>
            <w:color w:val="auto"/>
            <w:sz w:val="24"/>
            <w:szCs w:val="24"/>
          </w:rPr>
          <w:t>Metodologiei</w:t>
        </w:r>
      </w:hyperlink>
      <w:r w:rsidRPr="00C34C61">
        <w:rPr>
          <w:rStyle w:val="slitbdy"/>
          <w:rFonts w:ascii="Times New Roman" w:eastAsia="Times New Roman" w:hAnsi="Times New Roman" w:cs="Times New Roman"/>
          <w:color w:val="auto"/>
          <w:sz w:val="24"/>
          <w:szCs w:val="24"/>
        </w:rPr>
        <w:t xml:space="preserve"> de stabilire a tarifelor pentru serviciul de distribuţie a energiei electrice, aprobată prin </w:t>
      </w:r>
      <w:hyperlink w:history="1">
        <w:r w:rsidRPr="00C34C61">
          <w:rPr>
            <w:rStyle w:val="slitbdy"/>
            <w:rFonts w:ascii="Times New Roman" w:eastAsia="Times New Roman" w:hAnsi="Times New Roman" w:cs="Times New Roman"/>
            <w:color w:val="auto"/>
            <w:sz w:val="24"/>
            <w:szCs w:val="24"/>
          </w:rPr>
          <w:t>Ordinul preşedintelui Autorităţii Naţionale de Reglementare în Domeniul Energiei nr. 67/2024</w:t>
        </w:r>
      </w:hyperlink>
      <w:r w:rsidR="003A617B" w:rsidRPr="00C34C61">
        <w:rPr>
          <w:rFonts w:ascii="Times New Roman" w:hAnsi="Times New Roman" w:cs="Times New Roman"/>
          <w:sz w:val="24"/>
          <w:szCs w:val="24"/>
        </w:rPr>
        <w:t xml:space="preserve"> și ale Metodologiei de stabilire a tarifelor pentru serviciul de distribuţie a energiei electrice de operatori, alţii decât operatorii de distribuţie concesionari, aprobată prin </w:t>
      </w:r>
      <w:hyperlink w:history="1">
        <w:r w:rsidR="003A617B" w:rsidRPr="00C34C61">
          <w:rPr>
            <w:rStyle w:val="slitbdy"/>
            <w:rFonts w:ascii="Times New Roman" w:eastAsia="Times New Roman" w:hAnsi="Times New Roman" w:cs="Times New Roman"/>
            <w:color w:val="auto"/>
            <w:sz w:val="24"/>
            <w:szCs w:val="24"/>
          </w:rPr>
          <w:t>Ordinul preşedintelui Autorităţii Naţionale de Reglementare în Domeniul Energiei nr. 102/20</w:t>
        </w:r>
      </w:hyperlink>
      <w:r w:rsidR="003A617B" w:rsidRPr="00C34C61">
        <w:rPr>
          <w:rFonts w:ascii="Times New Roman" w:hAnsi="Times New Roman" w:cs="Times New Roman"/>
          <w:sz w:val="24"/>
          <w:szCs w:val="24"/>
        </w:rPr>
        <w:t>16, cu modificările și completările ulterioare</w:t>
      </w:r>
      <w:r w:rsidRPr="00C34C61">
        <w:rPr>
          <w:rStyle w:val="slitbdy"/>
          <w:rFonts w:ascii="Times New Roman" w:eastAsia="Times New Roman" w:hAnsi="Times New Roman" w:cs="Times New Roman"/>
          <w:color w:val="auto"/>
          <w:sz w:val="24"/>
          <w:szCs w:val="24"/>
        </w:rPr>
        <w:t>.</w:t>
      </w:r>
    </w:p>
    <w:p w14:paraId="14244D9A" w14:textId="77777777" w:rsidR="00E739B5" w:rsidRPr="00C34C61" w:rsidRDefault="009B654A" w:rsidP="009B654A">
      <w:pPr>
        <w:jc w:val="both"/>
        <w:rPr>
          <w:rFonts w:ascii="Times New Roman" w:hAnsi="Times New Roman" w:cs="Times New Roman"/>
          <w:b/>
          <w:bCs/>
          <w:sz w:val="24"/>
          <w:szCs w:val="24"/>
          <w:lang w:val="en-US"/>
        </w:rPr>
      </w:pPr>
      <w:r w:rsidRPr="00C34C61">
        <w:rPr>
          <w:rFonts w:ascii="Times New Roman" w:hAnsi="Times New Roman" w:cs="Times New Roman"/>
          <w:b/>
          <w:bCs/>
          <w:sz w:val="24"/>
          <w:szCs w:val="24"/>
          <w:lang w:val="en-US"/>
        </w:rPr>
        <w:t xml:space="preserve">Articolul 2 </w:t>
      </w:r>
    </w:p>
    <w:p w14:paraId="07E0DE18" w14:textId="1C1668F3" w:rsidR="009B654A" w:rsidRPr="00C34C61" w:rsidRDefault="009B654A" w:rsidP="009B654A">
      <w:pPr>
        <w:jc w:val="both"/>
        <w:rPr>
          <w:rStyle w:val="slitbdy"/>
          <w:rFonts w:ascii="Times New Roman" w:eastAsia="Times New Roman" w:hAnsi="Times New Roman" w:cs="Times New Roman"/>
          <w:color w:val="auto"/>
          <w:sz w:val="24"/>
          <w:szCs w:val="24"/>
        </w:rPr>
      </w:pPr>
      <w:r w:rsidRPr="00C34C61">
        <w:rPr>
          <w:rStyle w:val="slitbdy"/>
          <w:rFonts w:ascii="Times New Roman" w:eastAsia="Times New Roman" w:hAnsi="Times New Roman" w:cs="Times New Roman"/>
          <w:color w:val="auto"/>
          <w:sz w:val="24"/>
          <w:szCs w:val="24"/>
        </w:rPr>
        <w:t>Prezentele norme metodologice se aplică de operatorul de transport şi de sistem</w:t>
      </w:r>
      <w:r w:rsidR="003338B7" w:rsidRPr="00C34C61">
        <w:rPr>
          <w:rStyle w:val="slitbdy"/>
          <w:rFonts w:ascii="Times New Roman" w:eastAsia="Times New Roman" w:hAnsi="Times New Roman" w:cs="Times New Roman"/>
          <w:color w:val="auto"/>
          <w:sz w:val="24"/>
          <w:szCs w:val="24"/>
        </w:rPr>
        <w:t xml:space="preserve"> și</w:t>
      </w:r>
      <w:r w:rsidR="00CF1A3B" w:rsidRPr="00C34C61">
        <w:rPr>
          <w:rStyle w:val="slitbdy"/>
          <w:rFonts w:ascii="Times New Roman" w:eastAsia="Times New Roman" w:hAnsi="Times New Roman" w:cs="Times New Roman"/>
          <w:color w:val="auto"/>
          <w:sz w:val="24"/>
          <w:szCs w:val="24"/>
        </w:rPr>
        <w:t xml:space="preserve"> </w:t>
      </w:r>
      <w:r w:rsidRPr="00C34C61">
        <w:rPr>
          <w:rStyle w:val="slitbdy"/>
          <w:rFonts w:ascii="Times New Roman" w:eastAsia="Times New Roman" w:hAnsi="Times New Roman" w:cs="Times New Roman"/>
          <w:color w:val="auto"/>
          <w:sz w:val="24"/>
          <w:szCs w:val="24"/>
        </w:rPr>
        <w:t xml:space="preserve">de operatorii de distribuţie </w:t>
      </w:r>
      <w:r w:rsidR="008E367E" w:rsidRPr="00C34C61">
        <w:rPr>
          <w:rStyle w:val="slitbdy"/>
          <w:rFonts w:ascii="Times New Roman" w:eastAsia="Times New Roman" w:hAnsi="Times New Roman" w:cs="Times New Roman"/>
          <w:color w:val="auto"/>
          <w:sz w:val="24"/>
          <w:szCs w:val="24"/>
        </w:rPr>
        <w:t>din domeniul energiei electrice</w:t>
      </w:r>
      <w:r w:rsidR="00B07F7C" w:rsidRPr="00C34C61">
        <w:rPr>
          <w:rStyle w:val="slitbdy"/>
          <w:rFonts w:ascii="Times New Roman" w:eastAsia="Times New Roman" w:hAnsi="Times New Roman" w:cs="Times New Roman"/>
          <w:color w:val="auto"/>
          <w:sz w:val="24"/>
          <w:szCs w:val="24"/>
        </w:rPr>
        <w:t>.</w:t>
      </w:r>
      <w:r w:rsidR="00843E3D" w:rsidRPr="00C34C61">
        <w:rPr>
          <w:rStyle w:val="slitbdy"/>
          <w:rFonts w:ascii="Times New Roman" w:eastAsia="Times New Roman" w:hAnsi="Times New Roman" w:cs="Times New Roman"/>
          <w:color w:val="auto"/>
          <w:sz w:val="24"/>
          <w:szCs w:val="24"/>
        </w:rPr>
        <w:t xml:space="preserve"> </w:t>
      </w:r>
    </w:p>
    <w:p w14:paraId="220E7DA0" w14:textId="77777777" w:rsidR="00E739B5" w:rsidRPr="00C34C61" w:rsidRDefault="00FA6607" w:rsidP="00B96BF2">
      <w:pPr>
        <w:jc w:val="both"/>
        <w:rPr>
          <w:rFonts w:ascii="Times New Roman" w:hAnsi="Times New Roman" w:cs="Times New Roman"/>
          <w:b/>
          <w:bCs/>
          <w:sz w:val="24"/>
          <w:szCs w:val="24"/>
          <w:lang w:val="en-US"/>
        </w:rPr>
      </w:pPr>
      <w:r w:rsidRPr="00C34C61">
        <w:rPr>
          <w:rFonts w:ascii="Times New Roman" w:hAnsi="Times New Roman" w:cs="Times New Roman"/>
          <w:b/>
          <w:bCs/>
          <w:sz w:val="24"/>
          <w:szCs w:val="24"/>
          <w:lang w:val="en-US"/>
        </w:rPr>
        <w:t xml:space="preserve">Articolul 3 </w:t>
      </w:r>
    </w:p>
    <w:p w14:paraId="56D8CDA4" w14:textId="1931AEE0" w:rsidR="00B96BF2" w:rsidRPr="00C34C61" w:rsidRDefault="00B96BF2" w:rsidP="00B96BF2">
      <w:pPr>
        <w:jc w:val="both"/>
        <w:rPr>
          <w:rFonts w:ascii="Times New Roman" w:hAnsi="Times New Roman" w:cs="Times New Roman"/>
          <w:sz w:val="24"/>
          <w:szCs w:val="24"/>
          <w:lang w:val="en-US"/>
        </w:rPr>
      </w:pPr>
      <w:r w:rsidRPr="00C34C61">
        <w:rPr>
          <w:rFonts w:ascii="Times New Roman" w:hAnsi="Times New Roman" w:cs="Times New Roman"/>
          <w:sz w:val="24"/>
          <w:szCs w:val="24"/>
          <w:lang w:val="en-US"/>
        </w:rPr>
        <w:t>În înţelesul prezentelor norme metodologice, următorii termeni</w:t>
      </w:r>
      <w:r w:rsidR="00AF1816" w:rsidRPr="00C34C61">
        <w:rPr>
          <w:rFonts w:ascii="Times New Roman" w:hAnsi="Times New Roman" w:cs="Times New Roman"/>
          <w:sz w:val="24"/>
          <w:szCs w:val="24"/>
          <w:lang w:val="en-US"/>
        </w:rPr>
        <w:t xml:space="preserve"> și abrevieri</w:t>
      </w:r>
      <w:r w:rsidRPr="00C34C61">
        <w:rPr>
          <w:rFonts w:ascii="Times New Roman" w:hAnsi="Times New Roman" w:cs="Times New Roman"/>
          <w:sz w:val="24"/>
          <w:szCs w:val="24"/>
          <w:lang w:val="en-US"/>
        </w:rPr>
        <w:t xml:space="preserve"> au următoarele semnificaţii:</w:t>
      </w:r>
    </w:p>
    <w:p w14:paraId="0E993167" w14:textId="6A19F9A6" w:rsidR="00AF1816" w:rsidRPr="00C34C61" w:rsidRDefault="00AF1816" w:rsidP="00AF1816">
      <w:pPr>
        <w:pStyle w:val="ListParagraph"/>
        <w:numPr>
          <w:ilvl w:val="0"/>
          <w:numId w:val="3"/>
        </w:numPr>
        <w:jc w:val="both"/>
        <w:rPr>
          <w:rFonts w:ascii="Times New Roman" w:hAnsi="Times New Roman" w:cs="Times New Roman"/>
          <w:sz w:val="24"/>
          <w:szCs w:val="24"/>
          <w:lang w:val="en-US"/>
        </w:rPr>
      </w:pPr>
      <w:r w:rsidRPr="00C34C61">
        <w:rPr>
          <w:rFonts w:ascii="Times New Roman" w:hAnsi="Times New Roman" w:cs="Times New Roman"/>
          <w:sz w:val="24"/>
          <w:szCs w:val="24"/>
          <w:lang w:val="en-US"/>
        </w:rPr>
        <w:t>Definiții</w:t>
      </w:r>
    </w:p>
    <w:tbl>
      <w:tblPr>
        <w:tblStyle w:val="TableGrid"/>
        <w:tblW w:w="0" w:type="auto"/>
        <w:tblLook w:val="04A0" w:firstRow="1" w:lastRow="0" w:firstColumn="1" w:lastColumn="0" w:noHBand="0" w:noVBand="1"/>
      </w:tblPr>
      <w:tblGrid>
        <w:gridCol w:w="4675"/>
        <w:gridCol w:w="4675"/>
      </w:tblGrid>
      <w:tr w:rsidR="001D4BA3" w:rsidRPr="00C34C61" w14:paraId="0E350356" w14:textId="77777777" w:rsidTr="00AF1816">
        <w:tc>
          <w:tcPr>
            <w:tcW w:w="4675" w:type="dxa"/>
          </w:tcPr>
          <w:p w14:paraId="7CD93922" w14:textId="2B6F2733" w:rsidR="00AF1816" w:rsidRPr="00C34C61" w:rsidRDefault="001D4BAB" w:rsidP="00212F30">
            <w:pPr>
              <w:jc w:val="both"/>
              <w:rPr>
                <w:rFonts w:ascii="Times New Roman" w:hAnsi="Times New Roman" w:cs="Times New Roman"/>
                <w:sz w:val="24"/>
                <w:szCs w:val="24"/>
                <w:lang w:val="en-US"/>
              </w:rPr>
            </w:pPr>
            <w:r w:rsidRPr="00C34C61">
              <w:rPr>
                <w:rFonts w:ascii="Times New Roman" w:hAnsi="Times New Roman" w:cs="Times New Roman"/>
                <w:sz w:val="24"/>
                <w:szCs w:val="24"/>
              </w:rPr>
              <w:t>CPT</w:t>
            </w:r>
          </w:p>
        </w:tc>
        <w:tc>
          <w:tcPr>
            <w:tcW w:w="4675" w:type="dxa"/>
          </w:tcPr>
          <w:p w14:paraId="3471D63F" w14:textId="11D72376" w:rsidR="00AF1816" w:rsidRPr="00C34C61" w:rsidRDefault="001D4BAB">
            <w:pPr>
              <w:jc w:val="both"/>
              <w:rPr>
                <w:rFonts w:ascii="Times New Roman" w:hAnsi="Times New Roman" w:cs="Times New Roman"/>
                <w:sz w:val="24"/>
                <w:szCs w:val="24"/>
                <w:lang w:val="en-US"/>
              </w:rPr>
            </w:pPr>
            <w:r w:rsidRPr="00C34C61">
              <w:rPr>
                <w:rFonts w:ascii="Times New Roman" w:hAnsi="Times New Roman" w:cs="Times New Roman"/>
                <w:sz w:val="24"/>
                <w:szCs w:val="24"/>
              </w:rPr>
              <w:t>Consum propriu tehnologic</w:t>
            </w:r>
          </w:p>
        </w:tc>
      </w:tr>
      <w:tr w:rsidR="001D4BAB" w:rsidRPr="00C34C61" w14:paraId="2758E8AA" w14:textId="77777777" w:rsidTr="00AF1816">
        <w:tc>
          <w:tcPr>
            <w:tcW w:w="4675" w:type="dxa"/>
          </w:tcPr>
          <w:p w14:paraId="4B23D21F" w14:textId="3DF63FCE" w:rsidR="001D4BAB" w:rsidRPr="00C34C61" w:rsidRDefault="001D4BAB" w:rsidP="001D4BAB">
            <w:pPr>
              <w:jc w:val="both"/>
              <w:rPr>
                <w:rFonts w:ascii="Times New Roman" w:hAnsi="Times New Roman" w:cs="Times New Roman"/>
                <w:sz w:val="24"/>
                <w:szCs w:val="24"/>
              </w:rPr>
            </w:pPr>
            <w:r w:rsidRPr="00C34C61">
              <w:rPr>
                <w:rFonts w:ascii="Times New Roman" w:hAnsi="Times New Roman" w:cs="Times New Roman"/>
                <w:sz w:val="24"/>
                <w:szCs w:val="24"/>
              </w:rPr>
              <w:t>Energie electrică stocată</w:t>
            </w:r>
          </w:p>
        </w:tc>
        <w:tc>
          <w:tcPr>
            <w:tcW w:w="4675" w:type="dxa"/>
          </w:tcPr>
          <w:p w14:paraId="3840C1D5" w14:textId="2AFAA172" w:rsidR="001D4BAB" w:rsidRPr="00C34C61" w:rsidRDefault="001D4BAB" w:rsidP="001D4BAB">
            <w:pPr>
              <w:jc w:val="both"/>
              <w:rPr>
                <w:rFonts w:ascii="Times New Roman" w:hAnsi="Times New Roman" w:cs="Times New Roman"/>
                <w:sz w:val="24"/>
                <w:szCs w:val="24"/>
              </w:rPr>
            </w:pPr>
            <w:r w:rsidRPr="00C34C61">
              <w:rPr>
                <w:rFonts w:ascii="Times New Roman" w:hAnsi="Times New Roman" w:cs="Times New Roman"/>
                <w:sz w:val="24"/>
                <w:szCs w:val="24"/>
              </w:rPr>
              <w:t xml:space="preserve">Energia electricǎ extrasǎ din reţea şi stocată pentru o perioadă limitată de timp, urmată de evacuarea acesteia în reţeaua electrică din instalaţia de stocare, </w:t>
            </w:r>
            <w:r w:rsidRPr="00C34C61">
              <w:rPr>
                <w:rStyle w:val="spar3"/>
                <w:rFonts w:ascii="Times New Roman" w:hAnsi="Times New Roman" w:cs="Times New Roman"/>
                <w:color w:val="auto"/>
                <w:sz w:val="24"/>
                <w:szCs w:val="24"/>
                <w:specVanish w:val="0"/>
              </w:rPr>
              <w:t>inclusiv în cazul funcţionării în regim de pompaj a unei CHEAP,</w:t>
            </w:r>
            <w:r w:rsidRPr="00C34C61">
              <w:rPr>
                <w:rFonts w:ascii="Times New Roman" w:hAnsi="Times New Roman" w:cs="Times New Roman"/>
                <w:sz w:val="24"/>
                <w:szCs w:val="24"/>
              </w:rPr>
              <w:t xml:space="preserve"> care nu reprezintă consum final de energie electrică</w:t>
            </w:r>
          </w:p>
        </w:tc>
      </w:tr>
      <w:tr w:rsidR="001D4BA3" w:rsidRPr="00C34C61" w14:paraId="3C3E95C4" w14:textId="77777777" w:rsidTr="008156E5">
        <w:tc>
          <w:tcPr>
            <w:tcW w:w="4675" w:type="dxa"/>
          </w:tcPr>
          <w:p w14:paraId="4B4DC911" w14:textId="514C4811" w:rsidR="001D4BAB" w:rsidRPr="00C34C61" w:rsidRDefault="001D4BAB" w:rsidP="001D4BAB">
            <w:pPr>
              <w:jc w:val="both"/>
              <w:rPr>
                <w:rFonts w:ascii="Times New Roman" w:hAnsi="Times New Roman" w:cs="Times New Roman"/>
                <w:sz w:val="24"/>
                <w:szCs w:val="24"/>
                <w:lang w:val="en-US"/>
              </w:rPr>
            </w:pPr>
            <w:r w:rsidRPr="00C34C61">
              <w:rPr>
                <w:rFonts w:ascii="Times New Roman" w:hAnsi="Times New Roman" w:cs="Times New Roman"/>
                <w:sz w:val="24"/>
                <w:szCs w:val="24"/>
              </w:rPr>
              <w:t>Metodologii de stabilire a tarifelor de reţea</w:t>
            </w:r>
          </w:p>
        </w:tc>
        <w:tc>
          <w:tcPr>
            <w:tcW w:w="4675" w:type="dxa"/>
          </w:tcPr>
          <w:p w14:paraId="02276446" w14:textId="11A7BAE2" w:rsidR="001D4BAB" w:rsidRPr="00C34C61" w:rsidRDefault="001D4BAB" w:rsidP="001D4BAB">
            <w:pPr>
              <w:jc w:val="both"/>
              <w:rPr>
                <w:rFonts w:ascii="Times New Roman" w:hAnsi="Times New Roman" w:cs="Times New Roman"/>
                <w:sz w:val="24"/>
                <w:szCs w:val="24"/>
                <w:lang w:val="en-US"/>
              </w:rPr>
            </w:pPr>
            <w:r w:rsidRPr="00C34C61">
              <w:rPr>
                <w:rFonts w:ascii="Times New Roman" w:hAnsi="Times New Roman" w:cs="Times New Roman"/>
                <w:sz w:val="24"/>
                <w:szCs w:val="24"/>
              </w:rPr>
              <w:t>Metodologia de stabilire a tarifelor pentru serviciul de transport al energiei electrice, aprobată prin ordinul preşedintelui Autorității Naționale de Reglementare în Domeniul Energiei nr. 68/2024</w:t>
            </w:r>
            <w:r w:rsidR="00EB110A" w:rsidRPr="00C34C61">
              <w:rPr>
                <w:rFonts w:ascii="Times New Roman" w:hAnsi="Times New Roman" w:cs="Times New Roman"/>
                <w:sz w:val="24"/>
                <w:szCs w:val="24"/>
              </w:rPr>
              <w:t>,</w:t>
            </w:r>
            <w:r w:rsidRPr="00C34C61">
              <w:rPr>
                <w:rFonts w:ascii="Times New Roman" w:hAnsi="Times New Roman" w:cs="Times New Roman"/>
                <w:sz w:val="24"/>
                <w:szCs w:val="24"/>
              </w:rPr>
              <w:t xml:space="preserve"> Metodologia de stabilire a tarifelor pentru serviciul de distribuţie a energiei electrice, aprobată prin ordinul preşedintelui Autorității Naționale de </w:t>
            </w:r>
            <w:r w:rsidRPr="00C34C61">
              <w:rPr>
                <w:rFonts w:ascii="Times New Roman" w:hAnsi="Times New Roman" w:cs="Times New Roman"/>
                <w:sz w:val="24"/>
                <w:szCs w:val="24"/>
              </w:rPr>
              <w:lastRenderedPageBreak/>
              <w:t>Reglementare în Domeniul Energiei nr. 67/2024</w:t>
            </w:r>
            <w:r w:rsidR="00EB110A" w:rsidRPr="00C34C61">
              <w:rPr>
                <w:rFonts w:ascii="Times New Roman" w:hAnsi="Times New Roman" w:cs="Times New Roman"/>
                <w:sz w:val="24"/>
                <w:szCs w:val="24"/>
              </w:rPr>
              <w:t xml:space="preserve">, Metodologia de stabilire a tarifelor pentru serviciul de distribuţie a energiei electrice de operatori, alţii decât operatorii de distribuţie concesionari, aprobată prin </w:t>
            </w:r>
            <w:hyperlink w:history="1">
              <w:r w:rsidR="00EB110A" w:rsidRPr="00C34C61">
                <w:rPr>
                  <w:rStyle w:val="slitbdy"/>
                  <w:rFonts w:ascii="Times New Roman" w:eastAsia="Times New Roman" w:hAnsi="Times New Roman" w:cs="Times New Roman"/>
                  <w:color w:val="auto"/>
                  <w:sz w:val="24"/>
                  <w:szCs w:val="24"/>
                </w:rPr>
                <w:t>Ordinul preşedintelui Autorităţii Naţionale de Reglementare în Domeniul Energiei nr. 102/20</w:t>
              </w:r>
            </w:hyperlink>
            <w:r w:rsidR="00EB110A" w:rsidRPr="00C34C61">
              <w:rPr>
                <w:rFonts w:ascii="Times New Roman" w:hAnsi="Times New Roman" w:cs="Times New Roman"/>
                <w:sz w:val="24"/>
                <w:szCs w:val="24"/>
              </w:rPr>
              <w:t>16, cu modificările și completările ulterioare</w:t>
            </w:r>
          </w:p>
        </w:tc>
      </w:tr>
      <w:tr w:rsidR="001D4BA3" w:rsidRPr="00C34C61" w14:paraId="652B66A7" w14:textId="77777777" w:rsidTr="008F4242">
        <w:tc>
          <w:tcPr>
            <w:tcW w:w="4675" w:type="dxa"/>
          </w:tcPr>
          <w:p w14:paraId="4C694C48" w14:textId="77777777" w:rsidR="001D4BAB" w:rsidRPr="00C34C61" w:rsidRDefault="001D4BAB" w:rsidP="001D4BAB">
            <w:pPr>
              <w:jc w:val="both"/>
              <w:rPr>
                <w:rFonts w:ascii="Times New Roman" w:hAnsi="Times New Roman" w:cs="Times New Roman"/>
                <w:sz w:val="24"/>
                <w:szCs w:val="24"/>
              </w:rPr>
            </w:pPr>
            <w:r w:rsidRPr="00C34C61">
              <w:rPr>
                <w:rFonts w:ascii="Times New Roman" w:hAnsi="Times New Roman" w:cs="Times New Roman"/>
                <w:sz w:val="24"/>
                <w:szCs w:val="24"/>
              </w:rPr>
              <w:lastRenderedPageBreak/>
              <w:t>Operator de distribuție neconcesionar</w:t>
            </w:r>
          </w:p>
        </w:tc>
        <w:tc>
          <w:tcPr>
            <w:tcW w:w="4675" w:type="dxa"/>
          </w:tcPr>
          <w:p w14:paraId="7EA042B0" w14:textId="77777777" w:rsidR="001D4BAB" w:rsidRPr="00C34C61" w:rsidRDefault="001D4BAB" w:rsidP="001D4BAB">
            <w:pPr>
              <w:jc w:val="both"/>
              <w:rPr>
                <w:rFonts w:ascii="Times New Roman" w:hAnsi="Times New Roman" w:cs="Times New Roman"/>
                <w:sz w:val="24"/>
                <w:szCs w:val="24"/>
              </w:rPr>
            </w:pPr>
            <w:r w:rsidRPr="00C34C61">
              <w:rPr>
                <w:rFonts w:ascii="Times New Roman" w:hAnsi="Times New Roman" w:cs="Times New Roman"/>
                <w:sz w:val="24"/>
                <w:szCs w:val="24"/>
              </w:rPr>
              <w:t>Operator de distribuție, altul decât cei concesionari ai serviciului de distribuție a energiei electrice</w:t>
            </w:r>
          </w:p>
        </w:tc>
      </w:tr>
      <w:tr w:rsidR="001D4BA3" w:rsidRPr="00C34C61" w14:paraId="07DF28A3" w14:textId="77777777" w:rsidTr="00AF1816">
        <w:tc>
          <w:tcPr>
            <w:tcW w:w="4675" w:type="dxa"/>
          </w:tcPr>
          <w:p w14:paraId="5968821D" w14:textId="77777777" w:rsidR="001D4BAB" w:rsidRPr="00C34C61" w:rsidRDefault="001D4BAB" w:rsidP="001D4BAB">
            <w:pPr>
              <w:jc w:val="both"/>
              <w:rPr>
                <w:rFonts w:ascii="Times New Roman" w:hAnsi="Times New Roman" w:cs="Times New Roman"/>
                <w:sz w:val="24"/>
                <w:szCs w:val="24"/>
              </w:rPr>
            </w:pPr>
          </w:p>
          <w:p w14:paraId="22CDA28E" w14:textId="2E2EEDE0" w:rsidR="001D4BAB" w:rsidRPr="00C34C61" w:rsidRDefault="001D4BAB" w:rsidP="001D4BAB">
            <w:pPr>
              <w:jc w:val="both"/>
              <w:rPr>
                <w:rFonts w:ascii="Times New Roman" w:hAnsi="Times New Roman" w:cs="Times New Roman"/>
                <w:sz w:val="24"/>
                <w:szCs w:val="24"/>
                <w:lang w:val="en-US"/>
              </w:rPr>
            </w:pPr>
            <w:r w:rsidRPr="00C34C61">
              <w:rPr>
                <w:rFonts w:ascii="Times New Roman" w:hAnsi="Times New Roman" w:cs="Times New Roman"/>
                <w:sz w:val="24"/>
                <w:szCs w:val="24"/>
              </w:rPr>
              <w:t>Operatori de rețea</w:t>
            </w:r>
          </w:p>
        </w:tc>
        <w:tc>
          <w:tcPr>
            <w:tcW w:w="4675" w:type="dxa"/>
          </w:tcPr>
          <w:p w14:paraId="45E1F0C9" w14:textId="6501B731" w:rsidR="001D4BAB" w:rsidRPr="00C34C61" w:rsidRDefault="001D4BAB" w:rsidP="001D4BAB">
            <w:pPr>
              <w:jc w:val="both"/>
              <w:rPr>
                <w:rFonts w:ascii="Times New Roman" w:hAnsi="Times New Roman" w:cs="Times New Roman"/>
                <w:sz w:val="24"/>
                <w:szCs w:val="24"/>
                <w:lang w:val="en-US"/>
              </w:rPr>
            </w:pPr>
            <w:r w:rsidRPr="00C34C61">
              <w:rPr>
                <w:rFonts w:ascii="Times New Roman" w:hAnsi="Times New Roman" w:cs="Times New Roman"/>
                <w:sz w:val="24"/>
                <w:szCs w:val="24"/>
              </w:rPr>
              <w:t>Operatorul de transport și de sistem, operatorii de distribuţie concesionari din domeniul energiei electrice şi operatorii de distribuţie neconcesionari</w:t>
            </w:r>
          </w:p>
        </w:tc>
      </w:tr>
      <w:tr w:rsidR="001D4BA3" w:rsidRPr="00C34C61" w14:paraId="32A21D95" w14:textId="77777777" w:rsidTr="00AF1816">
        <w:tc>
          <w:tcPr>
            <w:tcW w:w="4675" w:type="dxa"/>
          </w:tcPr>
          <w:p w14:paraId="7F2BCADC" w14:textId="4B4D5C69" w:rsidR="001D4BAB" w:rsidRPr="00C34C61" w:rsidRDefault="001D4BAB" w:rsidP="001D4BAB">
            <w:pPr>
              <w:jc w:val="both"/>
              <w:rPr>
                <w:rFonts w:ascii="Times New Roman" w:hAnsi="Times New Roman" w:cs="Times New Roman"/>
                <w:sz w:val="24"/>
                <w:szCs w:val="24"/>
              </w:rPr>
            </w:pPr>
          </w:p>
        </w:tc>
        <w:tc>
          <w:tcPr>
            <w:tcW w:w="4675" w:type="dxa"/>
          </w:tcPr>
          <w:p w14:paraId="4E126464" w14:textId="71DF0B0C" w:rsidR="001D4BAB" w:rsidRPr="00C34C61" w:rsidRDefault="001D4BAB" w:rsidP="001D4BAB">
            <w:pPr>
              <w:jc w:val="both"/>
              <w:rPr>
                <w:rFonts w:ascii="Times New Roman" w:hAnsi="Times New Roman" w:cs="Times New Roman"/>
                <w:sz w:val="24"/>
                <w:szCs w:val="24"/>
              </w:rPr>
            </w:pPr>
          </w:p>
        </w:tc>
      </w:tr>
      <w:tr w:rsidR="001D4BA3" w:rsidRPr="00C34C61" w14:paraId="48E3F74A" w14:textId="77777777" w:rsidTr="00AF1816">
        <w:tc>
          <w:tcPr>
            <w:tcW w:w="4675" w:type="dxa"/>
          </w:tcPr>
          <w:p w14:paraId="1726B1FC" w14:textId="72D75116" w:rsidR="001D4BAB" w:rsidRPr="00C34C61" w:rsidRDefault="001D4BAB" w:rsidP="001D4BAB">
            <w:pPr>
              <w:jc w:val="both"/>
              <w:rPr>
                <w:rFonts w:ascii="Times New Roman" w:hAnsi="Times New Roman" w:cs="Times New Roman"/>
                <w:sz w:val="24"/>
                <w:szCs w:val="24"/>
                <w:lang w:val="en-US"/>
              </w:rPr>
            </w:pPr>
            <w:r w:rsidRPr="00C34C61">
              <w:rPr>
                <w:rFonts w:ascii="Times New Roman" w:hAnsi="Times New Roman" w:cs="Times New Roman"/>
                <w:sz w:val="24"/>
                <w:szCs w:val="24"/>
              </w:rPr>
              <w:t>Tarife reglementate</w:t>
            </w:r>
          </w:p>
        </w:tc>
        <w:tc>
          <w:tcPr>
            <w:tcW w:w="4675" w:type="dxa"/>
          </w:tcPr>
          <w:p w14:paraId="4286CFF0" w14:textId="68B03494" w:rsidR="001D4BAB" w:rsidRPr="00C34C61" w:rsidRDefault="001D4BAB" w:rsidP="001D4BAB">
            <w:pPr>
              <w:jc w:val="both"/>
              <w:rPr>
                <w:rFonts w:ascii="Times New Roman" w:hAnsi="Times New Roman" w:cs="Times New Roman"/>
                <w:sz w:val="24"/>
                <w:szCs w:val="24"/>
                <w:lang w:val="en-US"/>
              </w:rPr>
            </w:pPr>
            <w:r w:rsidRPr="00C34C61">
              <w:rPr>
                <w:rFonts w:ascii="Times New Roman" w:hAnsi="Times New Roman" w:cs="Times New Roman"/>
                <w:sz w:val="24"/>
                <w:szCs w:val="24"/>
              </w:rPr>
              <w:t xml:space="preserve">Tarife aprobate de ANRE conform legii şi reglementărilor, practicate de operatorii de rețea sau </w:t>
            </w:r>
            <w:r w:rsidR="00BE1C04" w:rsidRPr="00C34C61">
              <w:rPr>
                <w:rFonts w:ascii="Times New Roman" w:hAnsi="Times New Roman" w:cs="Times New Roman"/>
                <w:sz w:val="24"/>
                <w:szCs w:val="24"/>
              </w:rPr>
              <w:t xml:space="preserve">tarife aprobate </w:t>
            </w:r>
            <w:r w:rsidRPr="00C34C61">
              <w:rPr>
                <w:rFonts w:ascii="Times New Roman" w:hAnsi="Times New Roman" w:cs="Times New Roman"/>
                <w:sz w:val="24"/>
                <w:szCs w:val="24"/>
              </w:rPr>
              <w:t>de operatorii de distribuție neconcesionari conform legii și reglementărilor</w:t>
            </w:r>
          </w:p>
        </w:tc>
      </w:tr>
    </w:tbl>
    <w:p w14:paraId="3B990F57" w14:textId="77777777" w:rsidR="00AF1816" w:rsidRPr="00C34C61" w:rsidRDefault="00AF1816" w:rsidP="00AF1816">
      <w:pPr>
        <w:jc w:val="both"/>
        <w:rPr>
          <w:rFonts w:ascii="Times New Roman" w:hAnsi="Times New Roman" w:cs="Times New Roman"/>
          <w:sz w:val="24"/>
          <w:szCs w:val="24"/>
          <w:lang w:val="en-US"/>
        </w:rPr>
      </w:pPr>
    </w:p>
    <w:p w14:paraId="552EDE02" w14:textId="7EDA6CDC" w:rsidR="00AF1816" w:rsidRPr="00C34C61" w:rsidRDefault="00AF1816" w:rsidP="00AF1816">
      <w:pPr>
        <w:pStyle w:val="ListParagraph"/>
        <w:numPr>
          <w:ilvl w:val="0"/>
          <w:numId w:val="3"/>
        </w:numPr>
        <w:jc w:val="both"/>
        <w:rPr>
          <w:rFonts w:ascii="Times New Roman" w:hAnsi="Times New Roman" w:cs="Times New Roman"/>
          <w:sz w:val="24"/>
          <w:szCs w:val="24"/>
          <w:lang w:val="en-US"/>
        </w:rPr>
      </w:pPr>
      <w:r w:rsidRPr="00C34C61">
        <w:rPr>
          <w:rFonts w:ascii="Times New Roman" w:hAnsi="Times New Roman" w:cs="Times New Roman"/>
          <w:sz w:val="24"/>
          <w:szCs w:val="24"/>
          <w:lang w:val="en-US"/>
        </w:rPr>
        <w:t>Abrevieri</w:t>
      </w:r>
    </w:p>
    <w:tbl>
      <w:tblPr>
        <w:tblStyle w:val="TableGrid"/>
        <w:tblW w:w="0" w:type="auto"/>
        <w:tblLook w:val="04A0" w:firstRow="1" w:lastRow="0" w:firstColumn="1" w:lastColumn="0" w:noHBand="0" w:noVBand="1"/>
      </w:tblPr>
      <w:tblGrid>
        <w:gridCol w:w="2785"/>
        <w:gridCol w:w="6565"/>
      </w:tblGrid>
      <w:tr w:rsidR="001D4BA3" w:rsidRPr="00C34C61" w14:paraId="7463403B" w14:textId="77777777" w:rsidTr="001322DC">
        <w:tc>
          <w:tcPr>
            <w:tcW w:w="2785" w:type="dxa"/>
          </w:tcPr>
          <w:p w14:paraId="2F06BD4C" w14:textId="539533AB" w:rsidR="001322DC" w:rsidRPr="00C34C61" w:rsidRDefault="001322DC" w:rsidP="001322DC">
            <w:pPr>
              <w:jc w:val="both"/>
              <w:rPr>
                <w:rFonts w:ascii="Times New Roman" w:hAnsi="Times New Roman" w:cs="Times New Roman"/>
                <w:sz w:val="24"/>
                <w:szCs w:val="24"/>
                <w:lang w:val="en-US"/>
              </w:rPr>
            </w:pPr>
            <w:r w:rsidRPr="00C34C61">
              <w:rPr>
                <w:rFonts w:ascii="Times New Roman" w:hAnsi="Times New Roman" w:cs="Times New Roman"/>
                <w:sz w:val="24"/>
                <w:szCs w:val="24"/>
                <w:lang w:val="en-US"/>
              </w:rPr>
              <w:t>ANRE</w:t>
            </w:r>
          </w:p>
        </w:tc>
        <w:tc>
          <w:tcPr>
            <w:tcW w:w="6565" w:type="dxa"/>
          </w:tcPr>
          <w:p w14:paraId="3098E3AD" w14:textId="5E5E886B" w:rsidR="001322DC" w:rsidRPr="00C34C61" w:rsidRDefault="00EE16C9">
            <w:pPr>
              <w:jc w:val="both"/>
              <w:rPr>
                <w:rFonts w:ascii="Times New Roman" w:hAnsi="Times New Roman" w:cs="Times New Roman"/>
                <w:sz w:val="24"/>
                <w:szCs w:val="24"/>
                <w:lang w:val="en-US"/>
              </w:rPr>
            </w:pPr>
            <w:r w:rsidRPr="00C34C61">
              <w:rPr>
                <w:rFonts w:ascii="Times New Roman" w:hAnsi="Times New Roman" w:cs="Times New Roman"/>
                <w:sz w:val="24"/>
                <w:szCs w:val="24"/>
                <w:lang w:val="en-US"/>
              </w:rPr>
              <w:t>Autorităţii Naţionale de Reglementare în Domeniul Energiei</w:t>
            </w:r>
          </w:p>
        </w:tc>
      </w:tr>
      <w:tr w:rsidR="001322DC" w:rsidRPr="00C34C61" w14:paraId="2C8196EF" w14:textId="77777777" w:rsidTr="001322DC">
        <w:tc>
          <w:tcPr>
            <w:tcW w:w="2785" w:type="dxa"/>
          </w:tcPr>
          <w:p w14:paraId="1EA41637" w14:textId="32E8DDEC" w:rsidR="001322DC" w:rsidRPr="00C34C61" w:rsidRDefault="001322DC" w:rsidP="001322DC">
            <w:pPr>
              <w:jc w:val="both"/>
              <w:rPr>
                <w:rFonts w:ascii="Times New Roman" w:hAnsi="Times New Roman" w:cs="Times New Roman"/>
                <w:sz w:val="24"/>
                <w:szCs w:val="24"/>
                <w:lang w:val="en-US"/>
              </w:rPr>
            </w:pPr>
            <w:r w:rsidRPr="00C34C61">
              <w:rPr>
                <w:rFonts w:ascii="Times New Roman" w:hAnsi="Times New Roman" w:cs="Times New Roman"/>
                <w:sz w:val="24"/>
                <w:szCs w:val="24"/>
                <w:lang w:val="en-US"/>
              </w:rPr>
              <w:t>CHEAP</w:t>
            </w:r>
          </w:p>
        </w:tc>
        <w:tc>
          <w:tcPr>
            <w:tcW w:w="6565" w:type="dxa"/>
          </w:tcPr>
          <w:p w14:paraId="17F4FC59" w14:textId="262C1DAC" w:rsidR="001322DC" w:rsidRPr="00C34C61" w:rsidRDefault="001322DC" w:rsidP="001322DC">
            <w:pPr>
              <w:jc w:val="both"/>
              <w:rPr>
                <w:rFonts w:ascii="Times New Roman" w:hAnsi="Times New Roman" w:cs="Times New Roman"/>
                <w:sz w:val="24"/>
                <w:szCs w:val="24"/>
                <w:lang w:val="en-US"/>
              </w:rPr>
            </w:pPr>
            <w:r w:rsidRPr="00C34C61">
              <w:rPr>
                <w:rFonts w:ascii="Times New Roman" w:hAnsi="Times New Roman" w:cs="Times New Roman"/>
                <w:sz w:val="24"/>
                <w:szCs w:val="24"/>
                <w:lang w:val="en-US"/>
              </w:rPr>
              <w:t>Centrală hidroelectrică cu acumulare prin pompaj</w:t>
            </w:r>
          </w:p>
        </w:tc>
      </w:tr>
      <w:tr w:rsidR="00C14CB2" w:rsidRPr="00C34C61" w14:paraId="5689FBE8" w14:textId="77777777" w:rsidTr="001322DC">
        <w:tc>
          <w:tcPr>
            <w:tcW w:w="2785" w:type="dxa"/>
          </w:tcPr>
          <w:p w14:paraId="7DFA4203" w14:textId="302F3501" w:rsidR="00C14CB2" w:rsidRPr="00C34C61" w:rsidRDefault="00C14CB2" w:rsidP="001322DC">
            <w:pPr>
              <w:jc w:val="both"/>
              <w:rPr>
                <w:rFonts w:ascii="Times New Roman" w:hAnsi="Times New Roman" w:cs="Times New Roman"/>
                <w:sz w:val="24"/>
                <w:szCs w:val="24"/>
                <w:lang w:val="en-US"/>
              </w:rPr>
            </w:pPr>
            <w:r w:rsidRPr="00C34C61">
              <w:rPr>
                <w:rFonts w:ascii="Times New Roman" w:hAnsi="Times New Roman" w:cs="Times New Roman"/>
                <w:sz w:val="24"/>
                <w:szCs w:val="24"/>
              </w:rPr>
              <w:t>RED</w:t>
            </w:r>
          </w:p>
        </w:tc>
        <w:tc>
          <w:tcPr>
            <w:tcW w:w="6565" w:type="dxa"/>
          </w:tcPr>
          <w:p w14:paraId="04C361C2" w14:textId="65A61619" w:rsidR="00C14CB2" w:rsidRPr="00C34C61" w:rsidRDefault="00C14CB2" w:rsidP="001322DC">
            <w:pPr>
              <w:jc w:val="both"/>
              <w:rPr>
                <w:rFonts w:ascii="Times New Roman" w:hAnsi="Times New Roman" w:cs="Times New Roman"/>
                <w:sz w:val="24"/>
                <w:szCs w:val="24"/>
                <w:lang w:val="en-US"/>
              </w:rPr>
            </w:pPr>
            <w:r w:rsidRPr="00C34C61">
              <w:rPr>
                <w:rFonts w:ascii="Times New Roman" w:hAnsi="Times New Roman" w:cs="Times New Roman"/>
                <w:sz w:val="24"/>
                <w:szCs w:val="24"/>
              </w:rPr>
              <w:t>Rețea electrică de distribuție a energiei electrice</w:t>
            </w:r>
          </w:p>
        </w:tc>
      </w:tr>
    </w:tbl>
    <w:p w14:paraId="739089D0" w14:textId="77777777" w:rsidR="001322DC" w:rsidRPr="00C34C61" w:rsidRDefault="001322DC" w:rsidP="001322DC">
      <w:pPr>
        <w:jc w:val="both"/>
        <w:rPr>
          <w:rFonts w:ascii="Times New Roman" w:hAnsi="Times New Roman" w:cs="Times New Roman"/>
          <w:sz w:val="24"/>
          <w:szCs w:val="24"/>
          <w:lang w:val="en-US"/>
        </w:rPr>
      </w:pPr>
    </w:p>
    <w:p w14:paraId="4174E8A9" w14:textId="77777777" w:rsidR="00E739B5" w:rsidRPr="00C34C61" w:rsidRDefault="00FA6607" w:rsidP="00FA6607">
      <w:pPr>
        <w:jc w:val="both"/>
        <w:rPr>
          <w:rFonts w:ascii="Times New Roman" w:hAnsi="Times New Roman" w:cs="Times New Roman"/>
          <w:b/>
          <w:bCs/>
          <w:sz w:val="24"/>
          <w:szCs w:val="24"/>
          <w:lang w:val="en-US"/>
        </w:rPr>
      </w:pPr>
      <w:r w:rsidRPr="00C34C61">
        <w:rPr>
          <w:rFonts w:ascii="Times New Roman" w:hAnsi="Times New Roman" w:cs="Times New Roman"/>
          <w:b/>
          <w:bCs/>
          <w:sz w:val="24"/>
          <w:szCs w:val="24"/>
          <w:lang w:val="en-US"/>
        </w:rPr>
        <w:t xml:space="preserve">Articolul </w:t>
      </w:r>
      <w:r w:rsidR="002B0CC1" w:rsidRPr="00C34C61">
        <w:rPr>
          <w:rFonts w:ascii="Times New Roman" w:hAnsi="Times New Roman" w:cs="Times New Roman"/>
          <w:b/>
          <w:bCs/>
          <w:sz w:val="24"/>
          <w:szCs w:val="24"/>
          <w:lang w:val="en-US"/>
        </w:rPr>
        <w:t>4</w:t>
      </w:r>
      <w:r w:rsidRPr="00C34C61">
        <w:rPr>
          <w:rFonts w:ascii="Times New Roman" w:hAnsi="Times New Roman" w:cs="Times New Roman"/>
          <w:b/>
          <w:bCs/>
          <w:sz w:val="24"/>
          <w:szCs w:val="24"/>
          <w:lang w:val="en-US"/>
        </w:rPr>
        <w:t xml:space="preserve"> </w:t>
      </w:r>
      <w:r w:rsidR="002807C2" w:rsidRPr="00C34C61">
        <w:rPr>
          <w:rFonts w:ascii="Times New Roman" w:hAnsi="Times New Roman" w:cs="Times New Roman"/>
          <w:b/>
          <w:bCs/>
          <w:sz w:val="24"/>
          <w:szCs w:val="24"/>
          <w:lang w:val="en-US"/>
        </w:rPr>
        <w:t xml:space="preserve"> </w:t>
      </w:r>
    </w:p>
    <w:p w14:paraId="0718CAC2" w14:textId="38149044" w:rsidR="00562BA3" w:rsidRPr="00C34C61" w:rsidRDefault="002B0CC1" w:rsidP="00FA6607">
      <w:pPr>
        <w:jc w:val="both"/>
        <w:rPr>
          <w:rFonts w:ascii="Times New Roman" w:hAnsi="Times New Roman" w:cs="Times New Roman"/>
          <w:sz w:val="24"/>
          <w:szCs w:val="24"/>
        </w:rPr>
      </w:pPr>
      <w:r w:rsidRPr="00C34C61">
        <w:rPr>
          <w:rFonts w:ascii="Times New Roman" w:hAnsi="Times New Roman" w:cs="Times New Roman"/>
          <w:sz w:val="24"/>
          <w:szCs w:val="24"/>
          <w:lang w:val="en-US"/>
        </w:rPr>
        <w:t xml:space="preserve">Pentru energia electrică </w:t>
      </w:r>
      <w:r w:rsidR="00E739B5" w:rsidRPr="00C34C61">
        <w:rPr>
          <w:rStyle w:val="slitbdy"/>
          <w:rFonts w:ascii="Times New Roman" w:eastAsia="Times New Roman" w:hAnsi="Times New Roman" w:cs="Times New Roman"/>
          <w:color w:val="auto"/>
          <w:sz w:val="24"/>
          <w:szCs w:val="24"/>
        </w:rPr>
        <w:t>stocată</w:t>
      </w:r>
      <w:r w:rsidRPr="00C34C61">
        <w:rPr>
          <w:rStyle w:val="slitbdy"/>
          <w:rFonts w:ascii="Times New Roman" w:eastAsia="Times New Roman" w:hAnsi="Times New Roman" w:cs="Times New Roman"/>
          <w:color w:val="auto"/>
          <w:sz w:val="24"/>
          <w:szCs w:val="24"/>
        </w:rPr>
        <w:t xml:space="preserve"> </w:t>
      </w:r>
      <w:r w:rsidR="00B87F9C" w:rsidRPr="00C34C61">
        <w:rPr>
          <w:rFonts w:ascii="Times New Roman" w:hAnsi="Times New Roman" w:cs="Times New Roman"/>
          <w:sz w:val="24"/>
          <w:szCs w:val="24"/>
        </w:rPr>
        <w:t xml:space="preserve">se aplică tarifele </w:t>
      </w:r>
      <w:r w:rsidRPr="00C34C61">
        <w:rPr>
          <w:rFonts w:ascii="Times New Roman" w:hAnsi="Times New Roman" w:cs="Times New Roman"/>
          <w:sz w:val="24"/>
          <w:szCs w:val="24"/>
        </w:rPr>
        <w:t xml:space="preserve">reglementate conform Metodologiilor </w:t>
      </w:r>
      <w:r w:rsidR="007A62E9" w:rsidRPr="00C34C61">
        <w:rPr>
          <w:rFonts w:ascii="Times New Roman" w:hAnsi="Times New Roman" w:cs="Times New Roman"/>
          <w:sz w:val="24"/>
          <w:szCs w:val="24"/>
        </w:rPr>
        <w:t xml:space="preserve">de stabilire a tarifelor </w:t>
      </w:r>
      <w:r w:rsidRPr="00C34C61">
        <w:rPr>
          <w:rFonts w:ascii="Times New Roman" w:hAnsi="Times New Roman" w:cs="Times New Roman"/>
          <w:sz w:val="24"/>
          <w:szCs w:val="24"/>
        </w:rPr>
        <w:t>prevăzute la art</w:t>
      </w:r>
      <w:r w:rsidR="00EF4095" w:rsidRPr="00C34C61">
        <w:rPr>
          <w:rFonts w:ascii="Times New Roman" w:hAnsi="Times New Roman" w:cs="Times New Roman"/>
          <w:sz w:val="24"/>
          <w:szCs w:val="24"/>
        </w:rPr>
        <w:t>icolul</w:t>
      </w:r>
      <w:r w:rsidRPr="00C34C61">
        <w:rPr>
          <w:rFonts w:ascii="Times New Roman" w:hAnsi="Times New Roman" w:cs="Times New Roman"/>
          <w:sz w:val="24"/>
          <w:szCs w:val="24"/>
        </w:rPr>
        <w:t xml:space="preserve"> 1, cu excepția tarifelor prevăzute la articolul 5.</w:t>
      </w:r>
    </w:p>
    <w:p w14:paraId="282CEC0B" w14:textId="77777777" w:rsidR="00C90650" w:rsidRPr="00C34C61" w:rsidRDefault="002B0CC1" w:rsidP="002B0CC1">
      <w:pPr>
        <w:jc w:val="both"/>
        <w:rPr>
          <w:rFonts w:ascii="Times New Roman" w:hAnsi="Times New Roman" w:cs="Times New Roman"/>
          <w:b/>
          <w:bCs/>
          <w:sz w:val="24"/>
          <w:szCs w:val="24"/>
          <w:lang w:val="en-US"/>
        </w:rPr>
      </w:pPr>
      <w:r w:rsidRPr="00C34C61">
        <w:rPr>
          <w:rFonts w:ascii="Times New Roman" w:hAnsi="Times New Roman" w:cs="Times New Roman"/>
          <w:b/>
          <w:bCs/>
          <w:sz w:val="24"/>
          <w:szCs w:val="24"/>
          <w:lang w:val="en-US"/>
        </w:rPr>
        <w:t xml:space="preserve">Articolul 5 </w:t>
      </w:r>
    </w:p>
    <w:p w14:paraId="5887C54B" w14:textId="32AB19D9" w:rsidR="006305B9" w:rsidRPr="00C34C61" w:rsidRDefault="00E152A6" w:rsidP="006305B9">
      <w:pPr>
        <w:jc w:val="both"/>
        <w:rPr>
          <w:rStyle w:val="slitbdy"/>
          <w:rFonts w:ascii="Times New Roman" w:eastAsia="Times New Roman" w:hAnsi="Times New Roman" w:cs="Times New Roman"/>
          <w:color w:val="auto"/>
          <w:sz w:val="24"/>
          <w:szCs w:val="24"/>
        </w:rPr>
      </w:pPr>
      <w:r w:rsidRPr="00C34C61">
        <w:rPr>
          <w:rFonts w:ascii="Times New Roman" w:hAnsi="Times New Roman" w:cs="Times New Roman"/>
          <w:bCs/>
          <w:sz w:val="24"/>
          <w:szCs w:val="24"/>
          <w:lang w:val="en-US"/>
        </w:rPr>
        <w:t xml:space="preserve">Pânǎ la stabilirea de cǎtre ANRE a sistemului de tarifare a energiei electrice stocate pe baza analizelor efectuate de operatorii de </w:t>
      </w:r>
      <w:r w:rsidR="008224B3" w:rsidRPr="00C34C61">
        <w:rPr>
          <w:rFonts w:ascii="Times New Roman" w:hAnsi="Times New Roman" w:cs="Times New Roman"/>
          <w:bCs/>
          <w:sz w:val="24"/>
          <w:szCs w:val="24"/>
          <w:lang w:val="en-US"/>
        </w:rPr>
        <w:t xml:space="preserve">rețea </w:t>
      </w:r>
      <w:r w:rsidRPr="00C34C61">
        <w:rPr>
          <w:rFonts w:ascii="Times New Roman" w:hAnsi="Times New Roman" w:cs="Times New Roman"/>
          <w:sz w:val="24"/>
          <w:szCs w:val="24"/>
          <w:shd w:val="clear" w:color="auto" w:fill="FFFFFF"/>
        </w:rPr>
        <w:t xml:space="preserve">privind costurile și beneficiile generate de instalațiile de stocare asupra rețelelor în conformitate cu prevederile metodologiilor de stabilire a tarifelor de rețea, </w:t>
      </w:r>
      <w:r w:rsidR="0059168A" w:rsidRPr="00C34C61">
        <w:rPr>
          <w:rFonts w:ascii="Times New Roman" w:hAnsi="Times New Roman" w:cs="Times New Roman"/>
          <w:sz w:val="24"/>
          <w:szCs w:val="24"/>
          <w:shd w:val="clear" w:color="auto" w:fill="FFFFFF"/>
        </w:rPr>
        <w:t>p</w:t>
      </w:r>
      <w:r w:rsidR="006305B9" w:rsidRPr="00C34C61">
        <w:rPr>
          <w:rStyle w:val="slitbdy"/>
          <w:rFonts w:ascii="Times New Roman" w:eastAsia="Times New Roman" w:hAnsi="Times New Roman" w:cs="Times New Roman"/>
          <w:color w:val="auto"/>
          <w:sz w:val="24"/>
          <w:szCs w:val="24"/>
        </w:rPr>
        <w:t xml:space="preserve">entru energia electrică stocatǎ, </w:t>
      </w:r>
      <w:r w:rsidR="006305B9" w:rsidRPr="00C34C61">
        <w:rPr>
          <w:rStyle w:val="spar3"/>
          <w:rFonts w:ascii="Times New Roman" w:hAnsi="Times New Roman" w:cs="Times New Roman"/>
          <w:color w:val="auto"/>
          <w:sz w:val="24"/>
          <w:szCs w:val="24"/>
          <w:specVanish w:val="0"/>
        </w:rPr>
        <w:t>inclusiv în cazul funcţionării în regim de pompaj a unei CHEAP</w:t>
      </w:r>
      <w:r w:rsidR="006305B9" w:rsidRPr="00C34C61">
        <w:rPr>
          <w:rStyle w:val="spar3"/>
          <w:rFonts w:ascii="Times New Roman" w:hAnsi="Times New Roman" w:cs="Times New Roman"/>
          <w:i/>
          <w:iCs/>
          <w:color w:val="auto"/>
          <w:sz w:val="24"/>
          <w:szCs w:val="24"/>
          <w:specVanish w:val="0"/>
        </w:rPr>
        <w:t>,</w:t>
      </w:r>
      <w:r w:rsidR="006305B9" w:rsidRPr="00C34C61">
        <w:rPr>
          <w:rStyle w:val="slitbdy"/>
          <w:rFonts w:ascii="Times New Roman" w:eastAsia="Times New Roman" w:hAnsi="Times New Roman" w:cs="Times New Roman"/>
          <w:color w:val="auto"/>
          <w:sz w:val="24"/>
          <w:szCs w:val="24"/>
        </w:rPr>
        <w:t xml:space="preserve"> nu se aplică următoarele tarife reglementate: </w:t>
      </w:r>
    </w:p>
    <w:p w14:paraId="06BDF7CB" w14:textId="49B40B76" w:rsidR="006305B9" w:rsidRPr="00C34C61" w:rsidRDefault="006305B9" w:rsidP="006305B9">
      <w:pPr>
        <w:pStyle w:val="ListParagraph"/>
        <w:numPr>
          <w:ilvl w:val="0"/>
          <w:numId w:val="1"/>
        </w:numPr>
        <w:jc w:val="both"/>
        <w:rPr>
          <w:rFonts w:ascii="Times New Roman" w:hAnsi="Times New Roman" w:cs="Times New Roman"/>
          <w:sz w:val="24"/>
          <w:szCs w:val="24"/>
        </w:rPr>
      </w:pPr>
      <w:r w:rsidRPr="00C34C61">
        <w:rPr>
          <w:rFonts w:ascii="Times New Roman" w:hAnsi="Times New Roman" w:cs="Times New Roman"/>
          <w:sz w:val="24"/>
          <w:szCs w:val="24"/>
        </w:rPr>
        <w:t>Tariful de extragere a energiei electrice din rețele - practicat de operatorul de transport și de sistem (TL);</w:t>
      </w:r>
    </w:p>
    <w:p w14:paraId="40D7DF9E" w14:textId="2031CAC5" w:rsidR="006305B9" w:rsidRPr="00C34C61" w:rsidRDefault="006305B9" w:rsidP="006305B9">
      <w:pPr>
        <w:pStyle w:val="ListParagraph"/>
        <w:numPr>
          <w:ilvl w:val="0"/>
          <w:numId w:val="1"/>
        </w:numPr>
        <w:jc w:val="both"/>
        <w:rPr>
          <w:rFonts w:ascii="Times New Roman" w:hAnsi="Times New Roman" w:cs="Times New Roman"/>
          <w:sz w:val="24"/>
          <w:szCs w:val="24"/>
        </w:rPr>
      </w:pPr>
      <w:r w:rsidRPr="00C34C61">
        <w:rPr>
          <w:rFonts w:ascii="Times New Roman" w:hAnsi="Times New Roman" w:cs="Times New Roman"/>
          <w:sz w:val="24"/>
          <w:szCs w:val="24"/>
        </w:rPr>
        <w:t>Tariful pentru achiziția serviciilor de sistem - practicat de operatorul de transport și de sistem (SS);</w:t>
      </w:r>
    </w:p>
    <w:p w14:paraId="65716E56" w14:textId="0C649A7C" w:rsidR="006305B9" w:rsidRPr="00C34C61" w:rsidRDefault="006305B9" w:rsidP="006305B9">
      <w:pPr>
        <w:pStyle w:val="ListParagraph"/>
        <w:numPr>
          <w:ilvl w:val="0"/>
          <w:numId w:val="1"/>
        </w:numPr>
        <w:jc w:val="both"/>
        <w:rPr>
          <w:rFonts w:ascii="Times New Roman" w:hAnsi="Times New Roman" w:cs="Times New Roman"/>
          <w:sz w:val="24"/>
          <w:szCs w:val="24"/>
        </w:rPr>
      </w:pPr>
      <w:r w:rsidRPr="00C34C61">
        <w:rPr>
          <w:rFonts w:ascii="Times New Roman" w:hAnsi="Times New Roman" w:cs="Times New Roman"/>
          <w:sz w:val="24"/>
          <w:szCs w:val="24"/>
        </w:rPr>
        <w:lastRenderedPageBreak/>
        <w:t>Tariful de distribuție aplicat clienţilor finali ai serviciului de distribuţie a energiei electrice - practicat de operatorii de distribuție concesionari din domeniul energiei electrice (TDc);</w:t>
      </w:r>
    </w:p>
    <w:p w14:paraId="31D73190" w14:textId="6BAC258B" w:rsidR="006305B9" w:rsidRPr="00C34C61" w:rsidRDefault="006305B9" w:rsidP="006305B9">
      <w:pPr>
        <w:pStyle w:val="ListParagraph"/>
        <w:numPr>
          <w:ilvl w:val="0"/>
          <w:numId w:val="1"/>
        </w:numPr>
        <w:jc w:val="both"/>
        <w:rPr>
          <w:rFonts w:ascii="Times New Roman" w:hAnsi="Times New Roman" w:cs="Times New Roman"/>
          <w:sz w:val="24"/>
          <w:szCs w:val="24"/>
        </w:rPr>
      </w:pPr>
      <w:r w:rsidRPr="00C34C61">
        <w:rPr>
          <w:rStyle w:val="slitbdy"/>
          <w:rFonts w:ascii="Times New Roman" w:eastAsia="Times New Roman" w:hAnsi="Times New Roman" w:cs="Times New Roman"/>
          <w:color w:val="auto"/>
          <w:sz w:val="24"/>
          <w:szCs w:val="24"/>
        </w:rPr>
        <w:t>T</w:t>
      </w:r>
      <w:r w:rsidRPr="00C34C61">
        <w:rPr>
          <w:rFonts w:ascii="Times New Roman" w:hAnsi="Times New Roman" w:cs="Times New Roman"/>
          <w:sz w:val="24"/>
          <w:szCs w:val="24"/>
        </w:rPr>
        <w:t>ariful de distribuție practicat de operatorii de distribuție neconcesionari.</w:t>
      </w:r>
    </w:p>
    <w:p w14:paraId="0DA279D3" w14:textId="4BA2C776" w:rsidR="006305B9" w:rsidRPr="00C34C61" w:rsidRDefault="006305B9" w:rsidP="00E152A6">
      <w:pPr>
        <w:pStyle w:val="ListParagraph"/>
        <w:jc w:val="both"/>
        <w:rPr>
          <w:rFonts w:ascii="Times New Roman" w:hAnsi="Times New Roman" w:cs="Times New Roman"/>
          <w:b/>
          <w:bCs/>
          <w:sz w:val="24"/>
          <w:szCs w:val="24"/>
          <w:lang w:val="en-US"/>
        </w:rPr>
      </w:pPr>
    </w:p>
    <w:p w14:paraId="138A1040" w14:textId="5EE5A68E" w:rsidR="00FA6607" w:rsidRPr="00C34C61" w:rsidRDefault="00FA6607" w:rsidP="009B654A">
      <w:pPr>
        <w:jc w:val="both"/>
        <w:rPr>
          <w:rFonts w:ascii="Times New Roman" w:hAnsi="Times New Roman" w:cs="Times New Roman"/>
          <w:b/>
          <w:bCs/>
          <w:sz w:val="24"/>
          <w:szCs w:val="24"/>
          <w:lang w:val="en-US"/>
        </w:rPr>
      </w:pPr>
      <w:r w:rsidRPr="00C34C61">
        <w:rPr>
          <w:rFonts w:ascii="Times New Roman" w:hAnsi="Times New Roman" w:cs="Times New Roman"/>
          <w:b/>
          <w:bCs/>
          <w:sz w:val="24"/>
          <w:szCs w:val="24"/>
          <w:lang w:val="en-US"/>
        </w:rPr>
        <w:t xml:space="preserve">Articolul </w:t>
      </w:r>
      <w:r w:rsidR="00EE16C9" w:rsidRPr="00C34C61">
        <w:rPr>
          <w:rFonts w:ascii="Times New Roman" w:hAnsi="Times New Roman" w:cs="Times New Roman"/>
          <w:b/>
          <w:bCs/>
          <w:sz w:val="24"/>
          <w:szCs w:val="24"/>
          <w:lang w:val="en-US"/>
        </w:rPr>
        <w:t>6</w:t>
      </w:r>
      <w:r w:rsidRPr="00C34C61">
        <w:rPr>
          <w:rFonts w:ascii="Times New Roman" w:hAnsi="Times New Roman" w:cs="Times New Roman"/>
          <w:b/>
          <w:bCs/>
          <w:sz w:val="24"/>
          <w:szCs w:val="24"/>
          <w:lang w:val="en-US"/>
        </w:rPr>
        <w:t xml:space="preserve"> </w:t>
      </w:r>
    </w:p>
    <w:p w14:paraId="69D49706" w14:textId="1A1282D4" w:rsidR="0059168A" w:rsidRPr="00C34C61" w:rsidRDefault="0059168A" w:rsidP="009B654A">
      <w:pPr>
        <w:jc w:val="both"/>
        <w:rPr>
          <w:rFonts w:ascii="Times New Roman" w:hAnsi="Times New Roman" w:cs="Times New Roman"/>
          <w:sz w:val="24"/>
          <w:szCs w:val="24"/>
        </w:rPr>
      </w:pPr>
      <w:r w:rsidRPr="00C34C61">
        <w:rPr>
          <w:rFonts w:ascii="Times New Roman" w:hAnsi="Times New Roman" w:cs="Times New Roman"/>
          <w:sz w:val="24"/>
          <w:szCs w:val="24"/>
          <w:lang w:val="en-US"/>
        </w:rPr>
        <w:t>Prin derogare</w:t>
      </w:r>
      <w:r w:rsidR="003943F7" w:rsidRPr="00C34C61">
        <w:rPr>
          <w:rFonts w:ascii="Times New Roman" w:hAnsi="Times New Roman" w:cs="Times New Roman"/>
          <w:sz w:val="24"/>
          <w:szCs w:val="24"/>
          <w:lang w:val="en-US"/>
        </w:rPr>
        <w:t xml:space="preserve"> de la prevederile art. 5 lit. d)</w:t>
      </w:r>
      <w:r w:rsidRPr="00C34C61">
        <w:rPr>
          <w:rFonts w:ascii="Times New Roman" w:hAnsi="Times New Roman" w:cs="Times New Roman"/>
          <w:sz w:val="24"/>
          <w:szCs w:val="24"/>
          <w:lang w:val="en-US"/>
        </w:rPr>
        <w:t xml:space="preserve">, </w:t>
      </w:r>
      <w:r w:rsidR="003943F7" w:rsidRPr="00C34C61">
        <w:rPr>
          <w:rFonts w:ascii="Times New Roman" w:hAnsi="Times New Roman" w:cs="Times New Roman"/>
          <w:sz w:val="24"/>
          <w:szCs w:val="24"/>
          <w:lang w:val="en-US"/>
        </w:rPr>
        <w:t xml:space="preserve">în situația în care </w:t>
      </w:r>
      <w:r w:rsidR="00663D12" w:rsidRPr="00C34C61">
        <w:rPr>
          <w:rFonts w:ascii="Times New Roman" w:hAnsi="Times New Roman" w:cs="Times New Roman"/>
          <w:sz w:val="24"/>
          <w:szCs w:val="24"/>
          <w:lang w:val="en-US"/>
        </w:rPr>
        <w:t>un operator de distribuţie neconcesionar</w:t>
      </w:r>
      <w:r w:rsidR="003943F7" w:rsidRPr="00C34C61">
        <w:rPr>
          <w:rFonts w:ascii="Times New Roman" w:hAnsi="Times New Roman" w:cs="Times New Roman"/>
          <w:sz w:val="24"/>
          <w:szCs w:val="24"/>
          <w:lang w:val="en-US"/>
        </w:rPr>
        <w:t xml:space="preserve"> constată</w:t>
      </w:r>
      <w:r w:rsidR="00663D12" w:rsidRPr="00C34C61">
        <w:rPr>
          <w:rFonts w:ascii="Times New Roman" w:hAnsi="Times New Roman" w:cs="Times New Roman"/>
          <w:sz w:val="24"/>
          <w:szCs w:val="24"/>
          <w:lang w:val="en-US"/>
        </w:rPr>
        <w:t>, ulterior racordării unei/unor instalaţii de stocare</w:t>
      </w:r>
      <w:r w:rsidR="00E01C57" w:rsidRPr="00C34C61">
        <w:rPr>
          <w:rFonts w:ascii="Times New Roman" w:hAnsi="Times New Roman" w:cs="Times New Roman"/>
          <w:sz w:val="24"/>
          <w:szCs w:val="24"/>
          <w:lang w:val="en-US"/>
        </w:rPr>
        <w:t xml:space="preserve"> </w:t>
      </w:r>
      <w:r w:rsidR="009B0B68" w:rsidRPr="00C34C61">
        <w:rPr>
          <w:rFonts w:ascii="Times New Roman" w:hAnsi="Times New Roman" w:cs="Times New Roman"/>
          <w:sz w:val="24"/>
          <w:szCs w:val="24"/>
          <w:lang w:val="en-US"/>
        </w:rPr>
        <w:t xml:space="preserve">la reţeaua </w:t>
      </w:r>
      <w:r w:rsidR="00E01C57" w:rsidRPr="00C34C61">
        <w:rPr>
          <w:rFonts w:ascii="Times New Roman" w:hAnsi="Times New Roman" w:cs="Times New Roman"/>
          <w:sz w:val="24"/>
          <w:szCs w:val="24"/>
          <w:lang w:val="en-US"/>
        </w:rPr>
        <w:t>electrică de distribuţie pe care o deţine</w:t>
      </w:r>
      <w:r w:rsidR="00663D12" w:rsidRPr="00C34C61">
        <w:rPr>
          <w:rFonts w:ascii="Times New Roman" w:hAnsi="Times New Roman" w:cs="Times New Roman"/>
          <w:sz w:val="24"/>
          <w:szCs w:val="24"/>
          <w:lang w:val="en-US"/>
        </w:rPr>
        <w:t>,</w:t>
      </w:r>
      <w:r w:rsidR="003943F7" w:rsidRPr="00C34C61">
        <w:rPr>
          <w:rFonts w:ascii="Times New Roman" w:hAnsi="Times New Roman" w:cs="Times New Roman"/>
          <w:sz w:val="24"/>
          <w:szCs w:val="24"/>
          <w:lang w:val="en-US"/>
        </w:rPr>
        <w:t xml:space="preserve"> o creștere a </w:t>
      </w:r>
      <w:r w:rsidR="00663D12" w:rsidRPr="00C34C61">
        <w:rPr>
          <w:rFonts w:ascii="Times New Roman" w:hAnsi="Times New Roman" w:cs="Times New Roman"/>
          <w:sz w:val="24"/>
          <w:szCs w:val="24"/>
          <w:lang w:val="en-US"/>
        </w:rPr>
        <w:t>valorii CPT</w:t>
      </w:r>
      <w:r w:rsidR="003943F7" w:rsidRPr="00C34C61">
        <w:rPr>
          <w:rFonts w:ascii="Times New Roman" w:hAnsi="Times New Roman" w:cs="Times New Roman"/>
          <w:sz w:val="24"/>
          <w:szCs w:val="24"/>
          <w:lang w:val="en-US"/>
        </w:rPr>
        <w:t xml:space="preserve"> în rețea</w:t>
      </w:r>
      <w:r w:rsidR="00663D12" w:rsidRPr="00C34C61">
        <w:rPr>
          <w:rFonts w:ascii="Times New Roman" w:hAnsi="Times New Roman" w:cs="Times New Roman"/>
          <w:sz w:val="24"/>
          <w:szCs w:val="24"/>
          <w:lang w:val="en-US"/>
        </w:rPr>
        <w:t xml:space="preserve">ua </w:t>
      </w:r>
      <w:r w:rsidR="00F41BE2" w:rsidRPr="00C34C61">
        <w:rPr>
          <w:rFonts w:ascii="Times New Roman" w:hAnsi="Times New Roman" w:cs="Times New Roman"/>
          <w:sz w:val="24"/>
          <w:szCs w:val="24"/>
          <w:lang w:val="en-US"/>
        </w:rPr>
        <w:t>respectivă</w:t>
      </w:r>
      <w:r w:rsidR="003943F7" w:rsidRPr="00C34C61">
        <w:rPr>
          <w:rFonts w:ascii="Times New Roman" w:hAnsi="Times New Roman" w:cs="Times New Roman"/>
          <w:sz w:val="24"/>
          <w:szCs w:val="24"/>
          <w:lang w:val="en-US"/>
        </w:rPr>
        <w:t xml:space="preserve">, </w:t>
      </w:r>
      <w:r w:rsidR="004639EE" w:rsidRPr="00C34C61">
        <w:rPr>
          <w:rFonts w:ascii="Times New Roman" w:hAnsi="Times New Roman" w:cs="Times New Roman"/>
          <w:sz w:val="24"/>
          <w:szCs w:val="24"/>
        </w:rPr>
        <w:t>operator</w:t>
      </w:r>
      <w:r w:rsidR="00F41BE2" w:rsidRPr="00C34C61">
        <w:rPr>
          <w:rFonts w:ascii="Times New Roman" w:hAnsi="Times New Roman" w:cs="Times New Roman"/>
          <w:sz w:val="24"/>
          <w:szCs w:val="24"/>
        </w:rPr>
        <w:t>ul</w:t>
      </w:r>
      <w:r w:rsidR="004639EE" w:rsidRPr="00C34C61">
        <w:rPr>
          <w:rFonts w:ascii="Times New Roman" w:hAnsi="Times New Roman" w:cs="Times New Roman"/>
          <w:sz w:val="24"/>
          <w:szCs w:val="24"/>
        </w:rPr>
        <w:t xml:space="preserve"> de distribuție neconcesionar</w:t>
      </w:r>
      <w:r w:rsidR="003943F7" w:rsidRPr="00C34C61">
        <w:rPr>
          <w:rFonts w:ascii="Times New Roman" w:hAnsi="Times New Roman" w:cs="Times New Roman"/>
          <w:sz w:val="24"/>
          <w:szCs w:val="24"/>
        </w:rPr>
        <w:t xml:space="preserve"> </w:t>
      </w:r>
      <w:r w:rsidRPr="00C34C61">
        <w:rPr>
          <w:rFonts w:ascii="Times New Roman" w:hAnsi="Times New Roman" w:cs="Times New Roman"/>
          <w:sz w:val="24"/>
          <w:szCs w:val="24"/>
          <w:lang w:val="en-US"/>
        </w:rPr>
        <w:t>po</w:t>
      </w:r>
      <w:r w:rsidR="00F41BE2" w:rsidRPr="00C34C61">
        <w:rPr>
          <w:rFonts w:ascii="Times New Roman" w:hAnsi="Times New Roman" w:cs="Times New Roman"/>
          <w:sz w:val="24"/>
          <w:szCs w:val="24"/>
          <w:lang w:val="en-US"/>
        </w:rPr>
        <w:t>a</w:t>
      </w:r>
      <w:r w:rsidRPr="00C34C61">
        <w:rPr>
          <w:rFonts w:ascii="Times New Roman" w:hAnsi="Times New Roman" w:cs="Times New Roman"/>
          <w:sz w:val="24"/>
          <w:szCs w:val="24"/>
          <w:lang w:val="en-US"/>
        </w:rPr>
        <w:t>t</w:t>
      </w:r>
      <w:r w:rsidR="00F41BE2" w:rsidRPr="00C34C61">
        <w:rPr>
          <w:rFonts w:ascii="Times New Roman" w:hAnsi="Times New Roman" w:cs="Times New Roman"/>
          <w:sz w:val="24"/>
          <w:szCs w:val="24"/>
          <w:lang w:val="en-US"/>
        </w:rPr>
        <w:t>e</w:t>
      </w:r>
      <w:r w:rsidRPr="00C34C61">
        <w:rPr>
          <w:rFonts w:ascii="Times New Roman" w:hAnsi="Times New Roman" w:cs="Times New Roman"/>
          <w:sz w:val="24"/>
          <w:szCs w:val="24"/>
          <w:lang w:val="en-US"/>
        </w:rPr>
        <w:t xml:space="preserve"> </w:t>
      </w:r>
      <w:r w:rsidR="003943F7" w:rsidRPr="00C34C61">
        <w:rPr>
          <w:rFonts w:ascii="Times New Roman" w:hAnsi="Times New Roman" w:cs="Times New Roman"/>
          <w:sz w:val="24"/>
          <w:szCs w:val="24"/>
          <w:lang w:val="en-US"/>
        </w:rPr>
        <w:t>aplica</w:t>
      </w:r>
      <w:r w:rsidR="003943F7" w:rsidRPr="00C34C61">
        <w:rPr>
          <w:rFonts w:ascii="Times New Roman" w:hAnsi="Times New Roman" w:cs="Times New Roman"/>
          <w:sz w:val="24"/>
          <w:szCs w:val="24"/>
          <w:shd w:val="clear" w:color="auto" w:fill="FFFFFF"/>
        </w:rPr>
        <w:t xml:space="preserve"> p</w:t>
      </w:r>
      <w:r w:rsidR="003943F7" w:rsidRPr="00C34C61">
        <w:rPr>
          <w:rStyle w:val="slitbdy"/>
          <w:rFonts w:ascii="Times New Roman" w:eastAsia="Times New Roman" w:hAnsi="Times New Roman" w:cs="Times New Roman"/>
          <w:color w:val="auto"/>
          <w:sz w:val="24"/>
          <w:szCs w:val="24"/>
        </w:rPr>
        <w:t xml:space="preserve">entru energia electrică stocatǎ, </w:t>
      </w:r>
      <w:r w:rsidR="003943F7" w:rsidRPr="00C34C61">
        <w:rPr>
          <w:rStyle w:val="spar3"/>
          <w:rFonts w:ascii="Times New Roman" w:hAnsi="Times New Roman" w:cs="Times New Roman"/>
          <w:color w:val="auto"/>
          <w:sz w:val="24"/>
          <w:szCs w:val="24"/>
          <w:specVanish w:val="0"/>
        </w:rPr>
        <w:t>inclusiv în cazul funcţionării în regim de pompaj a unei CHEAP</w:t>
      </w:r>
      <w:r w:rsidR="00E01C57" w:rsidRPr="00C34C61">
        <w:rPr>
          <w:rStyle w:val="spar3"/>
          <w:rFonts w:ascii="Times New Roman" w:hAnsi="Times New Roman" w:cs="Times New Roman"/>
          <w:color w:val="auto"/>
          <w:sz w:val="24"/>
          <w:szCs w:val="24"/>
          <w:specVanish w:val="0"/>
        </w:rPr>
        <w:t>,</w:t>
      </w:r>
      <w:r w:rsidR="003943F7" w:rsidRPr="00C34C61">
        <w:rPr>
          <w:rFonts w:ascii="Times New Roman" w:hAnsi="Times New Roman" w:cs="Times New Roman"/>
          <w:sz w:val="24"/>
          <w:szCs w:val="24"/>
          <w:lang w:val="en-US"/>
        </w:rPr>
        <w:t xml:space="preserve"> o</w:t>
      </w:r>
      <w:r w:rsidRPr="00C34C61">
        <w:rPr>
          <w:rFonts w:ascii="Times New Roman" w:hAnsi="Times New Roman" w:cs="Times New Roman"/>
          <w:sz w:val="24"/>
          <w:szCs w:val="24"/>
          <w:lang w:val="en-US"/>
        </w:rPr>
        <w:t xml:space="preserve"> component</w:t>
      </w:r>
      <w:r w:rsidRPr="00C34C61">
        <w:rPr>
          <w:rFonts w:ascii="Times New Roman" w:hAnsi="Times New Roman" w:cs="Times New Roman"/>
          <w:sz w:val="24"/>
          <w:szCs w:val="24"/>
        </w:rPr>
        <w:t xml:space="preserve">ă tarifară </w:t>
      </w:r>
      <w:r w:rsidR="00F41BE2" w:rsidRPr="00C34C61">
        <w:rPr>
          <w:rFonts w:ascii="Times New Roman" w:hAnsi="Times New Roman" w:cs="Times New Roman"/>
          <w:sz w:val="24"/>
          <w:szCs w:val="24"/>
        </w:rPr>
        <w:t>de distribuţie prin care recupere</w:t>
      </w:r>
      <w:r w:rsidR="008B25EF" w:rsidRPr="00C34C61">
        <w:rPr>
          <w:rFonts w:ascii="Times New Roman" w:hAnsi="Times New Roman" w:cs="Times New Roman"/>
          <w:sz w:val="24"/>
          <w:szCs w:val="24"/>
        </w:rPr>
        <w:t>a</w:t>
      </w:r>
      <w:r w:rsidR="00F41BE2" w:rsidRPr="00C34C61">
        <w:rPr>
          <w:rFonts w:ascii="Times New Roman" w:hAnsi="Times New Roman" w:cs="Times New Roman"/>
          <w:sz w:val="24"/>
          <w:szCs w:val="24"/>
        </w:rPr>
        <w:t>z</w:t>
      </w:r>
      <w:r w:rsidR="008B25EF" w:rsidRPr="00C34C61">
        <w:rPr>
          <w:rFonts w:ascii="Times New Roman" w:hAnsi="Times New Roman" w:cs="Times New Roman"/>
          <w:sz w:val="24"/>
          <w:szCs w:val="24"/>
        </w:rPr>
        <w:t>ă</w:t>
      </w:r>
      <w:r w:rsidRPr="00C34C61">
        <w:rPr>
          <w:rFonts w:ascii="Times New Roman" w:hAnsi="Times New Roman" w:cs="Times New Roman"/>
          <w:sz w:val="24"/>
          <w:szCs w:val="24"/>
        </w:rPr>
        <w:t xml:space="preserve"> costuril</w:t>
      </w:r>
      <w:r w:rsidR="00F41BE2" w:rsidRPr="00C34C61">
        <w:rPr>
          <w:rFonts w:ascii="Times New Roman" w:hAnsi="Times New Roman" w:cs="Times New Roman"/>
          <w:sz w:val="24"/>
          <w:szCs w:val="24"/>
        </w:rPr>
        <w:t>e necesare acoperirii</w:t>
      </w:r>
      <w:r w:rsidRPr="00C34C61">
        <w:rPr>
          <w:rFonts w:ascii="Times New Roman" w:hAnsi="Times New Roman" w:cs="Times New Roman"/>
          <w:sz w:val="24"/>
          <w:szCs w:val="24"/>
        </w:rPr>
        <w:t xml:space="preserve"> excedentul</w:t>
      </w:r>
      <w:r w:rsidR="00F41BE2" w:rsidRPr="00C34C61">
        <w:rPr>
          <w:rFonts w:ascii="Times New Roman" w:hAnsi="Times New Roman" w:cs="Times New Roman"/>
          <w:sz w:val="24"/>
          <w:szCs w:val="24"/>
        </w:rPr>
        <w:t>ui</w:t>
      </w:r>
      <w:r w:rsidRPr="00C34C61">
        <w:rPr>
          <w:rFonts w:ascii="Times New Roman" w:hAnsi="Times New Roman" w:cs="Times New Roman"/>
          <w:sz w:val="24"/>
          <w:szCs w:val="24"/>
        </w:rPr>
        <w:t xml:space="preserve"> de CPT</w:t>
      </w:r>
      <w:r w:rsidR="003943F7" w:rsidRPr="00C34C61">
        <w:rPr>
          <w:rFonts w:ascii="Times New Roman" w:hAnsi="Times New Roman" w:cs="Times New Roman"/>
          <w:sz w:val="24"/>
          <w:szCs w:val="24"/>
        </w:rPr>
        <w:t>.</w:t>
      </w:r>
    </w:p>
    <w:p w14:paraId="2114E984" w14:textId="77777777" w:rsidR="004639EE" w:rsidRPr="00C34C61" w:rsidRDefault="004639EE" w:rsidP="004639EE">
      <w:pPr>
        <w:jc w:val="both"/>
        <w:rPr>
          <w:rFonts w:ascii="Times New Roman" w:hAnsi="Times New Roman" w:cs="Times New Roman"/>
          <w:b/>
          <w:bCs/>
          <w:sz w:val="24"/>
          <w:szCs w:val="24"/>
          <w:lang w:val="en-US"/>
        </w:rPr>
      </w:pPr>
      <w:r w:rsidRPr="00C34C61">
        <w:rPr>
          <w:rFonts w:ascii="Times New Roman" w:hAnsi="Times New Roman" w:cs="Times New Roman"/>
          <w:b/>
          <w:bCs/>
          <w:sz w:val="24"/>
          <w:szCs w:val="24"/>
          <w:lang w:val="en-US"/>
        </w:rPr>
        <w:t xml:space="preserve">Articolul 7 </w:t>
      </w:r>
    </w:p>
    <w:p w14:paraId="5C23BE68" w14:textId="0792A3EB" w:rsidR="002E2854" w:rsidRPr="00C34C61" w:rsidRDefault="002E2854" w:rsidP="00891D46">
      <w:pPr>
        <w:pStyle w:val="ListParagraph"/>
        <w:numPr>
          <w:ilvl w:val="0"/>
          <w:numId w:val="9"/>
        </w:numPr>
        <w:ind w:left="0" w:firstLine="0"/>
        <w:jc w:val="both"/>
        <w:rPr>
          <w:rFonts w:ascii="Times New Roman" w:hAnsi="Times New Roman" w:cs="Times New Roman"/>
          <w:sz w:val="24"/>
          <w:szCs w:val="24"/>
          <w:lang w:val="en-US"/>
        </w:rPr>
      </w:pPr>
      <w:bookmarkStart w:id="1" w:name="_Hlk189214024"/>
      <w:r w:rsidRPr="00C34C61">
        <w:rPr>
          <w:rFonts w:ascii="Times New Roman" w:hAnsi="Times New Roman" w:cs="Times New Roman"/>
          <w:sz w:val="24"/>
          <w:szCs w:val="24"/>
        </w:rPr>
        <w:t>Cantitatea de energie electricǎ stocatǎ de o unitate de stocare</w:t>
      </w:r>
      <w:r w:rsidR="0073229A" w:rsidRPr="00C34C61">
        <w:rPr>
          <w:rFonts w:ascii="Times New Roman" w:hAnsi="Times New Roman" w:cs="Times New Roman"/>
          <w:sz w:val="24"/>
          <w:szCs w:val="24"/>
        </w:rPr>
        <w:t xml:space="preserve">, </w:t>
      </w:r>
      <w:r w:rsidR="0073229A" w:rsidRPr="00C34C61">
        <w:rPr>
          <w:rStyle w:val="spar3"/>
          <w:rFonts w:ascii="Times New Roman" w:hAnsi="Times New Roman" w:cs="Times New Roman"/>
          <w:color w:val="auto"/>
          <w:sz w:val="24"/>
          <w:szCs w:val="24"/>
          <w:specVanish w:val="0"/>
        </w:rPr>
        <w:t>inclusiv în cazul funcţionării în regim de pompaj a unei CHEAP,</w:t>
      </w:r>
      <w:r w:rsidRPr="00C34C61">
        <w:rPr>
          <w:rFonts w:ascii="Times New Roman" w:hAnsi="Times New Roman" w:cs="Times New Roman"/>
          <w:sz w:val="24"/>
          <w:szCs w:val="24"/>
        </w:rPr>
        <w:t xml:space="preserve"> </w:t>
      </w:r>
      <w:r w:rsidR="008224B3" w:rsidRPr="00C34C61">
        <w:rPr>
          <w:rFonts w:ascii="Times New Roman" w:hAnsi="Times New Roman" w:cs="Times New Roman"/>
          <w:sz w:val="24"/>
          <w:szCs w:val="24"/>
        </w:rPr>
        <w:t>care se utilizează la calculul tarifelor de rețea</w:t>
      </w:r>
      <w:r w:rsidR="00B801DA" w:rsidRPr="00C34C61">
        <w:rPr>
          <w:rFonts w:ascii="Times New Roman" w:hAnsi="Times New Roman" w:cs="Times New Roman"/>
          <w:sz w:val="24"/>
          <w:szCs w:val="24"/>
        </w:rPr>
        <w:t>,</w:t>
      </w:r>
      <w:r w:rsidR="008224B3" w:rsidRPr="00C34C61">
        <w:rPr>
          <w:rFonts w:ascii="Times New Roman" w:hAnsi="Times New Roman" w:cs="Times New Roman"/>
          <w:sz w:val="24"/>
          <w:szCs w:val="24"/>
        </w:rPr>
        <w:t xml:space="preserve"> </w:t>
      </w:r>
      <w:r w:rsidRPr="00C34C61">
        <w:rPr>
          <w:rFonts w:ascii="Times New Roman" w:hAnsi="Times New Roman" w:cs="Times New Roman"/>
          <w:sz w:val="24"/>
          <w:szCs w:val="24"/>
        </w:rPr>
        <w:t xml:space="preserve">se determinǎ de operatorul </w:t>
      </w:r>
      <w:bookmarkEnd w:id="1"/>
      <w:r w:rsidRPr="00C34C61">
        <w:rPr>
          <w:rFonts w:ascii="Times New Roman" w:hAnsi="Times New Roman" w:cs="Times New Roman"/>
          <w:sz w:val="24"/>
          <w:szCs w:val="24"/>
        </w:rPr>
        <w:t>de reţea care deţine reţelele electrice la care este racordatǎ unitatea de stocare respectivǎ.</w:t>
      </w:r>
    </w:p>
    <w:p w14:paraId="7284FABA" w14:textId="424FA3D0" w:rsidR="00BE1C04" w:rsidRPr="00C34C61" w:rsidRDefault="00BE1C04" w:rsidP="00BE1C04">
      <w:pPr>
        <w:pStyle w:val="ListParagraph"/>
        <w:numPr>
          <w:ilvl w:val="0"/>
          <w:numId w:val="9"/>
        </w:numPr>
        <w:ind w:left="0" w:firstLine="0"/>
        <w:jc w:val="both"/>
        <w:rPr>
          <w:rFonts w:ascii="Times New Roman" w:hAnsi="Times New Roman" w:cs="Times New Roman"/>
          <w:sz w:val="24"/>
          <w:szCs w:val="24"/>
          <w:lang w:val="en-US"/>
        </w:rPr>
      </w:pPr>
      <w:r w:rsidRPr="00C34C61">
        <w:rPr>
          <w:rFonts w:ascii="Times New Roman" w:hAnsi="Times New Roman" w:cs="Times New Roman"/>
          <w:sz w:val="24"/>
          <w:szCs w:val="24"/>
        </w:rPr>
        <w:t xml:space="preserve">Operatorii de rețea concesionari raportează către ANRE distinct cantitatea de energie electrică prevăzută la alin. (1), </w:t>
      </w:r>
      <w:r w:rsidR="007E73A5" w:rsidRPr="00C34C61">
        <w:rPr>
          <w:rFonts w:ascii="Times New Roman" w:hAnsi="Times New Roman" w:cs="Times New Roman"/>
          <w:sz w:val="24"/>
          <w:szCs w:val="24"/>
        </w:rPr>
        <w:t>pri</w:t>
      </w:r>
      <w:r w:rsidRPr="00C34C61">
        <w:rPr>
          <w:rFonts w:ascii="Times New Roman" w:hAnsi="Times New Roman" w:cs="Times New Roman"/>
          <w:sz w:val="24"/>
          <w:szCs w:val="24"/>
        </w:rPr>
        <w:t>n machetele de monitorizare.</w:t>
      </w:r>
    </w:p>
    <w:p w14:paraId="70530228" w14:textId="7F618AED" w:rsidR="00BB4FC7" w:rsidRPr="00C34C61" w:rsidRDefault="00BB4FC7" w:rsidP="006F1EF9">
      <w:pPr>
        <w:pStyle w:val="ListParagraph"/>
        <w:numPr>
          <w:ilvl w:val="0"/>
          <w:numId w:val="9"/>
        </w:numPr>
        <w:ind w:left="0" w:firstLine="0"/>
        <w:jc w:val="both"/>
        <w:rPr>
          <w:rFonts w:ascii="Times New Roman" w:hAnsi="Times New Roman" w:cs="Times New Roman"/>
          <w:sz w:val="24"/>
          <w:szCs w:val="24"/>
          <w:lang w:val="en-US"/>
        </w:rPr>
      </w:pPr>
      <w:r w:rsidRPr="00C34C61">
        <w:rPr>
          <w:rFonts w:ascii="Times New Roman" w:hAnsi="Times New Roman" w:cs="Times New Roman"/>
          <w:sz w:val="24"/>
          <w:szCs w:val="24"/>
        </w:rPr>
        <w:t xml:space="preserve">Cantitatea prognozată de energie electricǎ stocatǎ </w:t>
      </w:r>
      <w:r w:rsidR="008224B3" w:rsidRPr="00C34C61">
        <w:rPr>
          <w:rFonts w:ascii="Times New Roman" w:hAnsi="Times New Roman" w:cs="Times New Roman"/>
          <w:sz w:val="24"/>
          <w:szCs w:val="24"/>
        </w:rPr>
        <w:t xml:space="preserve">care se utilizează la calculul tarifelor de rețea </w:t>
      </w:r>
      <w:r w:rsidRPr="00C34C61">
        <w:rPr>
          <w:rFonts w:ascii="Times New Roman" w:hAnsi="Times New Roman" w:cs="Times New Roman"/>
          <w:sz w:val="24"/>
          <w:szCs w:val="24"/>
        </w:rPr>
        <w:t>se determină de operatori</w:t>
      </w:r>
      <w:r w:rsidR="00B801DA" w:rsidRPr="00C34C61">
        <w:rPr>
          <w:rFonts w:ascii="Times New Roman" w:hAnsi="Times New Roman" w:cs="Times New Roman"/>
          <w:sz w:val="24"/>
          <w:szCs w:val="24"/>
        </w:rPr>
        <w:t>i de reţea</w:t>
      </w:r>
      <w:r w:rsidRPr="00C34C61">
        <w:rPr>
          <w:rFonts w:ascii="Times New Roman" w:hAnsi="Times New Roman" w:cs="Times New Roman"/>
          <w:sz w:val="24"/>
          <w:szCs w:val="24"/>
        </w:rPr>
        <w:t xml:space="preserve"> pe baza datelor istorice pentru o perioadă de cel mult 2 ani</w:t>
      </w:r>
      <w:r w:rsidR="00E34668" w:rsidRPr="00C34C61">
        <w:rPr>
          <w:rFonts w:ascii="Times New Roman" w:hAnsi="Times New Roman" w:cs="Times New Roman"/>
          <w:sz w:val="24"/>
          <w:szCs w:val="24"/>
        </w:rPr>
        <w:t>.</w:t>
      </w:r>
    </w:p>
    <w:p w14:paraId="34A713AA" w14:textId="3B86BDAE" w:rsidR="00F71C86" w:rsidRPr="00C34C61" w:rsidRDefault="00F71C86" w:rsidP="00E152A6">
      <w:pPr>
        <w:pStyle w:val="ListParagraph"/>
        <w:ind w:left="0"/>
        <w:jc w:val="both"/>
        <w:rPr>
          <w:rFonts w:ascii="Times New Roman" w:hAnsi="Times New Roman" w:cs="Times New Roman"/>
          <w:sz w:val="24"/>
          <w:szCs w:val="24"/>
          <w:lang w:val="en-US"/>
        </w:rPr>
      </w:pPr>
    </w:p>
    <w:p w14:paraId="7887798A" w14:textId="0C2E0483" w:rsidR="0084530D" w:rsidRPr="00C34C61" w:rsidRDefault="0084530D" w:rsidP="00B84C27">
      <w:pPr>
        <w:jc w:val="both"/>
        <w:rPr>
          <w:rFonts w:ascii="Times New Roman" w:hAnsi="Times New Roman" w:cs="Times New Roman"/>
          <w:b/>
          <w:bCs/>
          <w:sz w:val="24"/>
          <w:szCs w:val="24"/>
          <w:lang w:val="en-US"/>
        </w:rPr>
      </w:pPr>
      <w:r w:rsidRPr="00C34C61">
        <w:rPr>
          <w:rFonts w:ascii="Times New Roman" w:hAnsi="Times New Roman" w:cs="Times New Roman"/>
          <w:b/>
          <w:bCs/>
          <w:sz w:val="24"/>
          <w:szCs w:val="24"/>
          <w:lang w:val="en-US"/>
        </w:rPr>
        <w:t xml:space="preserve">Articolul </w:t>
      </w:r>
      <w:r w:rsidR="004639EE" w:rsidRPr="00C34C61">
        <w:rPr>
          <w:rFonts w:ascii="Times New Roman" w:hAnsi="Times New Roman" w:cs="Times New Roman"/>
          <w:b/>
          <w:bCs/>
          <w:sz w:val="24"/>
          <w:szCs w:val="24"/>
          <w:lang w:val="en-US"/>
        </w:rPr>
        <w:t>8</w:t>
      </w:r>
      <w:r w:rsidRPr="00C34C61">
        <w:rPr>
          <w:rFonts w:ascii="Times New Roman" w:hAnsi="Times New Roman" w:cs="Times New Roman"/>
          <w:b/>
          <w:bCs/>
          <w:sz w:val="24"/>
          <w:szCs w:val="24"/>
          <w:lang w:val="en-US"/>
        </w:rPr>
        <w:t xml:space="preserve"> </w:t>
      </w:r>
    </w:p>
    <w:p w14:paraId="2F9F1692" w14:textId="69F8DF9D" w:rsidR="0084530D" w:rsidRPr="00C34C61" w:rsidRDefault="008705B3" w:rsidP="00891D46">
      <w:pPr>
        <w:pStyle w:val="ListParagraph"/>
        <w:numPr>
          <w:ilvl w:val="0"/>
          <w:numId w:val="4"/>
        </w:numPr>
        <w:ind w:left="0" w:firstLine="0"/>
        <w:jc w:val="both"/>
        <w:rPr>
          <w:rFonts w:ascii="Times New Roman" w:hAnsi="Times New Roman" w:cs="Times New Roman"/>
          <w:sz w:val="24"/>
          <w:szCs w:val="24"/>
        </w:rPr>
      </w:pPr>
      <w:r w:rsidRPr="00C34C61">
        <w:rPr>
          <w:rFonts w:ascii="Times New Roman" w:hAnsi="Times New Roman" w:cs="Times New Roman"/>
          <w:sz w:val="24"/>
          <w:szCs w:val="24"/>
        </w:rPr>
        <w:t xml:space="preserve">Cantitatea </w:t>
      </w:r>
      <w:r w:rsidR="00632BFA" w:rsidRPr="00C34C61">
        <w:rPr>
          <w:rFonts w:ascii="Times New Roman" w:hAnsi="Times New Roman" w:cs="Times New Roman"/>
          <w:sz w:val="24"/>
          <w:szCs w:val="24"/>
        </w:rPr>
        <w:t xml:space="preserve">prognozată </w:t>
      </w:r>
      <w:r w:rsidRPr="00C34C61">
        <w:rPr>
          <w:rFonts w:ascii="Times New Roman" w:hAnsi="Times New Roman" w:cs="Times New Roman"/>
          <w:sz w:val="24"/>
          <w:szCs w:val="24"/>
        </w:rPr>
        <w:t>de energie electricǎ extrasǎ din reţele</w:t>
      </w:r>
      <w:r w:rsidR="00764FB2" w:rsidRPr="00C34C61">
        <w:rPr>
          <w:rFonts w:ascii="Times New Roman" w:hAnsi="Times New Roman" w:cs="Times New Roman"/>
          <w:sz w:val="24"/>
          <w:szCs w:val="24"/>
        </w:rPr>
        <w:t>,</w:t>
      </w:r>
      <w:r w:rsidR="0084530D" w:rsidRPr="00C34C61">
        <w:rPr>
          <w:rFonts w:ascii="Times New Roman" w:hAnsi="Times New Roman" w:cs="Times New Roman"/>
          <w:sz w:val="24"/>
          <w:szCs w:val="24"/>
        </w:rPr>
        <w:t xml:space="preserve"> utilizată la calculul </w:t>
      </w:r>
      <w:r w:rsidR="006C70BE" w:rsidRPr="00C34C61">
        <w:rPr>
          <w:rFonts w:ascii="Times New Roman" w:hAnsi="Times New Roman" w:cs="Times New Roman"/>
          <w:sz w:val="24"/>
          <w:szCs w:val="24"/>
        </w:rPr>
        <w:t>tarifelor prevăzute la art. 5 lit. a) și b)</w:t>
      </w:r>
      <w:r w:rsidR="00546F4D" w:rsidRPr="00C34C61">
        <w:rPr>
          <w:rFonts w:ascii="Times New Roman" w:hAnsi="Times New Roman" w:cs="Times New Roman"/>
          <w:sz w:val="24"/>
          <w:szCs w:val="24"/>
        </w:rPr>
        <w:t xml:space="preserve"> pentru anul t+1</w:t>
      </w:r>
      <w:r w:rsidR="00764FB2" w:rsidRPr="00C34C61">
        <w:rPr>
          <w:rFonts w:ascii="Times New Roman" w:hAnsi="Times New Roman" w:cs="Times New Roman"/>
          <w:sz w:val="24"/>
          <w:szCs w:val="24"/>
        </w:rPr>
        <w:t>,</w:t>
      </w:r>
      <w:r w:rsidRPr="00C34C61">
        <w:rPr>
          <w:rFonts w:ascii="Times New Roman" w:hAnsi="Times New Roman" w:cs="Times New Roman"/>
          <w:sz w:val="24"/>
          <w:szCs w:val="24"/>
        </w:rPr>
        <w:t xml:space="preserve"> </w:t>
      </w:r>
      <w:r w:rsidR="0084530D" w:rsidRPr="00C34C61">
        <w:rPr>
          <w:rFonts w:ascii="Times New Roman" w:hAnsi="Times New Roman" w:cs="Times New Roman"/>
          <w:sz w:val="24"/>
          <w:szCs w:val="24"/>
        </w:rPr>
        <w:t xml:space="preserve">se determină ca diferență între cantitatea totală </w:t>
      </w:r>
      <w:r w:rsidR="00632BFA" w:rsidRPr="00C34C61">
        <w:rPr>
          <w:rFonts w:ascii="Times New Roman" w:hAnsi="Times New Roman" w:cs="Times New Roman"/>
          <w:sz w:val="24"/>
          <w:szCs w:val="24"/>
        </w:rPr>
        <w:t xml:space="preserve">prognozată </w:t>
      </w:r>
      <w:r w:rsidR="0084530D" w:rsidRPr="00C34C61">
        <w:rPr>
          <w:rFonts w:ascii="Times New Roman" w:hAnsi="Times New Roman" w:cs="Times New Roman"/>
          <w:sz w:val="24"/>
          <w:szCs w:val="24"/>
        </w:rPr>
        <w:t xml:space="preserve">de energie electrică </w:t>
      </w:r>
      <w:r w:rsidR="00632BFA" w:rsidRPr="00C34C61">
        <w:rPr>
          <w:rFonts w:ascii="Times New Roman" w:hAnsi="Times New Roman" w:cs="Times New Roman"/>
          <w:sz w:val="24"/>
          <w:szCs w:val="24"/>
        </w:rPr>
        <w:t>extrasă din rețele</w:t>
      </w:r>
      <w:r w:rsidR="006C70BE" w:rsidRPr="00C34C61">
        <w:rPr>
          <w:rFonts w:ascii="Times New Roman" w:hAnsi="Times New Roman" w:cs="Times New Roman"/>
          <w:sz w:val="24"/>
          <w:szCs w:val="24"/>
        </w:rPr>
        <w:t>, cu excepția energiei electrice exportate</w:t>
      </w:r>
      <w:r w:rsidR="0084530D" w:rsidRPr="00C34C61">
        <w:rPr>
          <w:rFonts w:ascii="Times New Roman" w:hAnsi="Times New Roman" w:cs="Times New Roman"/>
          <w:sz w:val="24"/>
          <w:szCs w:val="24"/>
        </w:rPr>
        <w:t xml:space="preserve"> </w:t>
      </w:r>
      <w:r w:rsidR="00546F4D" w:rsidRPr="00C34C61">
        <w:rPr>
          <w:rFonts w:ascii="Times New Roman" w:hAnsi="Times New Roman" w:cs="Times New Roman"/>
          <w:sz w:val="24"/>
          <w:szCs w:val="24"/>
        </w:rPr>
        <w:t xml:space="preserve">pntru anul t+1 </w:t>
      </w:r>
      <w:r w:rsidR="0084530D" w:rsidRPr="00C34C61">
        <w:rPr>
          <w:rFonts w:ascii="Times New Roman" w:hAnsi="Times New Roman" w:cs="Times New Roman"/>
          <w:sz w:val="24"/>
          <w:szCs w:val="24"/>
        </w:rPr>
        <w:t xml:space="preserve">și cantitatea </w:t>
      </w:r>
      <w:r w:rsidR="00632BFA" w:rsidRPr="00C34C61">
        <w:rPr>
          <w:rFonts w:ascii="Times New Roman" w:hAnsi="Times New Roman" w:cs="Times New Roman"/>
          <w:sz w:val="24"/>
          <w:szCs w:val="24"/>
        </w:rPr>
        <w:t xml:space="preserve">prognozată </w:t>
      </w:r>
      <w:r w:rsidR="0084530D" w:rsidRPr="00C34C61">
        <w:rPr>
          <w:rFonts w:ascii="Times New Roman" w:hAnsi="Times New Roman" w:cs="Times New Roman"/>
          <w:sz w:val="24"/>
          <w:szCs w:val="24"/>
        </w:rPr>
        <w:t xml:space="preserve">de energie electricǎ stocatǎ în unitǎţi de stocare racordate la </w:t>
      </w:r>
      <w:r w:rsidR="00764FB2" w:rsidRPr="00C34C61">
        <w:rPr>
          <w:rFonts w:ascii="Times New Roman" w:hAnsi="Times New Roman" w:cs="Times New Roman"/>
          <w:sz w:val="24"/>
          <w:szCs w:val="24"/>
        </w:rPr>
        <w:t>reţelele electrice</w:t>
      </w:r>
      <w:r w:rsidR="00546F4D" w:rsidRPr="00C34C61">
        <w:rPr>
          <w:rFonts w:ascii="Times New Roman" w:hAnsi="Times New Roman" w:cs="Times New Roman"/>
          <w:sz w:val="24"/>
          <w:szCs w:val="24"/>
        </w:rPr>
        <w:t xml:space="preserve"> pentru anul t+1</w:t>
      </w:r>
      <w:r w:rsidR="0084530D" w:rsidRPr="00C34C61">
        <w:rPr>
          <w:rFonts w:ascii="Times New Roman" w:hAnsi="Times New Roman" w:cs="Times New Roman"/>
          <w:sz w:val="24"/>
          <w:szCs w:val="24"/>
        </w:rPr>
        <w:t>.</w:t>
      </w:r>
      <w:r w:rsidR="003C4B54" w:rsidRPr="00C34C61">
        <w:rPr>
          <w:rFonts w:ascii="Times New Roman" w:hAnsi="Times New Roman" w:cs="Times New Roman"/>
          <w:sz w:val="24"/>
          <w:szCs w:val="24"/>
        </w:rPr>
        <w:t xml:space="preserve"> </w:t>
      </w:r>
    </w:p>
    <w:p w14:paraId="5C90DC16" w14:textId="71164346" w:rsidR="0084530D" w:rsidRPr="00C34C61" w:rsidRDefault="0084530D" w:rsidP="00891D46">
      <w:pPr>
        <w:pStyle w:val="ListParagraph"/>
        <w:numPr>
          <w:ilvl w:val="0"/>
          <w:numId w:val="4"/>
        </w:numPr>
        <w:ind w:left="0" w:firstLine="0"/>
        <w:jc w:val="both"/>
        <w:rPr>
          <w:rFonts w:ascii="Times New Roman" w:hAnsi="Times New Roman" w:cs="Times New Roman"/>
          <w:sz w:val="24"/>
          <w:szCs w:val="24"/>
        </w:rPr>
      </w:pPr>
      <w:r w:rsidRPr="00C34C61">
        <w:rPr>
          <w:rFonts w:ascii="Times New Roman" w:hAnsi="Times New Roman" w:cs="Times New Roman"/>
          <w:sz w:val="24"/>
          <w:szCs w:val="24"/>
        </w:rPr>
        <w:t xml:space="preserve">Cantitatea de energie electricǎ extrasă </w:t>
      </w:r>
      <w:r w:rsidR="00704FCD" w:rsidRPr="00C34C61">
        <w:rPr>
          <w:rFonts w:ascii="Times New Roman" w:hAnsi="Times New Roman" w:cs="Times New Roman"/>
          <w:sz w:val="24"/>
          <w:szCs w:val="24"/>
        </w:rPr>
        <w:t xml:space="preserve">din rețele </w:t>
      </w:r>
      <w:r w:rsidRPr="00C34C61">
        <w:rPr>
          <w:rFonts w:ascii="Times New Roman" w:hAnsi="Times New Roman" w:cs="Times New Roman"/>
          <w:sz w:val="24"/>
          <w:szCs w:val="24"/>
        </w:rPr>
        <w:t xml:space="preserve">utilizată la calculul corecțiilor </w:t>
      </w:r>
      <w:r w:rsidR="00632BFA" w:rsidRPr="00C34C61">
        <w:rPr>
          <w:rFonts w:ascii="Times New Roman" w:hAnsi="Times New Roman" w:cs="Times New Roman"/>
          <w:sz w:val="24"/>
          <w:szCs w:val="24"/>
        </w:rPr>
        <w:t xml:space="preserve">de venit aferente </w:t>
      </w:r>
      <w:r w:rsidR="00632BFA" w:rsidRPr="00C34C61">
        <w:rPr>
          <w:rFonts w:ascii="Times New Roman" w:hAnsi="Times New Roman" w:cs="Times New Roman"/>
          <w:sz w:val="24"/>
          <w:szCs w:val="24"/>
          <w:shd w:val="clear" w:color="auto" w:fill="FFFFFF"/>
        </w:rPr>
        <w:t xml:space="preserve">variației cantităților anuale de energie electrică extrasă din rețele față de cele prognozate </w:t>
      </w:r>
      <w:r w:rsidR="00546F4D" w:rsidRPr="00C34C61">
        <w:rPr>
          <w:rFonts w:ascii="Times New Roman" w:hAnsi="Times New Roman" w:cs="Times New Roman"/>
          <w:sz w:val="24"/>
          <w:szCs w:val="24"/>
          <w:shd w:val="clear" w:color="auto" w:fill="FFFFFF"/>
        </w:rPr>
        <w:t xml:space="preserve">pentru anul t-1 </w:t>
      </w:r>
      <w:r w:rsidR="00632BFA" w:rsidRPr="00C34C61">
        <w:rPr>
          <w:rFonts w:ascii="Times New Roman" w:hAnsi="Times New Roman" w:cs="Times New Roman"/>
          <w:sz w:val="24"/>
          <w:szCs w:val="24"/>
        </w:rPr>
        <w:t xml:space="preserve">se determină ca diferență între cantitatea totală de energie electrică extrasă </w:t>
      </w:r>
      <w:r w:rsidR="00704FCD" w:rsidRPr="00C34C61">
        <w:rPr>
          <w:rFonts w:ascii="Times New Roman" w:hAnsi="Times New Roman" w:cs="Times New Roman"/>
          <w:sz w:val="24"/>
          <w:szCs w:val="24"/>
        </w:rPr>
        <w:t>din rețele</w:t>
      </w:r>
      <w:r w:rsidR="006C70BE" w:rsidRPr="00C34C61">
        <w:rPr>
          <w:rFonts w:ascii="Times New Roman" w:hAnsi="Times New Roman" w:cs="Times New Roman"/>
          <w:sz w:val="24"/>
          <w:szCs w:val="24"/>
        </w:rPr>
        <w:t xml:space="preserve"> cu excepția energiei electrice exportate</w:t>
      </w:r>
      <w:r w:rsidR="00704FCD" w:rsidRPr="00C34C61">
        <w:rPr>
          <w:rFonts w:ascii="Times New Roman" w:hAnsi="Times New Roman" w:cs="Times New Roman"/>
          <w:sz w:val="24"/>
          <w:szCs w:val="24"/>
        </w:rPr>
        <w:t xml:space="preserve"> </w:t>
      </w:r>
      <w:r w:rsidR="00546F4D" w:rsidRPr="00C34C61">
        <w:rPr>
          <w:rFonts w:ascii="Times New Roman" w:hAnsi="Times New Roman" w:cs="Times New Roman"/>
          <w:sz w:val="24"/>
          <w:szCs w:val="24"/>
        </w:rPr>
        <w:t xml:space="preserve">pentru anul t-1 </w:t>
      </w:r>
      <w:r w:rsidR="00632BFA" w:rsidRPr="00C34C61">
        <w:rPr>
          <w:rFonts w:ascii="Times New Roman" w:hAnsi="Times New Roman" w:cs="Times New Roman"/>
          <w:sz w:val="24"/>
          <w:szCs w:val="24"/>
        </w:rPr>
        <w:t xml:space="preserve">și cantitatea de energie electricǎ stocatǎ în unitǎţi de stocare racordate la </w:t>
      </w:r>
      <w:r w:rsidR="007730CE" w:rsidRPr="00C34C61">
        <w:rPr>
          <w:rFonts w:ascii="Times New Roman" w:hAnsi="Times New Roman" w:cs="Times New Roman"/>
          <w:sz w:val="24"/>
          <w:szCs w:val="24"/>
        </w:rPr>
        <w:t>reţelele electrice</w:t>
      </w:r>
      <w:r w:rsidR="00546F4D" w:rsidRPr="00C34C61">
        <w:rPr>
          <w:rFonts w:ascii="Times New Roman" w:hAnsi="Times New Roman" w:cs="Times New Roman"/>
          <w:sz w:val="24"/>
          <w:szCs w:val="24"/>
        </w:rPr>
        <w:t xml:space="preserve"> pentru anul t-1</w:t>
      </w:r>
      <w:r w:rsidR="00632BFA" w:rsidRPr="00C34C61">
        <w:rPr>
          <w:rFonts w:ascii="Times New Roman" w:hAnsi="Times New Roman" w:cs="Times New Roman"/>
          <w:sz w:val="24"/>
          <w:szCs w:val="24"/>
        </w:rPr>
        <w:t>.</w:t>
      </w:r>
    </w:p>
    <w:p w14:paraId="5F9899D2" w14:textId="46846E3A" w:rsidR="00FE0C4D" w:rsidRPr="00C34C61" w:rsidRDefault="00FE0C4D" w:rsidP="00B84C27">
      <w:pPr>
        <w:jc w:val="both"/>
        <w:rPr>
          <w:rFonts w:ascii="Times New Roman" w:hAnsi="Times New Roman" w:cs="Times New Roman"/>
          <w:b/>
          <w:bCs/>
          <w:sz w:val="24"/>
          <w:szCs w:val="24"/>
          <w:lang w:val="en-US"/>
        </w:rPr>
      </w:pPr>
      <w:r w:rsidRPr="00C34C61">
        <w:rPr>
          <w:rFonts w:ascii="Times New Roman" w:hAnsi="Times New Roman" w:cs="Times New Roman"/>
          <w:b/>
          <w:bCs/>
          <w:sz w:val="24"/>
          <w:szCs w:val="24"/>
          <w:lang w:val="en-US"/>
        </w:rPr>
        <w:t xml:space="preserve">Articolul </w:t>
      </w:r>
      <w:r w:rsidR="004639EE" w:rsidRPr="00C34C61">
        <w:rPr>
          <w:rFonts w:ascii="Times New Roman" w:hAnsi="Times New Roman" w:cs="Times New Roman"/>
          <w:b/>
          <w:bCs/>
          <w:sz w:val="24"/>
          <w:szCs w:val="24"/>
          <w:lang w:val="en-US"/>
        </w:rPr>
        <w:t>9</w:t>
      </w:r>
    </w:p>
    <w:p w14:paraId="6FE82475" w14:textId="044C422D" w:rsidR="008705B3" w:rsidRPr="00C34C61" w:rsidRDefault="008705B3" w:rsidP="00891D46">
      <w:pPr>
        <w:pStyle w:val="ListParagraph"/>
        <w:numPr>
          <w:ilvl w:val="0"/>
          <w:numId w:val="10"/>
        </w:numPr>
        <w:ind w:left="0" w:firstLine="0"/>
        <w:jc w:val="both"/>
        <w:rPr>
          <w:rFonts w:ascii="Times New Roman" w:hAnsi="Times New Roman" w:cs="Times New Roman"/>
          <w:sz w:val="24"/>
          <w:szCs w:val="24"/>
        </w:rPr>
      </w:pPr>
      <w:r w:rsidRPr="00C34C61">
        <w:rPr>
          <w:rFonts w:ascii="Times New Roman" w:hAnsi="Times New Roman" w:cs="Times New Roman"/>
          <w:sz w:val="24"/>
          <w:szCs w:val="24"/>
        </w:rPr>
        <w:t xml:space="preserve">Cantitatea </w:t>
      </w:r>
      <w:r w:rsidR="00E81338" w:rsidRPr="00C34C61">
        <w:rPr>
          <w:rFonts w:ascii="Times New Roman" w:hAnsi="Times New Roman" w:cs="Times New Roman"/>
          <w:sz w:val="24"/>
          <w:szCs w:val="24"/>
        </w:rPr>
        <w:t xml:space="preserve">prognozată </w:t>
      </w:r>
      <w:r w:rsidRPr="00C34C61">
        <w:rPr>
          <w:rFonts w:ascii="Times New Roman" w:hAnsi="Times New Roman" w:cs="Times New Roman"/>
          <w:sz w:val="24"/>
          <w:szCs w:val="24"/>
        </w:rPr>
        <w:t>de energie electricǎ distribuitǎ</w:t>
      </w:r>
      <w:r w:rsidR="002A5F78" w:rsidRPr="00C34C61">
        <w:rPr>
          <w:rFonts w:ascii="Times New Roman" w:hAnsi="Times New Roman" w:cs="Times New Roman"/>
          <w:sz w:val="24"/>
          <w:szCs w:val="24"/>
        </w:rPr>
        <w:t xml:space="preserve"> utilizată </w:t>
      </w:r>
      <w:r w:rsidR="003348C4" w:rsidRPr="00C34C61">
        <w:rPr>
          <w:rFonts w:ascii="Times New Roman" w:hAnsi="Times New Roman" w:cs="Times New Roman"/>
          <w:sz w:val="24"/>
          <w:szCs w:val="24"/>
        </w:rPr>
        <w:t>la</w:t>
      </w:r>
      <w:r w:rsidR="002A5F78" w:rsidRPr="00C34C61">
        <w:rPr>
          <w:rFonts w:ascii="Times New Roman" w:hAnsi="Times New Roman" w:cs="Times New Roman"/>
          <w:sz w:val="24"/>
          <w:szCs w:val="24"/>
        </w:rPr>
        <w:t xml:space="preserve"> calculul tarif</w:t>
      </w:r>
      <w:r w:rsidR="0084530D" w:rsidRPr="00C34C61">
        <w:rPr>
          <w:rFonts w:ascii="Times New Roman" w:hAnsi="Times New Roman" w:cs="Times New Roman"/>
          <w:sz w:val="24"/>
          <w:szCs w:val="24"/>
        </w:rPr>
        <w:t>ului</w:t>
      </w:r>
      <w:r w:rsidR="002A5F78" w:rsidRPr="00C34C61">
        <w:rPr>
          <w:rFonts w:ascii="Times New Roman" w:hAnsi="Times New Roman" w:cs="Times New Roman"/>
          <w:sz w:val="24"/>
          <w:szCs w:val="24"/>
        </w:rPr>
        <w:t xml:space="preserve"> de distribuție aplicat clienților finali</w:t>
      </w:r>
      <w:r w:rsidRPr="00C34C61">
        <w:rPr>
          <w:rFonts w:ascii="Times New Roman" w:hAnsi="Times New Roman" w:cs="Times New Roman"/>
          <w:sz w:val="24"/>
          <w:szCs w:val="24"/>
        </w:rPr>
        <w:t xml:space="preserve"> </w:t>
      </w:r>
      <w:r w:rsidR="00290542" w:rsidRPr="00C34C61">
        <w:rPr>
          <w:rFonts w:ascii="Times New Roman" w:hAnsi="Times New Roman" w:cs="Times New Roman"/>
          <w:sz w:val="24"/>
          <w:szCs w:val="24"/>
        </w:rPr>
        <w:t>pentru un operator de distribuţie</w:t>
      </w:r>
      <w:r w:rsidR="00891D46" w:rsidRPr="00C34C61">
        <w:rPr>
          <w:rFonts w:ascii="Times New Roman" w:hAnsi="Times New Roman" w:cs="Times New Roman"/>
          <w:sz w:val="24"/>
          <w:szCs w:val="24"/>
        </w:rPr>
        <w:t xml:space="preserve"> concesionar</w:t>
      </w:r>
      <w:r w:rsidR="0084530D" w:rsidRPr="00C34C61">
        <w:rPr>
          <w:rFonts w:ascii="Times New Roman" w:hAnsi="Times New Roman" w:cs="Times New Roman"/>
          <w:sz w:val="24"/>
          <w:szCs w:val="24"/>
        </w:rPr>
        <w:t xml:space="preserve"> </w:t>
      </w:r>
      <w:r w:rsidR="00C519EB" w:rsidRPr="00C34C61">
        <w:rPr>
          <w:rFonts w:ascii="Times New Roman" w:hAnsi="Times New Roman" w:cs="Times New Roman"/>
          <w:sz w:val="24"/>
          <w:szCs w:val="24"/>
        </w:rPr>
        <w:t>pentru an</w:t>
      </w:r>
      <w:r w:rsidR="00546F4D" w:rsidRPr="00C34C61">
        <w:rPr>
          <w:rFonts w:ascii="Times New Roman" w:hAnsi="Times New Roman" w:cs="Times New Roman"/>
          <w:sz w:val="24"/>
          <w:szCs w:val="24"/>
        </w:rPr>
        <w:t>ul</w:t>
      </w:r>
      <w:r w:rsidR="00C519EB" w:rsidRPr="00C34C61">
        <w:rPr>
          <w:rFonts w:ascii="Times New Roman" w:hAnsi="Times New Roman" w:cs="Times New Roman"/>
          <w:sz w:val="24"/>
          <w:szCs w:val="24"/>
        </w:rPr>
        <w:t xml:space="preserve"> t</w:t>
      </w:r>
      <w:r w:rsidR="0087590D" w:rsidRPr="00C34C61">
        <w:rPr>
          <w:rFonts w:ascii="Times New Roman" w:hAnsi="Times New Roman" w:cs="Times New Roman"/>
          <w:sz w:val="24"/>
          <w:szCs w:val="24"/>
        </w:rPr>
        <w:t>+1</w:t>
      </w:r>
      <w:r w:rsidR="00C519EB" w:rsidRPr="00C34C61">
        <w:rPr>
          <w:rFonts w:ascii="Times New Roman" w:hAnsi="Times New Roman" w:cs="Times New Roman"/>
          <w:sz w:val="24"/>
          <w:szCs w:val="24"/>
        </w:rPr>
        <w:t xml:space="preserve"> </w:t>
      </w:r>
      <w:r w:rsidR="00290542" w:rsidRPr="00C34C61">
        <w:rPr>
          <w:rFonts w:ascii="Times New Roman" w:hAnsi="Times New Roman" w:cs="Times New Roman"/>
          <w:sz w:val="24"/>
          <w:szCs w:val="24"/>
        </w:rPr>
        <w:t xml:space="preserve">se </w:t>
      </w:r>
      <w:r w:rsidR="002A5F78" w:rsidRPr="00C34C61">
        <w:rPr>
          <w:rFonts w:ascii="Times New Roman" w:hAnsi="Times New Roman" w:cs="Times New Roman"/>
          <w:sz w:val="24"/>
          <w:szCs w:val="24"/>
        </w:rPr>
        <w:t xml:space="preserve">determină </w:t>
      </w:r>
      <w:r w:rsidR="00EF4095" w:rsidRPr="00C34C61">
        <w:rPr>
          <w:rFonts w:ascii="Times New Roman" w:hAnsi="Times New Roman" w:cs="Times New Roman"/>
          <w:sz w:val="24"/>
          <w:szCs w:val="24"/>
        </w:rPr>
        <w:t xml:space="preserve">pentru fiecare nivel de tensiune, </w:t>
      </w:r>
      <w:r w:rsidR="002A5F78" w:rsidRPr="00C34C61">
        <w:rPr>
          <w:rFonts w:ascii="Times New Roman" w:hAnsi="Times New Roman" w:cs="Times New Roman"/>
          <w:sz w:val="24"/>
          <w:szCs w:val="24"/>
        </w:rPr>
        <w:t xml:space="preserve">ca diferență între cantitatea totală </w:t>
      </w:r>
      <w:r w:rsidR="00EF4095" w:rsidRPr="00C34C61">
        <w:rPr>
          <w:rFonts w:ascii="Times New Roman" w:hAnsi="Times New Roman" w:cs="Times New Roman"/>
          <w:sz w:val="24"/>
          <w:szCs w:val="24"/>
        </w:rPr>
        <w:t xml:space="preserve">prognozată </w:t>
      </w:r>
      <w:r w:rsidR="002A5F78" w:rsidRPr="00C34C61">
        <w:rPr>
          <w:rFonts w:ascii="Times New Roman" w:hAnsi="Times New Roman" w:cs="Times New Roman"/>
          <w:sz w:val="24"/>
          <w:szCs w:val="24"/>
        </w:rPr>
        <w:t xml:space="preserve">de energie electrică distribuită </w:t>
      </w:r>
      <w:r w:rsidR="00546F4D" w:rsidRPr="00C34C61">
        <w:rPr>
          <w:rFonts w:ascii="Times New Roman" w:hAnsi="Times New Roman" w:cs="Times New Roman"/>
          <w:sz w:val="24"/>
          <w:szCs w:val="24"/>
        </w:rPr>
        <w:t xml:space="preserve">pentru anul t+1 </w:t>
      </w:r>
      <w:r w:rsidR="002A5F78" w:rsidRPr="00C34C61">
        <w:rPr>
          <w:rFonts w:ascii="Times New Roman" w:hAnsi="Times New Roman" w:cs="Times New Roman"/>
          <w:sz w:val="24"/>
          <w:szCs w:val="24"/>
        </w:rPr>
        <w:t xml:space="preserve">și </w:t>
      </w:r>
      <w:r w:rsidR="00290542" w:rsidRPr="00C34C61">
        <w:rPr>
          <w:rFonts w:ascii="Times New Roman" w:hAnsi="Times New Roman" w:cs="Times New Roman"/>
          <w:sz w:val="24"/>
          <w:szCs w:val="24"/>
        </w:rPr>
        <w:t xml:space="preserve">cantitatea </w:t>
      </w:r>
      <w:r w:rsidR="00E81338" w:rsidRPr="00C34C61">
        <w:rPr>
          <w:rFonts w:ascii="Times New Roman" w:hAnsi="Times New Roman" w:cs="Times New Roman"/>
          <w:sz w:val="24"/>
          <w:szCs w:val="24"/>
        </w:rPr>
        <w:t xml:space="preserve">prognozată </w:t>
      </w:r>
      <w:r w:rsidR="00290542" w:rsidRPr="00C34C61">
        <w:rPr>
          <w:rFonts w:ascii="Times New Roman" w:hAnsi="Times New Roman" w:cs="Times New Roman"/>
          <w:sz w:val="24"/>
          <w:szCs w:val="24"/>
        </w:rPr>
        <w:t>de energie electricǎ stocatǎ în unitǎţi de stocare racordate la reţelele electrice deţinute de operatorul de distribuţie respectiv</w:t>
      </w:r>
      <w:r w:rsidR="0087590D" w:rsidRPr="00C34C61">
        <w:rPr>
          <w:rFonts w:ascii="Times New Roman" w:hAnsi="Times New Roman" w:cs="Times New Roman"/>
          <w:sz w:val="24"/>
          <w:szCs w:val="24"/>
        </w:rPr>
        <w:t>,</w:t>
      </w:r>
      <w:r w:rsidR="00C519EB" w:rsidRPr="00C34C61">
        <w:rPr>
          <w:rFonts w:ascii="Times New Roman" w:hAnsi="Times New Roman" w:cs="Times New Roman"/>
          <w:sz w:val="24"/>
          <w:szCs w:val="24"/>
        </w:rPr>
        <w:t xml:space="preserve"> pentru anul t</w:t>
      </w:r>
      <w:r w:rsidR="0087590D" w:rsidRPr="00C34C61">
        <w:rPr>
          <w:rFonts w:ascii="Times New Roman" w:hAnsi="Times New Roman" w:cs="Times New Roman"/>
          <w:sz w:val="24"/>
          <w:szCs w:val="24"/>
        </w:rPr>
        <w:t>+1</w:t>
      </w:r>
      <w:r w:rsidR="00290542" w:rsidRPr="00C34C61">
        <w:rPr>
          <w:rFonts w:ascii="Times New Roman" w:hAnsi="Times New Roman" w:cs="Times New Roman"/>
          <w:sz w:val="24"/>
          <w:szCs w:val="24"/>
        </w:rPr>
        <w:t>.</w:t>
      </w:r>
    </w:p>
    <w:p w14:paraId="3951868C" w14:textId="20B0003A" w:rsidR="00C519EB" w:rsidRPr="00C34C61" w:rsidRDefault="00C519EB" w:rsidP="00C519EB">
      <w:pPr>
        <w:pStyle w:val="ListParagraph"/>
        <w:numPr>
          <w:ilvl w:val="0"/>
          <w:numId w:val="10"/>
        </w:numPr>
        <w:ind w:left="0" w:firstLine="0"/>
        <w:jc w:val="both"/>
        <w:rPr>
          <w:rFonts w:ascii="Times New Roman" w:hAnsi="Times New Roman" w:cs="Times New Roman"/>
          <w:sz w:val="24"/>
          <w:szCs w:val="24"/>
        </w:rPr>
      </w:pPr>
      <w:r w:rsidRPr="00C34C61">
        <w:rPr>
          <w:rFonts w:ascii="Times New Roman" w:hAnsi="Times New Roman" w:cs="Times New Roman"/>
          <w:sz w:val="24"/>
          <w:szCs w:val="24"/>
        </w:rPr>
        <w:lastRenderedPageBreak/>
        <w:t>Cantitatea prognozată de energie electricǎ stocatǎ în unitǎţi de stocare racordate la reţelele electrice deţinute de operatorul de distribuţie concesionar, prevăzută la alin. (1), se ia în considerare la stabilirea tarifului de introducere a energiei electrice în reţeaua de distribuţie (TGD), respectiv a componentelor tarifare care îl compun, pentru anul t</w:t>
      </w:r>
      <w:r w:rsidR="0087590D" w:rsidRPr="00C34C61">
        <w:rPr>
          <w:rFonts w:ascii="Times New Roman" w:hAnsi="Times New Roman" w:cs="Times New Roman"/>
          <w:sz w:val="24"/>
          <w:szCs w:val="24"/>
        </w:rPr>
        <w:t>+1</w:t>
      </w:r>
      <w:r w:rsidRPr="00C34C61">
        <w:rPr>
          <w:rFonts w:ascii="Times New Roman" w:hAnsi="Times New Roman" w:cs="Times New Roman"/>
          <w:sz w:val="24"/>
          <w:szCs w:val="24"/>
        </w:rPr>
        <w:t>.</w:t>
      </w:r>
    </w:p>
    <w:p w14:paraId="79F63306" w14:textId="6AE9E0D5" w:rsidR="0084530D" w:rsidRPr="00C34C61" w:rsidRDefault="0084530D" w:rsidP="00891D46">
      <w:pPr>
        <w:pStyle w:val="ListParagraph"/>
        <w:numPr>
          <w:ilvl w:val="0"/>
          <w:numId w:val="10"/>
        </w:numPr>
        <w:ind w:left="0" w:firstLine="0"/>
        <w:jc w:val="both"/>
        <w:rPr>
          <w:rFonts w:ascii="Times New Roman" w:hAnsi="Times New Roman" w:cs="Times New Roman"/>
          <w:sz w:val="24"/>
          <w:szCs w:val="24"/>
        </w:rPr>
      </w:pPr>
      <w:r w:rsidRPr="00C34C61">
        <w:rPr>
          <w:rFonts w:ascii="Times New Roman" w:hAnsi="Times New Roman" w:cs="Times New Roman"/>
          <w:sz w:val="24"/>
          <w:szCs w:val="24"/>
        </w:rPr>
        <w:t xml:space="preserve">Cantitatea de energie electricǎ distribuitǎ utilizată la calculul corecțiilor de venit </w:t>
      </w:r>
      <w:r w:rsidR="00A0525C" w:rsidRPr="00C34C61">
        <w:rPr>
          <w:rFonts w:ascii="Times New Roman" w:hAnsi="Times New Roman" w:cs="Times New Roman"/>
          <w:sz w:val="24"/>
          <w:szCs w:val="24"/>
        </w:rPr>
        <w:t xml:space="preserve">reglementat </w:t>
      </w:r>
      <w:r w:rsidR="00E81338" w:rsidRPr="00C34C61">
        <w:rPr>
          <w:rFonts w:ascii="Times New Roman" w:hAnsi="Times New Roman" w:cs="Times New Roman"/>
          <w:sz w:val="24"/>
          <w:szCs w:val="24"/>
        </w:rPr>
        <w:t xml:space="preserve">aferente </w:t>
      </w:r>
      <w:r w:rsidR="00E81338" w:rsidRPr="00C34C61">
        <w:rPr>
          <w:rFonts w:ascii="Times New Roman" w:hAnsi="Times New Roman" w:cs="Times New Roman"/>
          <w:sz w:val="24"/>
          <w:szCs w:val="24"/>
          <w:shd w:val="clear" w:color="auto" w:fill="FFFFFF"/>
        </w:rPr>
        <w:t xml:space="preserve">variației cantităților anuale de energie electrică distribuită față de cele prognozate </w:t>
      </w:r>
      <w:r w:rsidR="00891D46" w:rsidRPr="00C34C61">
        <w:rPr>
          <w:rFonts w:ascii="Times New Roman" w:hAnsi="Times New Roman" w:cs="Times New Roman"/>
          <w:sz w:val="24"/>
          <w:szCs w:val="24"/>
          <w:shd w:val="clear" w:color="auto" w:fill="FFFFFF"/>
        </w:rPr>
        <w:t xml:space="preserve">pentru un operator de distribuție concesionar </w:t>
      </w:r>
      <w:r w:rsidR="00C519EB" w:rsidRPr="00C34C61">
        <w:rPr>
          <w:rFonts w:ascii="Times New Roman" w:hAnsi="Times New Roman" w:cs="Times New Roman"/>
          <w:sz w:val="24"/>
          <w:szCs w:val="24"/>
          <w:shd w:val="clear" w:color="auto" w:fill="FFFFFF"/>
        </w:rPr>
        <w:t xml:space="preserve">pentru anul t-1 </w:t>
      </w:r>
      <w:r w:rsidR="00E81338" w:rsidRPr="00C34C61">
        <w:rPr>
          <w:rFonts w:ascii="Times New Roman" w:hAnsi="Times New Roman" w:cs="Times New Roman"/>
          <w:sz w:val="24"/>
          <w:szCs w:val="24"/>
        </w:rPr>
        <w:t xml:space="preserve">se determină </w:t>
      </w:r>
      <w:r w:rsidR="00EF4095" w:rsidRPr="00C34C61">
        <w:rPr>
          <w:rFonts w:ascii="Times New Roman" w:hAnsi="Times New Roman" w:cs="Times New Roman"/>
          <w:sz w:val="24"/>
          <w:szCs w:val="24"/>
        </w:rPr>
        <w:t xml:space="preserve">pentru fiecare nivel de tensiune, </w:t>
      </w:r>
      <w:r w:rsidR="00E81338" w:rsidRPr="00C34C61">
        <w:rPr>
          <w:rFonts w:ascii="Times New Roman" w:hAnsi="Times New Roman" w:cs="Times New Roman"/>
          <w:sz w:val="24"/>
          <w:szCs w:val="24"/>
        </w:rPr>
        <w:t xml:space="preserve">ca diferență între cantitatea totală de energie electrică distribuită </w:t>
      </w:r>
      <w:r w:rsidR="00C519EB" w:rsidRPr="00C34C61">
        <w:rPr>
          <w:rFonts w:ascii="Times New Roman" w:hAnsi="Times New Roman" w:cs="Times New Roman"/>
          <w:sz w:val="24"/>
          <w:szCs w:val="24"/>
        </w:rPr>
        <w:t xml:space="preserve">în anul t-1 </w:t>
      </w:r>
      <w:r w:rsidR="00E81338" w:rsidRPr="00C34C61">
        <w:rPr>
          <w:rFonts w:ascii="Times New Roman" w:hAnsi="Times New Roman" w:cs="Times New Roman"/>
          <w:sz w:val="24"/>
          <w:szCs w:val="24"/>
        </w:rPr>
        <w:t xml:space="preserve">și cantitatea de energie electricǎ stocatǎ în unitǎţi de stocare racordate la reţelele electrice deţinute de </w:t>
      </w:r>
      <w:r w:rsidR="00F731E2" w:rsidRPr="00C34C61">
        <w:rPr>
          <w:rFonts w:ascii="Times New Roman" w:hAnsi="Times New Roman" w:cs="Times New Roman"/>
          <w:sz w:val="24"/>
          <w:szCs w:val="24"/>
        </w:rPr>
        <w:t>operatorul de distribuţie respectiv</w:t>
      </w:r>
      <w:r w:rsidR="00C519EB" w:rsidRPr="00C34C61">
        <w:rPr>
          <w:rFonts w:ascii="Times New Roman" w:hAnsi="Times New Roman" w:cs="Times New Roman"/>
          <w:sz w:val="24"/>
          <w:szCs w:val="24"/>
        </w:rPr>
        <w:t xml:space="preserve"> în anul t-1</w:t>
      </w:r>
      <w:r w:rsidR="00F731E2" w:rsidRPr="00C34C61">
        <w:rPr>
          <w:rFonts w:ascii="Times New Roman" w:hAnsi="Times New Roman" w:cs="Times New Roman"/>
          <w:sz w:val="24"/>
          <w:szCs w:val="24"/>
        </w:rPr>
        <w:t>.</w:t>
      </w:r>
    </w:p>
    <w:p w14:paraId="37C497B4" w14:textId="296348E3" w:rsidR="0027308D" w:rsidRPr="00C34C61" w:rsidRDefault="00437610" w:rsidP="00891D46">
      <w:pPr>
        <w:pStyle w:val="ListParagraph"/>
        <w:numPr>
          <w:ilvl w:val="0"/>
          <w:numId w:val="10"/>
        </w:numPr>
        <w:ind w:left="0" w:firstLine="0"/>
        <w:jc w:val="both"/>
        <w:rPr>
          <w:rFonts w:ascii="Times New Roman" w:hAnsi="Times New Roman" w:cs="Times New Roman"/>
          <w:sz w:val="24"/>
          <w:szCs w:val="24"/>
        </w:rPr>
      </w:pPr>
      <w:r w:rsidRPr="00C34C61">
        <w:rPr>
          <w:rFonts w:ascii="Times New Roman" w:hAnsi="Times New Roman" w:cs="Times New Roman"/>
          <w:sz w:val="24"/>
          <w:szCs w:val="24"/>
        </w:rPr>
        <w:t xml:space="preserve">Cantitatea de energie electricǎ stocatǎ </w:t>
      </w:r>
      <w:r w:rsidR="00B854BF" w:rsidRPr="00C34C61">
        <w:rPr>
          <w:rFonts w:ascii="Times New Roman" w:hAnsi="Times New Roman" w:cs="Times New Roman"/>
          <w:sz w:val="24"/>
          <w:szCs w:val="24"/>
        </w:rPr>
        <w:t xml:space="preserve">în anul t-1 </w:t>
      </w:r>
      <w:r w:rsidRPr="00C34C61">
        <w:rPr>
          <w:rFonts w:ascii="Times New Roman" w:hAnsi="Times New Roman" w:cs="Times New Roman"/>
          <w:sz w:val="24"/>
          <w:szCs w:val="24"/>
        </w:rPr>
        <w:t xml:space="preserve">în unitǎţi de stocare racordate la reţelele electrice deţinute de operatorul de distribuție concesionar, </w:t>
      </w:r>
      <w:r w:rsidR="00C519EB" w:rsidRPr="00C34C61">
        <w:rPr>
          <w:rFonts w:ascii="Times New Roman" w:hAnsi="Times New Roman" w:cs="Times New Roman"/>
          <w:sz w:val="24"/>
          <w:szCs w:val="24"/>
        </w:rPr>
        <w:t xml:space="preserve">prevăzută la alin. (3), </w:t>
      </w:r>
      <w:r w:rsidRPr="00C34C61">
        <w:rPr>
          <w:rFonts w:ascii="Times New Roman" w:hAnsi="Times New Roman" w:cs="Times New Roman"/>
          <w:sz w:val="24"/>
          <w:szCs w:val="24"/>
        </w:rPr>
        <w:t>se ia în considerare la stabilirea corecțiilor</w:t>
      </w:r>
      <w:r w:rsidRPr="00C34C61">
        <w:rPr>
          <w:rFonts w:ascii="Times New Roman" w:eastAsia="Times New Roman" w:hAnsi="Times New Roman" w:cs="Times New Roman"/>
          <w:sz w:val="24"/>
          <w:szCs w:val="24"/>
        </w:rPr>
        <w:t xml:space="preserve"> venitului reglementat CPT</w:t>
      </w:r>
      <w:r w:rsidR="00C519EB" w:rsidRPr="00C34C61">
        <w:rPr>
          <w:rFonts w:ascii="Times New Roman" w:eastAsia="Times New Roman" w:hAnsi="Times New Roman" w:cs="Times New Roman"/>
          <w:sz w:val="24"/>
          <w:szCs w:val="24"/>
        </w:rPr>
        <w:t>util</w:t>
      </w:r>
      <w:r w:rsidRPr="00C34C61">
        <w:rPr>
          <w:rFonts w:ascii="Times New Roman" w:eastAsia="Times New Roman" w:hAnsi="Times New Roman" w:cs="Times New Roman"/>
          <w:sz w:val="24"/>
          <w:szCs w:val="24"/>
        </w:rPr>
        <w:t xml:space="preserve"> </w:t>
      </w:r>
      <w:r w:rsidR="00C519EB" w:rsidRPr="00C34C61">
        <w:rPr>
          <w:rFonts w:ascii="Times New Roman" w:eastAsia="Times New Roman" w:hAnsi="Times New Roman" w:cs="Times New Roman"/>
          <w:sz w:val="24"/>
          <w:szCs w:val="24"/>
        </w:rPr>
        <w:t xml:space="preserve">datorate </w:t>
      </w:r>
      <w:r w:rsidRPr="00C34C61">
        <w:rPr>
          <w:rStyle w:val="slitbdy"/>
          <w:rFonts w:ascii="Times New Roman" w:eastAsia="Times New Roman" w:hAnsi="Times New Roman" w:cs="Times New Roman"/>
          <w:color w:val="auto"/>
          <w:sz w:val="24"/>
          <w:szCs w:val="24"/>
        </w:rPr>
        <w:t xml:space="preserve">modificării cantităţilor de energie electrică introduse </w:t>
      </w:r>
      <w:r w:rsidR="00C519EB" w:rsidRPr="00C34C61">
        <w:rPr>
          <w:rStyle w:val="slitbdy"/>
          <w:rFonts w:ascii="Times New Roman" w:eastAsia="Times New Roman" w:hAnsi="Times New Roman" w:cs="Times New Roman"/>
          <w:color w:val="auto"/>
          <w:sz w:val="24"/>
          <w:szCs w:val="24"/>
        </w:rPr>
        <w:t xml:space="preserve">în rețea </w:t>
      </w:r>
      <w:r w:rsidRPr="00C34C61">
        <w:rPr>
          <w:rStyle w:val="slitbdy"/>
          <w:rFonts w:ascii="Times New Roman" w:eastAsia="Times New Roman" w:hAnsi="Times New Roman" w:cs="Times New Roman"/>
          <w:color w:val="auto"/>
          <w:sz w:val="24"/>
          <w:szCs w:val="24"/>
        </w:rPr>
        <w:t>faţă de cele prognozate</w:t>
      </w:r>
      <w:r w:rsidR="00C519EB" w:rsidRPr="00C34C61">
        <w:rPr>
          <w:rStyle w:val="slitbdy"/>
          <w:rFonts w:ascii="Times New Roman" w:eastAsia="Times New Roman" w:hAnsi="Times New Roman" w:cs="Times New Roman"/>
          <w:color w:val="auto"/>
          <w:sz w:val="24"/>
          <w:szCs w:val="24"/>
        </w:rPr>
        <w:t xml:space="preserve"> pentru anul t-1.</w:t>
      </w:r>
    </w:p>
    <w:p w14:paraId="33CE08E2" w14:textId="0CD3441C" w:rsidR="00A5080E" w:rsidRPr="00C34C61" w:rsidRDefault="00A5080E" w:rsidP="00A5080E">
      <w:pPr>
        <w:jc w:val="both"/>
        <w:rPr>
          <w:rFonts w:ascii="Times New Roman" w:hAnsi="Times New Roman" w:cs="Times New Roman"/>
          <w:b/>
          <w:bCs/>
          <w:sz w:val="24"/>
          <w:szCs w:val="24"/>
          <w:lang w:val="en-US"/>
        </w:rPr>
      </w:pPr>
      <w:r w:rsidRPr="00C34C61">
        <w:rPr>
          <w:rFonts w:ascii="Times New Roman" w:hAnsi="Times New Roman" w:cs="Times New Roman"/>
          <w:b/>
          <w:bCs/>
          <w:sz w:val="24"/>
          <w:szCs w:val="24"/>
          <w:lang w:val="en-US"/>
        </w:rPr>
        <w:t xml:space="preserve">Articolul </w:t>
      </w:r>
      <w:r w:rsidR="004639EE" w:rsidRPr="00C34C61">
        <w:rPr>
          <w:rFonts w:ascii="Times New Roman" w:hAnsi="Times New Roman" w:cs="Times New Roman"/>
          <w:b/>
          <w:bCs/>
          <w:sz w:val="24"/>
          <w:szCs w:val="24"/>
          <w:lang w:val="en-US"/>
        </w:rPr>
        <w:t>10</w:t>
      </w:r>
    </w:p>
    <w:p w14:paraId="32495DEC" w14:textId="25CC25C6" w:rsidR="003F4138" w:rsidRPr="00C34C61" w:rsidRDefault="003F4138" w:rsidP="00214626">
      <w:pPr>
        <w:pStyle w:val="ListParagraph"/>
        <w:numPr>
          <w:ilvl w:val="0"/>
          <w:numId w:val="14"/>
        </w:numPr>
        <w:ind w:left="0" w:firstLine="0"/>
        <w:jc w:val="both"/>
        <w:rPr>
          <w:rFonts w:ascii="Times New Roman" w:hAnsi="Times New Roman" w:cs="Times New Roman"/>
          <w:sz w:val="24"/>
          <w:szCs w:val="24"/>
        </w:rPr>
      </w:pPr>
      <w:r w:rsidRPr="00C34C61">
        <w:rPr>
          <w:rFonts w:ascii="Times New Roman" w:hAnsi="Times New Roman" w:cs="Times New Roman"/>
          <w:sz w:val="24"/>
          <w:szCs w:val="24"/>
          <w:specVanish/>
        </w:rPr>
        <w:t>Tariful de introducere a energiei electrice în rețeaua de distribuție (TGD</w:t>
      </w:r>
      <w:r w:rsidR="0027308D" w:rsidRPr="00C34C61">
        <w:rPr>
          <w:rFonts w:ascii="Times New Roman" w:hAnsi="Times New Roman" w:cs="Times New Roman"/>
          <w:sz w:val="24"/>
          <w:szCs w:val="24"/>
        </w:rPr>
        <w:t>)</w:t>
      </w:r>
      <w:r w:rsidRPr="00C34C61">
        <w:rPr>
          <w:rFonts w:ascii="Times New Roman" w:hAnsi="Times New Roman" w:cs="Times New Roman"/>
          <w:sz w:val="24"/>
          <w:szCs w:val="24"/>
          <w:specVanish/>
        </w:rPr>
        <w:t xml:space="preserve"> aprobat de ANRE care se aplică la producătorii care introduc energie electrică în RED se aplică și pentru cantitatea de </w:t>
      </w:r>
      <w:r w:rsidR="006B3116" w:rsidRPr="00C34C61">
        <w:rPr>
          <w:rFonts w:ascii="Times New Roman" w:hAnsi="Times New Roman" w:cs="Times New Roman"/>
          <w:sz w:val="24"/>
          <w:szCs w:val="24"/>
        </w:rPr>
        <w:t>e</w:t>
      </w:r>
      <w:r w:rsidRPr="00C34C61">
        <w:rPr>
          <w:rFonts w:ascii="Times New Roman" w:hAnsi="Times New Roman" w:cs="Times New Roman"/>
          <w:sz w:val="24"/>
          <w:szCs w:val="24"/>
        </w:rPr>
        <w:t>nergie electrică stocată, inclusiv în cazul funcţionării în regim de pompaj a unei CHEAP corespunzător nivelului de tensiune la care energi</w:t>
      </w:r>
      <w:r w:rsidR="00DE3EDA" w:rsidRPr="00C34C61">
        <w:rPr>
          <w:rFonts w:ascii="Times New Roman" w:hAnsi="Times New Roman" w:cs="Times New Roman"/>
          <w:sz w:val="24"/>
          <w:szCs w:val="24"/>
        </w:rPr>
        <w:t>a este introdusă</w:t>
      </w:r>
      <w:r w:rsidRPr="00C34C61">
        <w:rPr>
          <w:rFonts w:ascii="Times New Roman" w:hAnsi="Times New Roman" w:cs="Times New Roman"/>
          <w:sz w:val="24"/>
          <w:szCs w:val="24"/>
        </w:rPr>
        <w:t xml:space="preserve"> în RED</w:t>
      </w:r>
      <w:r w:rsidR="00DE3EDA" w:rsidRPr="00C34C61">
        <w:rPr>
          <w:rFonts w:ascii="Times New Roman" w:hAnsi="Times New Roman" w:cs="Times New Roman"/>
          <w:sz w:val="24"/>
          <w:szCs w:val="24"/>
        </w:rPr>
        <w:t>.</w:t>
      </w:r>
    </w:p>
    <w:p w14:paraId="159CD402" w14:textId="0CDAC414" w:rsidR="00B41F4E" w:rsidRPr="00C34C61" w:rsidRDefault="0027308D" w:rsidP="0027308D">
      <w:pPr>
        <w:pStyle w:val="ListParagraph"/>
        <w:numPr>
          <w:ilvl w:val="0"/>
          <w:numId w:val="14"/>
        </w:numPr>
        <w:ind w:left="0" w:firstLine="0"/>
        <w:jc w:val="both"/>
        <w:rPr>
          <w:rFonts w:ascii="Times New Roman" w:hAnsi="Times New Roman" w:cs="Times New Roman"/>
          <w:sz w:val="24"/>
          <w:szCs w:val="24"/>
        </w:rPr>
      </w:pPr>
      <w:r w:rsidRPr="00C34C61">
        <w:rPr>
          <w:rFonts w:ascii="Times New Roman" w:hAnsi="Times New Roman" w:cs="Times New Roman"/>
          <w:sz w:val="24"/>
          <w:szCs w:val="24"/>
        </w:rPr>
        <w:t>P</w:t>
      </w:r>
      <w:r w:rsidR="00A5080E" w:rsidRPr="00C34C61">
        <w:rPr>
          <w:rFonts w:ascii="Times New Roman" w:hAnsi="Times New Roman" w:cs="Times New Roman"/>
          <w:sz w:val="24"/>
          <w:szCs w:val="24"/>
        </w:rPr>
        <w:t>ână la stabilirea de către ANRE a unui coeficient de alocare a costurilor cu CPT între prod</w:t>
      </w:r>
      <w:r w:rsidR="00DE3EDA" w:rsidRPr="00C34C61">
        <w:rPr>
          <w:rFonts w:ascii="Times New Roman" w:hAnsi="Times New Roman" w:cs="Times New Roman"/>
          <w:sz w:val="24"/>
          <w:szCs w:val="24"/>
        </w:rPr>
        <w:t>u</w:t>
      </w:r>
      <w:r w:rsidR="00A5080E" w:rsidRPr="00C34C61">
        <w:rPr>
          <w:rFonts w:ascii="Times New Roman" w:hAnsi="Times New Roman" w:cs="Times New Roman"/>
          <w:sz w:val="24"/>
          <w:szCs w:val="24"/>
        </w:rPr>
        <w:t>cători și clienți</w:t>
      </w:r>
      <w:r w:rsidR="00DE3EDA" w:rsidRPr="00C34C61">
        <w:rPr>
          <w:rFonts w:ascii="Times New Roman" w:hAnsi="Times New Roman" w:cs="Times New Roman"/>
          <w:sz w:val="24"/>
          <w:szCs w:val="24"/>
        </w:rPr>
        <w:t>i</w:t>
      </w:r>
      <w:r w:rsidR="00A5080E" w:rsidRPr="00C34C61">
        <w:rPr>
          <w:rFonts w:ascii="Times New Roman" w:hAnsi="Times New Roman" w:cs="Times New Roman"/>
          <w:sz w:val="24"/>
          <w:szCs w:val="24"/>
        </w:rPr>
        <w:t xml:space="preserve"> finali, pe baza studiilor și/sau documentațiilor de fundamentare, tran</w:t>
      </w:r>
      <w:r w:rsidR="00DE3EDA" w:rsidRPr="00C34C61">
        <w:rPr>
          <w:rFonts w:ascii="Times New Roman" w:hAnsi="Times New Roman" w:cs="Times New Roman"/>
          <w:sz w:val="24"/>
          <w:szCs w:val="24"/>
        </w:rPr>
        <w:t>s</w:t>
      </w:r>
      <w:r w:rsidR="00A5080E" w:rsidRPr="00C34C61">
        <w:rPr>
          <w:rFonts w:ascii="Times New Roman" w:hAnsi="Times New Roman" w:cs="Times New Roman"/>
          <w:sz w:val="24"/>
          <w:szCs w:val="24"/>
        </w:rPr>
        <w:t xml:space="preserve">mise de operatorii de distribuție concesionari, </w:t>
      </w:r>
      <w:r w:rsidR="00DE3EDA" w:rsidRPr="00C34C61">
        <w:rPr>
          <w:rFonts w:ascii="Times New Roman" w:hAnsi="Times New Roman" w:cs="Times New Roman"/>
          <w:sz w:val="24"/>
          <w:szCs w:val="24"/>
        </w:rPr>
        <w:t xml:space="preserve">în conformitate cu prevederile metodologiei de stabilire a tarifelor, </w:t>
      </w:r>
      <w:r w:rsidR="00A5080E" w:rsidRPr="00C34C61">
        <w:rPr>
          <w:rFonts w:ascii="Times New Roman" w:hAnsi="Times New Roman" w:cs="Times New Roman"/>
          <w:sz w:val="24"/>
          <w:szCs w:val="24"/>
        </w:rPr>
        <w:t>prin care să se evidenţieze şi să se cuantifice pierderile suplimentare determinate de excedentul de energie produsă în reţelele electrice de distribuţie, pentru regimuri de funcţionare caracteristice</w:t>
      </w:r>
      <w:r w:rsidRPr="00C34C61">
        <w:rPr>
          <w:rFonts w:ascii="Times New Roman" w:hAnsi="Times New Roman" w:cs="Times New Roman"/>
          <w:sz w:val="24"/>
          <w:szCs w:val="24"/>
        </w:rPr>
        <w:t xml:space="preserve">, prin tariful prevăzut la alin. (1) operatorii de distribuție </w:t>
      </w:r>
      <w:r w:rsidR="00A9379A" w:rsidRPr="00C34C61">
        <w:rPr>
          <w:rFonts w:ascii="Times New Roman" w:hAnsi="Times New Roman" w:cs="Times New Roman"/>
          <w:sz w:val="24"/>
          <w:szCs w:val="24"/>
        </w:rPr>
        <w:t xml:space="preserve">concesionari </w:t>
      </w:r>
      <w:r w:rsidRPr="00C34C61">
        <w:rPr>
          <w:rFonts w:ascii="Times New Roman" w:hAnsi="Times New Roman" w:cs="Times New Roman"/>
          <w:sz w:val="24"/>
          <w:szCs w:val="24"/>
        </w:rPr>
        <w:t xml:space="preserve">recuperează numai costuri aferente congestiilor. </w:t>
      </w:r>
    </w:p>
    <w:p w14:paraId="72E59ACC" w14:textId="465A0F22" w:rsidR="00F51565" w:rsidRPr="00C34C61" w:rsidRDefault="00F51565" w:rsidP="00500ADA">
      <w:pPr>
        <w:jc w:val="both"/>
        <w:rPr>
          <w:rFonts w:ascii="Times New Roman" w:hAnsi="Times New Roman" w:cs="Times New Roman"/>
          <w:b/>
          <w:bCs/>
          <w:sz w:val="24"/>
          <w:szCs w:val="24"/>
          <w:lang w:val="en-US"/>
        </w:rPr>
      </w:pPr>
      <w:r w:rsidRPr="00C34C61">
        <w:rPr>
          <w:rFonts w:ascii="Times New Roman" w:hAnsi="Times New Roman" w:cs="Times New Roman"/>
          <w:b/>
          <w:bCs/>
          <w:sz w:val="24"/>
          <w:szCs w:val="24"/>
          <w:lang w:val="en-US"/>
        </w:rPr>
        <w:t>Articolul 11</w:t>
      </w:r>
    </w:p>
    <w:p w14:paraId="205404C1" w14:textId="17793AD3" w:rsidR="00F51565" w:rsidRPr="00C34C61" w:rsidRDefault="00F51565" w:rsidP="00500ADA">
      <w:pPr>
        <w:pStyle w:val="ListParagraph"/>
        <w:numPr>
          <w:ilvl w:val="0"/>
          <w:numId w:val="16"/>
        </w:numPr>
        <w:ind w:hanging="720"/>
        <w:jc w:val="both"/>
        <w:rPr>
          <w:rFonts w:ascii="Times New Roman" w:hAnsi="Times New Roman" w:cs="Times New Roman"/>
          <w:sz w:val="24"/>
          <w:szCs w:val="24"/>
        </w:rPr>
      </w:pPr>
      <w:r w:rsidRPr="00C34C61">
        <w:rPr>
          <w:rFonts w:ascii="Times New Roman" w:hAnsi="Times New Roman" w:cs="Times New Roman"/>
          <w:sz w:val="24"/>
          <w:szCs w:val="24"/>
        </w:rPr>
        <w:t xml:space="preserve">Tarifele de rețea pentru energia stocată se percep de </w:t>
      </w:r>
      <w:r w:rsidR="00997196" w:rsidRPr="00C34C61">
        <w:rPr>
          <w:rFonts w:ascii="Times New Roman" w:hAnsi="Times New Roman" w:cs="Times New Roman"/>
          <w:sz w:val="24"/>
          <w:szCs w:val="24"/>
        </w:rPr>
        <w:t>operatorii de rețea</w:t>
      </w:r>
      <w:r w:rsidRPr="00C34C61">
        <w:rPr>
          <w:rFonts w:ascii="Times New Roman" w:hAnsi="Times New Roman" w:cs="Times New Roman"/>
          <w:sz w:val="24"/>
          <w:szCs w:val="24"/>
        </w:rPr>
        <w:t xml:space="preserve"> în baza unui contract încheiat conform </w:t>
      </w:r>
      <w:r w:rsidR="00554D87" w:rsidRPr="00C34C61">
        <w:rPr>
          <w:rFonts w:ascii="Times New Roman" w:hAnsi="Times New Roman" w:cs="Times New Roman"/>
          <w:sz w:val="24"/>
          <w:szCs w:val="24"/>
        </w:rPr>
        <w:t>c</w:t>
      </w:r>
      <w:r w:rsidRPr="00C34C61">
        <w:rPr>
          <w:rFonts w:ascii="Times New Roman" w:hAnsi="Times New Roman" w:cs="Times New Roman"/>
          <w:sz w:val="24"/>
          <w:szCs w:val="24"/>
        </w:rPr>
        <w:t>ontractului</w:t>
      </w:r>
      <w:r w:rsidR="00554D87" w:rsidRPr="00C34C61">
        <w:rPr>
          <w:rFonts w:ascii="Times New Roman" w:hAnsi="Times New Roman" w:cs="Times New Roman"/>
          <w:sz w:val="24"/>
          <w:szCs w:val="24"/>
        </w:rPr>
        <w:t>-</w:t>
      </w:r>
      <w:r w:rsidRPr="00C34C61">
        <w:rPr>
          <w:rFonts w:ascii="Times New Roman" w:hAnsi="Times New Roman" w:cs="Times New Roman"/>
          <w:sz w:val="24"/>
          <w:szCs w:val="24"/>
        </w:rPr>
        <w:t>cadru aprobat de ANRE</w:t>
      </w:r>
      <w:r w:rsidR="00C9550C" w:rsidRPr="00C34C61">
        <w:rPr>
          <w:rFonts w:ascii="Times New Roman" w:hAnsi="Times New Roman" w:cs="Times New Roman"/>
          <w:sz w:val="24"/>
          <w:szCs w:val="24"/>
        </w:rPr>
        <w:t>.</w:t>
      </w:r>
      <w:r w:rsidRPr="00C34C61">
        <w:rPr>
          <w:rFonts w:ascii="Times New Roman" w:hAnsi="Times New Roman" w:cs="Times New Roman"/>
          <w:sz w:val="24"/>
          <w:szCs w:val="24"/>
        </w:rPr>
        <w:t xml:space="preserve"> </w:t>
      </w:r>
    </w:p>
    <w:p w14:paraId="12C4C181" w14:textId="41B991A7" w:rsidR="00F51565" w:rsidRPr="00C34C61" w:rsidRDefault="00F51565" w:rsidP="00500ADA">
      <w:pPr>
        <w:pStyle w:val="ListParagraph"/>
        <w:numPr>
          <w:ilvl w:val="0"/>
          <w:numId w:val="16"/>
        </w:numPr>
        <w:ind w:hanging="720"/>
        <w:jc w:val="both"/>
        <w:rPr>
          <w:rFonts w:ascii="Times New Roman" w:hAnsi="Times New Roman" w:cs="Times New Roman"/>
          <w:sz w:val="24"/>
          <w:szCs w:val="24"/>
        </w:rPr>
      </w:pPr>
      <w:r w:rsidRPr="00C34C61">
        <w:rPr>
          <w:rFonts w:ascii="Times New Roman" w:hAnsi="Times New Roman" w:cs="Times New Roman"/>
          <w:sz w:val="24"/>
          <w:szCs w:val="24"/>
        </w:rPr>
        <w:t xml:space="preserve">Până la aprobarea </w:t>
      </w:r>
      <w:r w:rsidR="00554D87" w:rsidRPr="00C34C61">
        <w:rPr>
          <w:rFonts w:ascii="Times New Roman" w:hAnsi="Times New Roman" w:cs="Times New Roman"/>
          <w:sz w:val="24"/>
          <w:szCs w:val="24"/>
        </w:rPr>
        <w:t>c</w:t>
      </w:r>
      <w:r w:rsidRPr="00C34C61">
        <w:rPr>
          <w:rFonts w:ascii="Times New Roman" w:hAnsi="Times New Roman" w:cs="Times New Roman"/>
          <w:sz w:val="24"/>
          <w:szCs w:val="24"/>
        </w:rPr>
        <w:t>ontractului</w:t>
      </w:r>
      <w:r w:rsidR="00554D87" w:rsidRPr="00C34C61">
        <w:rPr>
          <w:rFonts w:ascii="Times New Roman" w:hAnsi="Times New Roman" w:cs="Times New Roman"/>
          <w:sz w:val="24"/>
          <w:szCs w:val="24"/>
        </w:rPr>
        <w:t>-</w:t>
      </w:r>
      <w:r w:rsidRPr="00C34C61">
        <w:rPr>
          <w:rFonts w:ascii="Times New Roman" w:hAnsi="Times New Roman" w:cs="Times New Roman"/>
          <w:sz w:val="24"/>
          <w:szCs w:val="24"/>
        </w:rPr>
        <w:t xml:space="preserve">cadru de la alin. (1), contractele se vor încheia pe modelul </w:t>
      </w:r>
      <w:r w:rsidR="00554D87" w:rsidRPr="00C34C61">
        <w:rPr>
          <w:rFonts w:ascii="Times New Roman" w:hAnsi="Times New Roman" w:cs="Times New Roman"/>
          <w:sz w:val="24"/>
          <w:szCs w:val="24"/>
        </w:rPr>
        <w:t>C</w:t>
      </w:r>
      <w:r w:rsidRPr="00C34C61">
        <w:rPr>
          <w:rFonts w:ascii="Times New Roman" w:hAnsi="Times New Roman" w:cs="Times New Roman"/>
          <w:sz w:val="24"/>
          <w:szCs w:val="24"/>
        </w:rPr>
        <w:t>ontractului</w:t>
      </w:r>
      <w:r w:rsidR="00554D87" w:rsidRPr="00C34C61">
        <w:rPr>
          <w:rFonts w:ascii="Times New Roman" w:hAnsi="Times New Roman" w:cs="Times New Roman"/>
          <w:sz w:val="24"/>
          <w:szCs w:val="24"/>
        </w:rPr>
        <w:t>-</w:t>
      </w:r>
      <w:r w:rsidRPr="00C34C61">
        <w:rPr>
          <w:rFonts w:ascii="Times New Roman" w:hAnsi="Times New Roman" w:cs="Times New Roman"/>
          <w:sz w:val="24"/>
          <w:szCs w:val="24"/>
        </w:rPr>
        <w:t>cadru</w:t>
      </w:r>
      <w:r w:rsidR="00554D87" w:rsidRPr="00C34C61">
        <w:rPr>
          <w:rFonts w:ascii="Times New Roman" w:hAnsi="Times New Roman" w:cs="Times New Roman"/>
          <w:sz w:val="24"/>
          <w:szCs w:val="24"/>
        </w:rPr>
        <w:t xml:space="preserve"> </w:t>
      </w:r>
      <w:r w:rsidR="00554D87" w:rsidRPr="00C34C61">
        <w:rPr>
          <w:rFonts w:ascii="Times New Roman" w:hAnsi="Times New Roman" w:cs="Times New Roman"/>
          <w:sz w:val="24"/>
          <w:szCs w:val="24"/>
          <w:lang w:val="en-US"/>
        </w:rPr>
        <w:t>pentru prestarea serviciului de distribuţie a energiei electrice încheiat între operatorul de distribuţie concesionar şi producătorul de energie electrică, în vigoare și, după caz, pe modelul Contractului-cadru pentru prestarea serviciului de transport al energiei electrice şi a serviciului de sistem</w:t>
      </w:r>
      <w:r w:rsidR="008E4E03" w:rsidRPr="00C34C61">
        <w:rPr>
          <w:rFonts w:ascii="Times New Roman" w:hAnsi="Times New Roman" w:cs="Times New Roman"/>
          <w:sz w:val="24"/>
          <w:szCs w:val="24"/>
          <w:lang w:val="en-US"/>
        </w:rPr>
        <w:t>, în vigoare.</w:t>
      </w:r>
    </w:p>
    <w:p w14:paraId="6B0DE4A7" w14:textId="77777777" w:rsidR="00C34C61" w:rsidRPr="00C34C61" w:rsidRDefault="00C34C61" w:rsidP="00C34C61">
      <w:pPr>
        <w:spacing w:after="0" w:line="276" w:lineRule="auto"/>
        <w:ind w:left="-450"/>
        <w:jc w:val="both"/>
        <w:rPr>
          <w:rFonts w:ascii="Times New Roman" w:hAnsi="Times New Roman" w:cs="Times New Roman"/>
          <w:sz w:val="24"/>
          <w:szCs w:val="24"/>
        </w:rPr>
      </w:pPr>
    </w:p>
    <w:p w14:paraId="0F09C9B7" w14:textId="77777777" w:rsidR="00C34C61" w:rsidRPr="00C34C61" w:rsidRDefault="00C34C61" w:rsidP="00C34C61">
      <w:pPr>
        <w:spacing w:after="0" w:line="276" w:lineRule="auto"/>
        <w:ind w:left="-450"/>
        <w:jc w:val="both"/>
        <w:rPr>
          <w:rFonts w:ascii="Times New Roman" w:hAnsi="Times New Roman" w:cs="Times New Roman"/>
          <w:sz w:val="24"/>
          <w:szCs w:val="24"/>
        </w:rPr>
      </w:pPr>
    </w:p>
    <w:p w14:paraId="60521C1C" w14:textId="77777777" w:rsidR="00C34C61" w:rsidRPr="00C34C61" w:rsidRDefault="00C34C61" w:rsidP="00500ADA">
      <w:pPr>
        <w:jc w:val="both"/>
        <w:rPr>
          <w:rFonts w:ascii="Times New Roman" w:hAnsi="Times New Roman" w:cs="Times New Roman"/>
          <w:sz w:val="24"/>
          <w:szCs w:val="24"/>
        </w:rPr>
      </w:pPr>
    </w:p>
    <w:sectPr w:rsidR="00C34C61" w:rsidRPr="00C34C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C2C3" w14:textId="77777777" w:rsidR="002E1BCB" w:rsidRDefault="002E1BCB" w:rsidP="00081441">
      <w:pPr>
        <w:spacing w:after="0" w:line="240" w:lineRule="auto"/>
      </w:pPr>
      <w:r>
        <w:separator/>
      </w:r>
    </w:p>
  </w:endnote>
  <w:endnote w:type="continuationSeparator" w:id="0">
    <w:p w14:paraId="33A5C709" w14:textId="77777777" w:rsidR="002E1BCB" w:rsidRDefault="002E1BCB" w:rsidP="00081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049031412"/>
      <w:docPartObj>
        <w:docPartGallery w:val="Page Numbers (Bottom of Page)"/>
        <w:docPartUnique/>
      </w:docPartObj>
    </w:sdtPr>
    <w:sdtEndPr>
      <w:rPr>
        <w:noProof/>
      </w:rPr>
    </w:sdtEndPr>
    <w:sdtContent>
      <w:p w14:paraId="52EDED6F" w14:textId="77777777" w:rsidR="00081441" w:rsidRDefault="00081441">
        <w:pPr>
          <w:pStyle w:val="Footer"/>
          <w:jc w:val="center"/>
          <w:rPr>
            <w:noProof w:val="0"/>
          </w:rPr>
        </w:pPr>
      </w:p>
      <w:p w14:paraId="01C3D993" w14:textId="747BF835" w:rsidR="00081441" w:rsidRDefault="00081441">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56DA3E63" w14:textId="77777777" w:rsidR="00081441" w:rsidRDefault="00081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B909E" w14:textId="77777777" w:rsidR="002E1BCB" w:rsidRDefault="002E1BCB" w:rsidP="00081441">
      <w:pPr>
        <w:spacing w:after="0" w:line="240" w:lineRule="auto"/>
      </w:pPr>
      <w:r>
        <w:separator/>
      </w:r>
    </w:p>
  </w:footnote>
  <w:footnote w:type="continuationSeparator" w:id="0">
    <w:p w14:paraId="32B75FA2" w14:textId="77777777" w:rsidR="002E1BCB" w:rsidRDefault="002E1BCB" w:rsidP="00081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1E90"/>
    <w:multiLevelType w:val="hybridMultilevel"/>
    <w:tmpl w:val="8006F80E"/>
    <w:lvl w:ilvl="0" w:tplc="67C2F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712FF"/>
    <w:multiLevelType w:val="hybridMultilevel"/>
    <w:tmpl w:val="358A7EA2"/>
    <w:lvl w:ilvl="0" w:tplc="A4CC9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078FD"/>
    <w:multiLevelType w:val="hybridMultilevel"/>
    <w:tmpl w:val="8F1A3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37CAB"/>
    <w:multiLevelType w:val="hybridMultilevel"/>
    <w:tmpl w:val="C2AA920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17F88"/>
    <w:multiLevelType w:val="hybridMultilevel"/>
    <w:tmpl w:val="8AF676E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0C1B5C"/>
    <w:multiLevelType w:val="hybridMultilevel"/>
    <w:tmpl w:val="9B0224FC"/>
    <w:lvl w:ilvl="0" w:tplc="2C7E2AE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3135B"/>
    <w:multiLevelType w:val="hybridMultilevel"/>
    <w:tmpl w:val="8AF676E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693267"/>
    <w:multiLevelType w:val="hybridMultilevel"/>
    <w:tmpl w:val="8AF676E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861D95"/>
    <w:multiLevelType w:val="hybridMultilevel"/>
    <w:tmpl w:val="6BEE152E"/>
    <w:lvl w:ilvl="0" w:tplc="98F6C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89117C"/>
    <w:multiLevelType w:val="hybridMultilevel"/>
    <w:tmpl w:val="B1941792"/>
    <w:lvl w:ilvl="0" w:tplc="0AF6F48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B7491"/>
    <w:multiLevelType w:val="hybridMultilevel"/>
    <w:tmpl w:val="562A19E6"/>
    <w:lvl w:ilvl="0" w:tplc="074EB2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97887"/>
    <w:multiLevelType w:val="hybridMultilevel"/>
    <w:tmpl w:val="8006F8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8167B4"/>
    <w:multiLevelType w:val="hybridMultilevel"/>
    <w:tmpl w:val="2E92F48A"/>
    <w:lvl w:ilvl="0" w:tplc="758AA4F0">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B81157"/>
    <w:multiLevelType w:val="hybridMultilevel"/>
    <w:tmpl w:val="996A242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AB25B1B"/>
    <w:multiLevelType w:val="hybridMultilevel"/>
    <w:tmpl w:val="2D2A04F0"/>
    <w:lvl w:ilvl="0" w:tplc="2C6C967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8A3274"/>
    <w:multiLevelType w:val="hybridMultilevel"/>
    <w:tmpl w:val="8AF676E0"/>
    <w:lvl w:ilvl="0" w:tplc="ED12725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329057">
    <w:abstractNumId w:val="5"/>
  </w:num>
  <w:num w:numId="2" w16cid:durableId="127943007">
    <w:abstractNumId w:val="3"/>
  </w:num>
  <w:num w:numId="3" w16cid:durableId="1661349272">
    <w:abstractNumId w:val="2"/>
  </w:num>
  <w:num w:numId="4" w16cid:durableId="781996080">
    <w:abstractNumId w:val="15"/>
  </w:num>
  <w:num w:numId="5" w16cid:durableId="1801263451">
    <w:abstractNumId w:val="8"/>
  </w:num>
  <w:num w:numId="6" w16cid:durableId="425809428">
    <w:abstractNumId w:val="14"/>
  </w:num>
  <w:num w:numId="7" w16cid:durableId="1788501814">
    <w:abstractNumId w:val="1"/>
  </w:num>
  <w:num w:numId="8" w16cid:durableId="1535386063">
    <w:abstractNumId w:val="0"/>
  </w:num>
  <w:num w:numId="9" w16cid:durableId="481895283">
    <w:abstractNumId w:val="11"/>
  </w:num>
  <w:num w:numId="10" w16cid:durableId="1562983796">
    <w:abstractNumId w:val="4"/>
  </w:num>
  <w:num w:numId="11" w16cid:durableId="2085293471">
    <w:abstractNumId w:val="12"/>
  </w:num>
  <w:num w:numId="12" w16cid:durableId="181554334">
    <w:abstractNumId w:val="10"/>
  </w:num>
  <w:num w:numId="13" w16cid:durableId="961689099">
    <w:abstractNumId w:val="9"/>
  </w:num>
  <w:num w:numId="14" w16cid:durableId="778181640">
    <w:abstractNumId w:val="6"/>
  </w:num>
  <w:num w:numId="15" w16cid:durableId="1433479695">
    <w:abstractNumId w:val="7"/>
  </w:num>
  <w:num w:numId="16" w16cid:durableId="19881212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F4E"/>
    <w:rsid w:val="00001E80"/>
    <w:rsid w:val="00004C31"/>
    <w:rsid w:val="00011085"/>
    <w:rsid w:val="00025BAA"/>
    <w:rsid w:val="00026EC6"/>
    <w:rsid w:val="0004411D"/>
    <w:rsid w:val="00054196"/>
    <w:rsid w:val="0006212F"/>
    <w:rsid w:val="00081441"/>
    <w:rsid w:val="000B5ACB"/>
    <w:rsid w:val="000C76EC"/>
    <w:rsid w:val="000D378B"/>
    <w:rsid w:val="00125208"/>
    <w:rsid w:val="001322DC"/>
    <w:rsid w:val="00140639"/>
    <w:rsid w:val="00174AD6"/>
    <w:rsid w:val="00182D94"/>
    <w:rsid w:val="001A5339"/>
    <w:rsid w:val="001C36D0"/>
    <w:rsid w:val="001D4BA3"/>
    <w:rsid w:val="001D4BAB"/>
    <w:rsid w:val="001D616D"/>
    <w:rsid w:val="00212F30"/>
    <w:rsid w:val="00214626"/>
    <w:rsid w:val="00262031"/>
    <w:rsid w:val="0027308D"/>
    <w:rsid w:val="002807C2"/>
    <w:rsid w:val="00290542"/>
    <w:rsid w:val="00294331"/>
    <w:rsid w:val="002A5F78"/>
    <w:rsid w:val="002B0CC1"/>
    <w:rsid w:val="002B39CA"/>
    <w:rsid w:val="002C598A"/>
    <w:rsid w:val="002E1BCB"/>
    <w:rsid w:val="002E2854"/>
    <w:rsid w:val="00310392"/>
    <w:rsid w:val="003338B7"/>
    <w:rsid w:val="003348C4"/>
    <w:rsid w:val="00346709"/>
    <w:rsid w:val="00350EEF"/>
    <w:rsid w:val="003943F7"/>
    <w:rsid w:val="003A617B"/>
    <w:rsid w:val="003C1228"/>
    <w:rsid w:val="003C13E0"/>
    <w:rsid w:val="003C1972"/>
    <w:rsid w:val="003C4B54"/>
    <w:rsid w:val="003E6315"/>
    <w:rsid w:val="003F4138"/>
    <w:rsid w:val="00437610"/>
    <w:rsid w:val="004541F2"/>
    <w:rsid w:val="004639EE"/>
    <w:rsid w:val="00481F96"/>
    <w:rsid w:val="00486E0E"/>
    <w:rsid w:val="004E4625"/>
    <w:rsid w:val="004E5824"/>
    <w:rsid w:val="004F4481"/>
    <w:rsid w:val="004F6D21"/>
    <w:rsid w:val="00500ADA"/>
    <w:rsid w:val="00522357"/>
    <w:rsid w:val="005301AD"/>
    <w:rsid w:val="00543B74"/>
    <w:rsid w:val="00546F4D"/>
    <w:rsid w:val="00554D87"/>
    <w:rsid w:val="00562BA3"/>
    <w:rsid w:val="00570C60"/>
    <w:rsid w:val="0059168A"/>
    <w:rsid w:val="005C1AA9"/>
    <w:rsid w:val="005D71BC"/>
    <w:rsid w:val="005E4A59"/>
    <w:rsid w:val="00603ABC"/>
    <w:rsid w:val="0060740B"/>
    <w:rsid w:val="00621658"/>
    <w:rsid w:val="00621CD8"/>
    <w:rsid w:val="00623ACC"/>
    <w:rsid w:val="00627C0F"/>
    <w:rsid w:val="006305B9"/>
    <w:rsid w:val="00632BFA"/>
    <w:rsid w:val="00663503"/>
    <w:rsid w:val="00663D12"/>
    <w:rsid w:val="00666806"/>
    <w:rsid w:val="006854D9"/>
    <w:rsid w:val="006873C6"/>
    <w:rsid w:val="006B3116"/>
    <w:rsid w:val="006C3A5B"/>
    <w:rsid w:val="006C70BE"/>
    <w:rsid w:val="00704FCD"/>
    <w:rsid w:val="007143EA"/>
    <w:rsid w:val="007169EC"/>
    <w:rsid w:val="0073229A"/>
    <w:rsid w:val="00764FB2"/>
    <w:rsid w:val="00771899"/>
    <w:rsid w:val="007730CE"/>
    <w:rsid w:val="00793E7C"/>
    <w:rsid w:val="00794863"/>
    <w:rsid w:val="007A62E9"/>
    <w:rsid w:val="007D0C10"/>
    <w:rsid w:val="007E384F"/>
    <w:rsid w:val="007E73A5"/>
    <w:rsid w:val="007F4307"/>
    <w:rsid w:val="008224B3"/>
    <w:rsid w:val="00830707"/>
    <w:rsid w:val="00843E3D"/>
    <w:rsid w:val="0084530D"/>
    <w:rsid w:val="008705B3"/>
    <w:rsid w:val="0087590D"/>
    <w:rsid w:val="00891D46"/>
    <w:rsid w:val="008B25EF"/>
    <w:rsid w:val="008D04FE"/>
    <w:rsid w:val="008E367E"/>
    <w:rsid w:val="008E4E03"/>
    <w:rsid w:val="00906255"/>
    <w:rsid w:val="009102EF"/>
    <w:rsid w:val="00910CB4"/>
    <w:rsid w:val="009218CE"/>
    <w:rsid w:val="0093359E"/>
    <w:rsid w:val="00933ABD"/>
    <w:rsid w:val="00997196"/>
    <w:rsid w:val="009B0B68"/>
    <w:rsid w:val="009B654A"/>
    <w:rsid w:val="009C29E3"/>
    <w:rsid w:val="00A0525C"/>
    <w:rsid w:val="00A256F7"/>
    <w:rsid w:val="00A5080E"/>
    <w:rsid w:val="00A508A1"/>
    <w:rsid w:val="00A72B83"/>
    <w:rsid w:val="00A8466F"/>
    <w:rsid w:val="00A9090A"/>
    <w:rsid w:val="00A9379A"/>
    <w:rsid w:val="00AA5CF5"/>
    <w:rsid w:val="00AF1816"/>
    <w:rsid w:val="00B07F7C"/>
    <w:rsid w:val="00B128EE"/>
    <w:rsid w:val="00B154D2"/>
    <w:rsid w:val="00B1560D"/>
    <w:rsid w:val="00B41D0B"/>
    <w:rsid w:val="00B41F4E"/>
    <w:rsid w:val="00B44F66"/>
    <w:rsid w:val="00B71A1C"/>
    <w:rsid w:val="00B7617E"/>
    <w:rsid w:val="00B801DA"/>
    <w:rsid w:val="00B82355"/>
    <w:rsid w:val="00B84C27"/>
    <w:rsid w:val="00B854BF"/>
    <w:rsid w:val="00B87F9C"/>
    <w:rsid w:val="00B90559"/>
    <w:rsid w:val="00B96BF2"/>
    <w:rsid w:val="00BA67D2"/>
    <w:rsid w:val="00BB4FC7"/>
    <w:rsid w:val="00BB52FE"/>
    <w:rsid w:val="00BC671A"/>
    <w:rsid w:val="00BE1C04"/>
    <w:rsid w:val="00BE30DF"/>
    <w:rsid w:val="00C14CB2"/>
    <w:rsid w:val="00C16912"/>
    <w:rsid w:val="00C24F6D"/>
    <w:rsid w:val="00C34C61"/>
    <w:rsid w:val="00C36124"/>
    <w:rsid w:val="00C476A3"/>
    <w:rsid w:val="00C519EB"/>
    <w:rsid w:val="00C65C57"/>
    <w:rsid w:val="00C85624"/>
    <w:rsid w:val="00C87E66"/>
    <w:rsid w:val="00C90650"/>
    <w:rsid w:val="00C9326B"/>
    <w:rsid w:val="00C9550C"/>
    <w:rsid w:val="00CA1DCE"/>
    <w:rsid w:val="00CF1A3B"/>
    <w:rsid w:val="00CF669B"/>
    <w:rsid w:val="00D26741"/>
    <w:rsid w:val="00D45F22"/>
    <w:rsid w:val="00D521E5"/>
    <w:rsid w:val="00DB04A7"/>
    <w:rsid w:val="00DB4240"/>
    <w:rsid w:val="00DD3FB3"/>
    <w:rsid w:val="00DE3EDA"/>
    <w:rsid w:val="00E01C57"/>
    <w:rsid w:val="00E13570"/>
    <w:rsid w:val="00E152A6"/>
    <w:rsid w:val="00E34668"/>
    <w:rsid w:val="00E34886"/>
    <w:rsid w:val="00E52152"/>
    <w:rsid w:val="00E739B5"/>
    <w:rsid w:val="00E81338"/>
    <w:rsid w:val="00E9044B"/>
    <w:rsid w:val="00EB110A"/>
    <w:rsid w:val="00ED7CDB"/>
    <w:rsid w:val="00EE16C9"/>
    <w:rsid w:val="00EE4613"/>
    <w:rsid w:val="00EF2A20"/>
    <w:rsid w:val="00EF4095"/>
    <w:rsid w:val="00F41BE2"/>
    <w:rsid w:val="00F47351"/>
    <w:rsid w:val="00F51565"/>
    <w:rsid w:val="00F71C86"/>
    <w:rsid w:val="00F731E2"/>
    <w:rsid w:val="00FA0C91"/>
    <w:rsid w:val="00FA6607"/>
    <w:rsid w:val="00FB7A99"/>
    <w:rsid w:val="00FC3BB3"/>
    <w:rsid w:val="00FD15BC"/>
    <w:rsid w:val="00FE0C4D"/>
    <w:rsid w:val="00FE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62ED"/>
  <w15:chartTrackingRefBased/>
  <w15:docId w15:val="{16EF07FF-1B4C-4980-8AAB-D6F2E62C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paragraph" w:styleId="Heading1">
    <w:name w:val="heading 1"/>
    <w:basedOn w:val="Normal"/>
    <w:next w:val="Normal"/>
    <w:link w:val="Heading1Char"/>
    <w:uiPriority w:val="9"/>
    <w:qFormat/>
    <w:rsid w:val="00B41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F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F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F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F4E"/>
    <w:rPr>
      <w:rFonts w:asciiTheme="majorHAnsi" w:eastAsiaTheme="majorEastAsia" w:hAnsiTheme="majorHAnsi" w:cstheme="majorBidi"/>
      <w:noProof/>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B41F4E"/>
    <w:rPr>
      <w:rFonts w:asciiTheme="majorHAnsi" w:eastAsiaTheme="majorEastAsia" w:hAnsiTheme="majorHAnsi" w:cstheme="majorBidi"/>
      <w:noProof/>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B41F4E"/>
    <w:rPr>
      <w:rFonts w:eastAsiaTheme="majorEastAsia" w:cstheme="majorBidi"/>
      <w:noProof/>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B41F4E"/>
    <w:rPr>
      <w:rFonts w:eastAsiaTheme="majorEastAsia" w:cstheme="majorBidi"/>
      <w:i/>
      <w:iCs/>
      <w:noProof/>
      <w:color w:val="0F4761" w:themeColor="accent1" w:themeShade="BF"/>
      <w:lang w:val="ro-RO"/>
    </w:rPr>
  </w:style>
  <w:style w:type="character" w:customStyle="1" w:styleId="Heading5Char">
    <w:name w:val="Heading 5 Char"/>
    <w:basedOn w:val="DefaultParagraphFont"/>
    <w:link w:val="Heading5"/>
    <w:uiPriority w:val="9"/>
    <w:semiHidden/>
    <w:rsid w:val="00B41F4E"/>
    <w:rPr>
      <w:rFonts w:eastAsiaTheme="majorEastAsia" w:cstheme="majorBidi"/>
      <w:noProof/>
      <w:color w:val="0F4761" w:themeColor="accent1" w:themeShade="BF"/>
      <w:lang w:val="ro-RO"/>
    </w:rPr>
  </w:style>
  <w:style w:type="character" w:customStyle="1" w:styleId="Heading6Char">
    <w:name w:val="Heading 6 Char"/>
    <w:basedOn w:val="DefaultParagraphFont"/>
    <w:link w:val="Heading6"/>
    <w:uiPriority w:val="9"/>
    <w:semiHidden/>
    <w:rsid w:val="00B41F4E"/>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B41F4E"/>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B41F4E"/>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B41F4E"/>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B41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F4E"/>
    <w:rPr>
      <w:rFonts w:asciiTheme="majorHAnsi" w:eastAsiaTheme="majorEastAsia" w:hAnsiTheme="majorHAnsi" w:cstheme="majorBidi"/>
      <w:noProof/>
      <w:spacing w:val="-10"/>
      <w:kern w:val="28"/>
      <w:sz w:val="56"/>
      <w:szCs w:val="56"/>
      <w:lang w:val="ro-RO"/>
    </w:rPr>
  </w:style>
  <w:style w:type="paragraph" w:styleId="Subtitle">
    <w:name w:val="Subtitle"/>
    <w:basedOn w:val="Normal"/>
    <w:next w:val="Normal"/>
    <w:link w:val="SubtitleChar"/>
    <w:uiPriority w:val="11"/>
    <w:qFormat/>
    <w:rsid w:val="00B41F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F4E"/>
    <w:rPr>
      <w:rFonts w:eastAsiaTheme="majorEastAsia" w:cstheme="majorBidi"/>
      <w:noProof/>
      <w:color w:val="595959" w:themeColor="text1" w:themeTint="A6"/>
      <w:spacing w:val="15"/>
      <w:sz w:val="28"/>
      <w:szCs w:val="28"/>
      <w:lang w:val="ro-RO"/>
    </w:rPr>
  </w:style>
  <w:style w:type="paragraph" w:styleId="Quote">
    <w:name w:val="Quote"/>
    <w:basedOn w:val="Normal"/>
    <w:next w:val="Normal"/>
    <w:link w:val="QuoteChar"/>
    <w:uiPriority w:val="29"/>
    <w:qFormat/>
    <w:rsid w:val="00B41F4E"/>
    <w:pPr>
      <w:spacing w:before="160"/>
      <w:jc w:val="center"/>
    </w:pPr>
    <w:rPr>
      <w:i/>
      <w:iCs/>
      <w:color w:val="404040" w:themeColor="text1" w:themeTint="BF"/>
    </w:rPr>
  </w:style>
  <w:style w:type="character" w:customStyle="1" w:styleId="QuoteChar">
    <w:name w:val="Quote Char"/>
    <w:basedOn w:val="DefaultParagraphFont"/>
    <w:link w:val="Quote"/>
    <w:uiPriority w:val="29"/>
    <w:rsid w:val="00B41F4E"/>
    <w:rPr>
      <w:i/>
      <w:iCs/>
      <w:noProof/>
      <w:color w:val="404040" w:themeColor="text1" w:themeTint="BF"/>
      <w:lang w:val="ro-RO"/>
    </w:rPr>
  </w:style>
  <w:style w:type="paragraph" w:styleId="ListParagraph">
    <w:name w:val="List Paragraph"/>
    <w:basedOn w:val="Normal"/>
    <w:uiPriority w:val="34"/>
    <w:qFormat/>
    <w:rsid w:val="00B41F4E"/>
    <w:pPr>
      <w:ind w:left="720"/>
      <w:contextualSpacing/>
    </w:pPr>
  </w:style>
  <w:style w:type="character" w:styleId="IntenseEmphasis">
    <w:name w:val="Intense Emphasis"/>
    <w:basedOn w:val="DefaultParagraphFont"/>
    <w:uiPriority w:val="21"/>
    <w:qFormat/>
    <w:rsid w:val="00B41F4E"/>
    <w:rPr>
      <w:i/>
      <w:iCs/>
      <w:color w:val="0F4761" w:themeColor="accent1" w:themeShade="BF"/>
    </w:rPr>
  </w:style>
  <w:style w:type="paragraph" w:styleId="IntenseQuote">
    <w:name w:val="Intense Quote"/>
    <w:basedOn w:val="Normal"/>
    <w:next w:val="Normal"/>
    <w:link w:val="IntenseQuoteChar"/>
    <w:uiPriority w:val="30"/>
    <w:qFormat/>
    <w:rsid w:val="00B41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F4E"/>
    <w:rPr>
      <w:i/>
      <w:iCs/>
      <w:noProof/>
      <w:color w:val="0F4761" w:themeColor="accent1" w:themeShade="BF"/>
      <w:lang w:val="ro-RO"/>
    </w:rPr>
  </w:style>
  <w:style w:type="character" w:styleId="IntenseReference">
    <w:name w:val="Intense Reference"/>
    <w:basedOn w:val="DefaultParagraphFont"/>
    <w:uiPriority w:val="32"/>
    <w:qFormat/>
    <w:rsid w:val="00B41F4E"/>
    <w:rPr>
      <w:b/>
      <w:bCs/>
      <w:smallCaps/>
      <w:color w:val="0F4761" w:themeColor="accent1" w:themeShade="BF"/>
      <w:spacing w:val="5"/>
    </w:rPr>
  </w:style>
  <w:style w:type="character" w:styleId="Hyperlink">
    <w:name w:val="Hyperlink"/>
    <w:basedOn w:val="DefaultParagraphFont"/>
    <w:uiPriority w:val="99"/>
    <w:unhideWhenUsed/>
    <w:rsid w:val="00B41F4E"/>
    <w:rPr>
      <w:color w:val="467886" w:themeColor="hyperlink"/>
      <w:u w:val="single"/>
    </w:rPr>
  </w:style>
  <w:style w:type="character" w:customStyle="1" w:styleId="UnresolvedMention1">
    <w:name w:val="Unresolved Mention1"/>
    <w:basedOn w:val="DefaultParagraphFont"/>
    <w:uiPriority w:val="99"/>
    <w:semiHidden/>
    <w:unhideWhenUsed/>
    <w:rsid w:val="00B41F4E"/>
    <w:rPr>
      <w:color w:val="605E5C"/>
      <w:shd w:val="clear" w:color="auto" w:fill="E1DFDD"/>
    </w:rPr>
  </w:style>
  <w:style w:type="character" w:customStyle="1" w:styleId="slitbdy">
    <w:name w:val="s_lit_bdy"/>
    <w:basedOn w:val="DefaultParagraphFont"/>
    <w:rsid w:val="00182D94"/>
    <w:rPr>
      <w:rFonts w:ascii="Verdana" w:hAnsi="Verdana" w:hint="default"/>
      <w:b w:val="0"/>
      <w:bCs w:val="0"/>
      <w:color w:val="000000"/>
      <w:sz w:val="20"/>
      <w:szCs w:val="20"/>
      <w:shd w:val="clear" w:color="auto" w:fill="FFFFFF"/>
    </w:rPr>
  </w:style>
  <w:style w:type="paragraph" w:styleId="NormalWeb">
    <w:name w:val="Normal (Web)"/>
    <w:basedOn w:val="Normal"/>
    <w:uiPriority w:val="99"/>
    <w:semiHidden/>
    <w:unhideWhenUsed/>
    <w:rsid w:val="009B654A"/>
    <w:rPr>
      <w:rFonts w:ascii="Times New Roman" w:hAnsi="Times New Roman" w:cs="Times New Roman"/>
      <w:sz w:val="24"/>
      <w:szCs w:val="24"/>
    </w:rPr>
  </w:style>
  <w:style w:type="character" w:customStyle="1" w:styleId="salnbdy">
    <w:name w:val="s_aln_bdy"/>
    <w:basedOn w:val="DefaultParagraphFont"/>
    <w:rsid w:val="008E367E"/>
    <w:rPr>
      <w:rFonts w:ascii="Verdana" w:hAnsi="Verdana" w:hint="default"/>
      <w:b w:val="0"/>
      <w:bCs w:val="0"/>
      <w:color w:val="000000"/>
      <w:sz w:val="20"/>
      <w:szCs w:val="20"/>
      <w:shd w:val="clear" w:color="auto" w:fill="FFFFFF"/>
    </w:rPr>
  </w:style>
  <w:style w:type="character" w:customStyle="1" w:styleId="spctbdy">
    <w:name w:val="s_pct_bdy"/>
    <w:basedOn w:val="DefaultParagraphFont"/>
    <w:rsid w:val="00001E80"/>
    <w:rPr>
      <w:rFonts w:ascii="Verdana" w:hAnsi="Verdana" w:hint="default"/>
      <w:b w:val="0"/>
      <w:bCs w:val="0"/>
      <w:color w:val="000000"/>
      <w:sz w:val="20"/>
      <w:szCs w:val="20"/>
      <w:shd w:val="clear" w:color="auto" w:fill="FFFFFF"/>
    </w:rPr>
  </w:style>
  <w:style w:type="character" w:customStyle="1" w:styleId="spar3">
    <w:name w:val="s_par3"/>
    <w:basedOn w:val="DefaultParagraphFont"/>
    <w:rsid w:val="00B07F7C"/>
    <w:rPr>
      <w:rFonts w:ascii="Verdana" w:hAnsi="Verdana" w:hint="default"/>
      <w:b w:val="0"/>
      <w:bCs w:val="0"/>
      <w:vanish w:val="0"/>
      <w:webHidden w:val="0"/>
      <w:color w:val="000000"/>
      <w:sz w:val="20"/>
      <w:szCs w:val="20"/>
      <w:shd w:val="clear" w:color="auto" w:fill="FFFFFF"/>
      <w:specVanish w:val="0"/>
    </w:rPr>
  </w:style>
  <w:style w:type="table" w:styleId="TableGrid">
    <w:name w:val="Table Grid"/>
    <w:basedOn w:val="TableNormal"/>
    <w:uiPriority w:val="39"/>
    <w:rsid w:val="00AF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0707"/>
    <w:pPr>
      <w:spacing w:after="0" w:line="240" w:lineRule="auto"/>
    </w:pPr>
    <w:rPr>
      <w:noProof/>
      <w:lang w:val="ro-RO"/>
    </w:rPr>
  </w:style>
  <w:style w:type="paragraph" w:styleId="BalloonText">
    <w:name w:val="Balloon Text"/>
    <w:basedOn w:val="Normal"/>
    <w:link w:val="BalloonTextChar"/>
    <w:uiPriority w:val="99"/>
    <w:semiHidden/>
    <w:unhideWhenUsed/>
    <w:rsid w:val="00004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C31"/>
    <w:rPr>
      <w:rFonts w:ascii="Segoe UI" w:hAnsi="Segoe UI" w:cs="Segoe UI"/>
      <w:noProof/>
      <w:sz w:val="18"/>
      <w:szCs w:val="18"/>
      <w:lang w:val="ro-RO"/>
    </w:rPr>
  </w:style>
  <w:style w:type="character" w:styleId="CommentReference">
    <w:name w:val="annotation reference"/>
    <w:basedOn w:val="DefaultParagraphFont"/>
    <w:uiPriority w:val="99"/>
    <w:semiHidden/>
    <w:unhideWhenUsed/>
    <w:rsid w:val="00346709"/>
    <w:rPr>
      <w:sz w:val="16"/>
      <w:szCs w:val="16"/>
    </w:rPr>
  </w:style>
  <w:style w:type="paragraph" w:styleId="CommentText">
    <w:name w:val="annotation text"/>
    <w:basedOn w:val="Normal"/>
    <w:link w:val="CommentTextChar"/>
    <w:uiPriority w:val="99"/>
    <w:unhideWhenUsed/>
    <w:rsid w:val="00346709"/>
    <w:pPr>
      <w:spacing w:line="240" w:lineRule="auto"/>
    </w:pPr>
    <w:rPr>
      <w:sz w:val="20"/>
      <w:szCs w:val="20"/>
    </w:rPr>
  </w:style>
  <w:style w:type="character" w:customStyle="1" w:styleId="CommentTextChar">
    <w:name w:val="Comment Text Char"/>
    <w:basedOn w:val="DefaultParagraphFont"/>
    <w:link w:val="CommentText"/>
    <w:uiPriority w:val="99"/>
    <w:rsid w:val="00346709"/>
    <w:rPr>
      <w:noProof/>
      <w:sz w:val="20"/>
      <w:szCs w:val="20"/>
      <w:lang w:val="ro-RO"/>
    </w:rPr>
  </w:style>
  <w:style w:type="paragraph" w:styleId="CommentSubject">
    <w:name w:val="annotation subject"/>
    <w:basedOn w:val="CommentText"/>
    <w:next w:val="CommentText"/>
    <w:link w:val="CommentSubjectChar"/>
    <w:uiPriority w:val="99"/>
    <w:semiHidden/>
    <w:unhideWhenUsed/>
    <w:rsid w:val="00346709"/>
    <w:rPr>
      <w:b/>
      <w:bCs/>
    </w:rPr>
  </w:style>
  <w:style w:type="character" w:customStyle="1" w:styleId="CommentSubjectChar">
    <w:name w:val="Comment Subject Char"/>
    <w:basedOn w:val="CommentTextChar"/>
    <w:link w:val="CommentSubject"/>
    <w:uiPriority w:val="99"/>
    <w:semiHidden/>
    <w:rsid w:val="00346709"/>
    <w:rPr>
      <w:b/>
      <w:bCs/>
      <w:noProof/>
      <w:sz w:val="20"/>
      <w:szCs w:val="20"/>
      <w:lang w:val="ro-RO"/>
    </w:rPr>
  </w:style>
  <w:style w:type="paragraph" w:styleId="Header">
    <w:name w:val="header"/>
    <w:basedOn w:val="Normal"/>
    <w:link w:val="HeaderChar"/>
    <w:uiPriority w:val="99"/>
    <w:unhideWhenUsed/>
    <w:rsid w:val="00081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441"/>
    <w:rPr>
      <w:noProof/>
      <w:lang w:val="ro-RO"/>
    </w:rPr>
  </w:style>
  <w:style w:type="paragraph" w:styleId="Footer">
    <w:name w:val="footer"/>
    <w:basedOn w:val="Normal"/>
    <w:link w:val="FooterChar"/>
    <w:uiPriority w:val="99"/>
    <w:unhideWhenUsed/>
    <w:rsid w:val="00081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441"/>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92206">
      <w:bodyDiv w:val="1"/>
      <w:marLeft w:val="0"/>
      <w:marRight w:val="0"/>
      <w:marTop w:val="0"/>
      <w:marBottom w:val="0"/>
      <w:divBdr>
        <w:top w:val="none" w:sz="0" w:space="0" w:color="auto"/>
        <w:left w:val="none" w:sz="0" w:space="0" w:color="auto"/>
        <w:bottom w:val="none" w:sz="0" w:space="0" w:color="auto"/>
        <w:right w:val="none" w:sz="0" w:space="0" w:color="auto"/>
      </w:divBdr>
      <w:divsChild>
        <w:div w:id="961692157">
          <w:marLeft w:val="0"/>
          <w:marRight w:val="0"/>
          <w:marTop w:val="0"/>
          <w:marBottom w:val="0"/>
          <w:divBdr>
            <w:top w:val="none" w:sz="0" w:space="0" w:color="auto"/>
            <w:left w:val="none" w:sz="0" w:space="0" w:color="auto"/>
            <w:bottom w:val="none" w:sz="0" w:space="0" w:color="auto"/>
            <w:right w:val="none" w:sz="0" w:space="0" w:color="auto"/>
          </w:divBdr>
        </w:div>
      </w:divsChild>
    </w:div>
    <w:div w:id="390619440">
      <w:bodyDiv w:val="1"/>
      <w:marLeft w:val="0"/>
      <w:marRight w:val="0"/>
      <w:marTop w:val="0"/>
      <w:marBottom w:val="0"/>
      <w:divBdr>
        <w:top w:val="none" w:sz="0" w:space="0" w:color="auto"/>
        <w:left w:val="none" w:sz="0" w:space="0" w:color="auto"/>
        <w:bottom w:val="none" w:sz="0" w:space="0" w:color="auto"/>
        <w:right w:val="none" w:sz="0" w:space="0" w:color="auto"/>
      </w:divBdr>
      <w:divsChild>
        <w:div w:id="1939365582">
          <w:marLeft w:val="0"/>
          <w:marRight w:val="0"/>
          <w:marTop w:val="0"/>
          <w:marBottom w:val="0"/>
          <w:divBdr>
            <w:top w:val="none" w:sz="0" w:space="0" w:color="auto"/>
            <w:left w:val="none" w:sz="0" w:space="0" w:color="auto"/>
            <w:bottom w:val="none" w:sz="0" w:space="0" w:color="auto"/>
            <w:right w:val="none" w:sz="0" w:space="0" w:color="auto"/>
          </w:divBdr>
        </w:div>
      </w:divsChild>
    </w:div>
    <w:div w:id="392437228">
      <w:bodyDiv w:val="1"/>
      <w:marLeft w:val="0"/>
      <w:marRight w:val="0"/>
      <w:marTop w:val="0"/>
      <w:marBottom w:val="0"/>
      <w:divBdr>
        <w:top w:val="none" w:sz="0" w:space="0" w:color="auto"/>
        <w:left w:val="none" w:sz="0" w:space="0" w:color="auto"/>
        <w:bottom w:val="none" w:sz="0" w:space="0" w:color="auto"/>
        <w:right w:val="none" w:sz="0" w:space="0" w:color="auto"/>
      </w:divBdr>
      <w:divsChild>
        <w:div w:id="721294711">
          <w:marLeft w:val="0"/>
          <w:marRight w:val="0"/>
          <w:marTop w:val="0"/>
          <w:marBottom w:val="0"/>
          <w:divBdr>
            <w:top w:val="none" w:sz="0" w:space="0" w:color="auto"/>
            <w:left w:val="none" w:sz="0" w:space="0" w:color="auto"/>
            <w:bottom w:val="none" w:sz="0" w:space="0" w:color="auto"/>
            <w:right w:val="none" w:sz="0" w:space="0" w:color="auto"/>
          </w:divBdr>
        </w:div>
      </w:divsChild>
    </w:div>
    <w:div w:id="461463491">
      <w:bodyDiv w:val="1"/>
      <w:marLeft w:val="0"/>
      <w:marRight w:val="0"/>
      <w:marTop w:val="0"/>
      <w:marBottom w:val="0"/>
      <w:divBdr>
        <w:top w:val="none" w:sz="0" w:space="0" w:color="auto"/>
        <w:left w:val="none" w:sz="0" w:space="0" w:color="auto"/>
        <w:bottom w:val="none" w:sz="0" w:space="0" w:color="auto"/>
        <w:right w:val="none" w:sz="0" w:space="0" w:color="auto"/>
      </w:divBdr>
      <w:divsChild>
        <w:div w:id="909341701">
          <w:marLeft w:val="0"/>
          <w:marRight w:val="0"/>
          <w:marTop w:val="0"/>
          <w:marBottom w:val="0"/>
          <w:divBdr>
            <w:top w:val="none" w:sz="0" w:space="0" w:color="auto"/>
            <w:left w:val="none" w:sz="0" w:space="0" w:color="auto"/>
            <w:bottom w:val="none" w:sz="0" w:space="0" w:color="auto"/>
            <w:right w:val="none" w:sz="0" w:space="0" w:color="auto"/>
          </w:divBdr>
        </w:div>
      </w:divsChild>
    </w:div>
    <w:div w:id="537206886">
      <w:bodyDiv w:val="1"/>
      <w:marLeft w:val="0"/>
      <w:marRight w:val="0"/>
      <w:marTop w:val="0"/>
      <w:marBottom w:val="0"/>
      <w:divBdr>
        <w:top w:val="none" w:sz="0" w:space="0" w:color="auto"/>
        <w:left w:val="none" w:sz="0" w:space="0" w:color="auto"/>
        <w:bottom w:val="none" w:sz="0" w:space="0" w:color="auto"/>
        <w:right w:val="none" w:sz="0" w:space="0" w:color="auto"/>
      </w:divBdr>
      <w:divsChild>
        <w:div w:id="2016568374">
          <w:marLeft w:val="0"/>
          <w:marRight w:val="0"/>
          <w:marTop w:val="0"/>
          <w:marBottom w:val="0"/>
          <w:divBdr>
            <w:top w:val="none" w:sz="0" w:space="0" w:color="auto"/>
            <w:left w:val="none" w:sz="0" w:space="0" w:color="auto"/>
            <w:bottom w:val="none" w:sz="0" w:space="0" w:color="auto"/>
            <w:right w:val="none" w:sz="0" w:space="0" w:color="auto"/>
          </w:divBdr>
        </w:div>
      </w:divsChild>
    </w:div>
    <w:div w:id="1002004047">
      <w:bodyDiv w:val="1"/>
      <w:marLeft w:val="0"/>
      <w:marRight w:val="0"/>
      <w:marTop w:val="0"/>
      <w:marBottom w:val="0"/>
      <w:divBdr>
        <w:top w:val="none" w:sz="0" w:space="0" w:color="auto"/>
        <w:left w:val="none" w:sz="0" w:space="0" w:color="auto"/>
        <w:bottom w:val="none" w:sz="0" w:space="0" w:color="auto"/>
        <w:right w:val="none" w:sz="0" w:space="0" w:color="auto"/>
      </w:divBdr>
      <w:divsChild>
        <w:div w:id="1361979730">
          <w:marLeft w:val="0"/>
          <w:marRight w:val="0"/>
          <w:marTop w:val="0"/>
          <w:marBottom w:val="0"/>
          <w:divBdr>
            <w:top w:val="none" w:sz="0" w:space="0" w:color="auto"/>
            <w:left w:val="none" w:sz="0" w:space="0" w:color="auto"/>
            <w:bottom w:val="none" w:sz="0" w:space="0" w:color="auto"/>
            <w:right w:val="none" w:sz="0" w:space="0" w:color="auto"/>
          </w:divBdr>
        </w:div>
      </w:divsChild>
    </w:div>
    <w:div w:id="1273561185">
      <w:bodyDiv w:val="1"/>
      <w:marLeft w:val="0"/>
      <w:marRight w:val="0"/>
      <w:marTop w:val="0"/>
      <w:marBottom w:val="0"/>
      <w:divBdr>
        <w:top w:val="none" w:sz="0" w:space="0" w:color="auto"/>
        <w:left w:val="none" w:sz="0" w:space="0" w:color="auto"/>
        <w:bottom w:val="none" w:sz="0" w:space="0" w:color="auto"/>
        <w:right w:val="none" w:sz="0" w:space="0" w:color="auto"/>
      </w:divBdr>
    </w:div>
    <w:div w:id="1382366774">
      <w:bodyDiv w:val="1"/>
      <w:marLeft w:val="0"/>
      <w:marRight w:val="0"/>
      <w:marTop w:val="0"/>
      <w:marBottom w:val="0"/>
      <w:divBdr>
        <w:top w:val="none" w:sz="0" w:space="0" w:color="auto"/>
        <w:left w:val="none" w:sz="0" w:space="0" w:color="auto"/>
        <w:bottom w:val="none" w:sz="0" w:space="0" w:color="auto"/>
        <w:right w:val="none" w:sz="0" w:space="0" w:color="auto"/>
      </w:divBdr>
      <w:divsChild>
        <w:div w:id="1510169745">
          <w:marLeft w:val="0"/>
          <w:marRight w:val="0"/>
          <w:marTop w:val="0"/>
          <w:marBottom w:val="0"/>
          <w:divBdr>
            <w:top w:val="none" w:sz="0" w:space="0" w:color="auto"/>
            <w:left w:val="none" w:sz="0" w:space="0" w:color="auto"/>
            <w:bottom w:val="none" w:sz="0" w:space="0" w:color="auto"/>
            <w:right w:val="none" w:sz="0" w:space="0" w:color="auto"/>
          </w:divBdr>
        </w:div>
      </w:divsChild>
    </w:div>
    <w:div w:id="1670060689">
      <w:bodyDiv w:val="1"/>
      <w:marLeft w:val="0"/>
      <w:marRight w:val="0"/>
      <w:marTop w:val="0"/>
      <w:marBottom w:val="0"/>
      <w:divBdr>
        <w:top w:val="none" w:sz="0" w:space="0" w:color="auto"/>
        <w:left w:val="none" w:sz="0" w:space="0" w:color="auto"/>
        <w:bottom w:val="none" w:sz="0" w:space="0" w:color="auto"/>
        <w:right w:val="none" w:sz="0" w:space="0" w:color="auto"/>
      </w:divBdr>
      <w:divsChild>
        <w:div w:id="1298490658">
          <w:marLeft w:val="0"/>
          <w:marRight w:val="0"/>
          <w:marTop w:val="0"/>
          <w:marBottom w:val="0"/>
          <w:divBdr>
            <w:top w:val="none" w:sz="0" w:space="0" w:color="auto"/>
            <w:left w:val="none" w:sz="0" w:space="0" w:color="auto"/>
            <w:bottom w:val="none" w:sz="0" w:space="0" w:color="auto"/>
            <w:right w:val="none" w:sz="0" w:space="0" w:color="auto"/>
          </w:divBdr>
        </w:div>
      </w:divsChild>
    </w:div>
    <w:div w:id="1678339524">
      <w:bodyDiv w:val="1"/>
      <w:marLeft w:val="0"/>
      <w:marRight w:val="0"/>
      <w:marTop w:val="0"/>
      <w:marBottom w:val="0"/>
      <w:divBdr>
        <w:top w:val="none" w:sz="0" w:space="0" w:color="auto"/>
        <w:left w:val="none" w:sz="0" w:space="0" w:color="auto"/>
        <w:bottom w:val="none" w:sz="0" w:space="0" w:color="auto"/>
        <w:right w:val="none" w:sz="0" w:space="0" w:color="auto"/>
      </w:divBdr>
      <w:divsChild>
        <w:div w:id="1146361496">
          <w:marLeft w:val="0"/>
          <w:marRight w:val="0"/>
          <w:marTop w:val="0"/>
          <w:marBottom w:val="0"/>
          <w:divBdr>
            <w:top w:val="none" w:sz="0" w:space="0" w:color="auto"/>
            <w:left w:val="none" w:sz="0" w:space="0" w:color="auto"/>
            <w:bottom w:val="none" w:sz="0" w:space="0" w:color="auto"/>
            <w:right w:val="none" w:sz="0" w:space="0" w:color="auto"/>
          </w:divBdr>
        </w:div>
      </w:divsChild>
    </w:div>
    <w:div w:id="1688601982">
      <w:bodyDiv w:val="1"/>
      <w:marLeft w:val="0"/>
      <w:marRight w:val="0"/>
      <w:marTop w:val="0"/>
      <w:marBottom w:val="0"/>
      <w:divBdr>
        <w:top w:val="none" w:sz="0" w:space="0" w:color="auto"/>
        <w:left w:val="none" w:sz="0" w:space="0" w:color="auto"/>
        <w:bottom w:val="none" w:sz="0" w:space="0" w:color="auto"/>
        <w:right w:val="none" w:sz="0" w:space="0" w:color="auto"/>
      </w:divBdr>
      <w:divsChild>
        <w:div w:id="17780234">
          <w:marLeft w:val="0"/>
          <w:marRight w:val="0"/>
          <w:marTop w:val="0"/>
          <w:marBottom w:val="0"/>
          <w:divBdr>
            <w:top w:val="none" w:sz="0" w:space="0" w:color="auto"/>
            <w:left w:val="none" w:sz="0" w:space="0" w:color="auto"/>
            <w:bottom w:val="none" w:sz="0" w:space="0" w:color="auto"/>
            <w:right w:val="none" w:sz="0" w:space="0" w:color="auto"/>
          </w:divBdr>
        </w:div>
      </w:divsChild>
    </w:div>
    <w:div w:id="1721514515">
      <w:bodyDiv w:val="1"/>
      <w:marLeft w:val="0"/>
      <w:marRight w:val="0"/>
      <w:marTop w:val="0"/>
      <w:marBottom w:val="0"/>
      <w:divBdr>
        <w:top w:val="none" w:sz="0" w:space="0" w:color="auto"/>
        <w:left w:val="none" w:sz="0" w:space="0" w:color="auto"/>
        <w:bottom w:val="none" w:sz="0" w:space="0" w:color="auto"/>
        <w:right w:val="none" w:sz="0" w:space="0" w:color="auto"/>
      </w:divBdr>
      <w:divsChild>
        <w:div w:id="1074623766">
          <w:marLeft w:val="0"/>
          <w:marRight w:val="0"/>
          <w:marTop w:val="0"/>
          <w:marBottom w:val="0"/>
          <w:divBdr>
            <w:top w:val="none" w:sz="0" w:space="0" w:color="auto"/>
            <w:left w:val="none" w:sz="0" w:space="0" w:color="auto"/>
            <w:bottom w:val="none" w:sz="0" w:space="0" w:color="auto"/>
            <w:right w:val="none" w:sz="0" w:space="0" w:color="auto"/>
          </w:divBdr>
        </w:div>
      </w:divsChild>
    </w:div>
    <w:div w:id="1831822315">
      <w:bodyDiv w:val="1"/>
      <w:marLeft w:val="0"/>
      <w:marRight w:val="0"/>
      <w:marTop w:val="0"/>
      <w:marBottom w:val="0"/>
      <w:divBdr>
        <w:top w:val="none" w:sz="0" w:space="0" w:color="auto"/>
        <w:left w:val="none" w:sz="0" w:space="0" w:color="auto"/>
        <w:bottom w:val="none" w:sz="0" w:space="0" w:color="auto"/>
        <w:right w:val="none" w:sz="0" w:space="0" w:color="auto"/>
      </w:divBdr>
      <w:divsChild>
        <w:div w:id="90861662">
          <w:marLeft w:val="0"/>
          <w:marRight w:val="0"/>
          <w:marTop w:val="0"/>
          <w:marBottom w:val="0"/>
          <w:divBdr>
            <w:top w:val="none" w:sz="0" w:space="0" w:color="auto"/>
            <w:left w:val="none" w:sz="0" w:space="0" w:color="auto"/>
            <w:bottom w:val="none" w:sz="0" w:space="0" w:color="auto"/>
            <w:right w:val="none" w:sz="0" w:space="0" w:color="auto"/>
          </w:divBdr>
        </w:div>
      </w:divsChild>
    </w:div>
    <w:div w:id="1890191907">
      <w:bodyDiv w:val="1"/>
      <w:marLeft w:val="0"/>
      <w:marRight w:val="0"/>
      <w:marTop w:val="0"/>
      <w:marBottom w:val="0"/>
      <w:divBdr>
        <w:top w:val="none" w:sz="0" w:space="0" w:color="auto"/>
        <w:left w:val="none" w:sz="0" w:space="0" w:color="auto"/>
        <w:bottom w:val="none" w:sz="0" w:space="0" w:color="auto"/>
        <w:right w:val="none" w:sz="0" w:space="0" w:color="auto"/>
      </w:divBdr>
    </w:div>
    <w:div w:id="1954290277">
      <w:bodyDiv w:val="1"/>
      <w:marLeft w:val="0"/>
      <w:marRight w:val="0"/>
      <w:marTop w:val="0"/>
      <w:marBottom w:val="0"/>
      <w:divBdr>
        <w:top w:val="none" w:sz="0" w:space="0" w:color="auto"/>
        <w:left w:val="none" w:sz="0" w:space="0" w:color="auto"/>
        <w:bottom w:val="none" w:sz="0" w:space="0" w:color="auto"/>
        <w:right w:val="none" w:sz="0" w:space="0" w:color="auto"/>
      </w:divBdr>
      <w:divsChild>
        <w:div w:id="2142527654">
          <w:marLeft w:val="0"/>
          <w:marRight w:val="0"/>
          <w:marTop w:val="0"/>
          <w:marBottom w:val="0"/>
          <w:divBdr>
            <w:top w:val="none" w:sz="0" w:space="0" w:color="auto"/>
            <w:left w:val="none" w:sz="0" w:space="0" w:color="auto"/>
            <w:bottom w:val="none" w:sz="0" w:space="0" w:color="auto"/>
            <w:right w:val="none" w:sz="0" w:space="0" w:color="auto"/>
          </w:divBdr>
        </w:div>
      </w:divsChild>
    </w:div>
    <w:div w:id="2062901215">
      <w:bodyDiv w:val="1"/>
      <w:marLeft w:val="0"/>
      <w:marRight w:val="0"/>
      <w:marTop w:val="0"/>
      <w:marBottom w:val="0"/>
      <w:divBdr>
        <w:top w:val="none" w:sz="0" w:space="0" w:color="auto"/>
        <w:left w:val="none" w:sz="0" w:space="0" w:color="auto"/>
        <w:bottom w:val="none" w:sz="0" w:space="0" w:color="auto"/>
        <w:right w:val="none" w:sz="0" w:space="0" w:color="auto"/>
      </w:divBdr>
      <w:divsChild>
        <w:div w:id="1875850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2025-02-14T07:01:00Z</cp:lastPrinted>
  <dcterms:created xsi:type="dcterms:W3CDTF">2025-02-13T10:10:00Z</dcterms:created>
  <dcterms:modified xsi:type="dcterms:W3CDTF">2025-02-14T10:58:00Z</dcterms:modified>
</cp:coreProperties>
</file>