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842C" w14:textId="77777777" w:rsidR="00BA17F0" w:rsidRPr="00BA17F0" w:rsidRDefault="00BA17F0" w:rsidP="00BA17F0">
      <w:pPr>
        <w:spacing w:line="259" w:lineRule="auto"/>
        <w:jc w:val="both"/>
        <w:rPr>
          <w:rFonts w:ascii="Times New Roman" w:eastAsia="Calibri" w:hAnsi="Times New Roman" w:cs="Times New Roman"/>
          <w:sz w:val="24"/>
          <w:szCs w:val="24"/>
        </w:rPr>
      </w:pPr>
    </w:p>
    <w:p w14:paraId="20875351" w14:textId="77777777" w:rsidR="00BA17F0" w:rsidRPr="00BA17F0" w:rsidRDefault="00BA17F0" w:rsidP="00BA17F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GB"/>
        </w:rPr>
      </w:pPr>
      <w:r w:rsidRPr="00BA17F0">
        <w:rPr>
          <w:rFonts w:ascii="Times New Roman" w:eastAsia="Times New Roman" w:hAnsi="Times New Roman" w:cs="Times New Roman"/>
          <w:b/>
          <w:bCs/>
          <w:color w:val="000000"/>
          <w:sz w:val="24"/>
          <w:szCs w:val="24"/>
          <w:lang w:eastAsia="en-GB"/>
        </w:rPr>
        <w:t>Comunicat de presă</w:t>
      </w:r>
    </w:p>
    <w:p w14:paraId="02942146" w14:textId="77777777" w:rsidR="00BA17F0" w:rsidRPr="00BA17F0" w:rsidRDefault="00BA17F0" w:rsidP="00BA17F0">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b/>
          <w:bCs/>
          <w:color w:val="000000"/>
          <w:sz w:val="24"/>
          <w:szCs w:val="24"/>
          <w:lang w:eastAsia="en-GB"/>
        </w:rPr>
        <w:t>ANRE pregătește piața de energie pentru ieșirea din schema de plafonare-compensare și  simplifică și transparentizează mecanismul de furnizare a energiei în regim de ultimă instanță</w:t>
      </w:r>
    </w:p>
    <w:p w14:paraId="07CD1B8D" w14:textId="5104BC4C"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 xml:space="preserve">Autoritatea Națională de Reglementare în Domeniul Energiei (ANRE) a aprobat, în ședința de astăzi a Comitetului de Reglementare, un Ordin pentru modificarea și completarea Ordinului nr. 91/2022 </w:t>
      </w:r>
      <w:r w:rsidR="00395BF4">
        <w:rPr>
          <w:rFonts w:ascii="Times New Roman" w:eastAsia="Times New Roman" w:hAnsi="Times New Roman" w:cs="Times New Roman"/>
          <w:color w:val="000000"/>
          <w:sz w:val="24"/>
          <w:szCs w:val="24"/>
          <w:lang w:eastAsia="en-GB"/>
        </w:rPr>
        <w:t>pentru</w:t>
      </w:r>
      <w:r w:rsidR="00084A83">
        <w:rPr>
          <w:rFonts w:ascii="Times New Roman" w:eastAsia="Times New Roman" w:hAnsi="Times New Roman" w:cs="Times New Roman"/>
          <w:color w:val="000000"/>
          <w:sz w:val="24"/>
          <w:szCs w:val="24"/>
          <w:lang w:eastAsia="en-GB"/>
        </w:rPr>
        <w:t xml:space="preserve"> </w:t>
      </w:r>
      <w:r w:rsidR="00084A83" w:rsidRPr="00084A83">
        <w:rPr>
          <w:rFonts w:ascii="Times New Roman" w:eastAsia="Times New Roman" w:hAnsi="Times New Roman" w:cs="Times New Roman"/>
          <w:color w:val="000000"/>
          <w:sz w:val="24"/>
          <w:szCs w:val="24"/>
          <w:lang w:eastAsia="en-GB"/>
        </w:rPr>
        <w:t>aprobarea Regulamentului privind furnizarea de ultimă instanță a energiei electrice.</w:t>
      </w:r>
    </w:p>
    <w:p w14:paraId="62A6AEA3" w14:textId="3A297039"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Modif</w:t>
      </w:r>
      <w:r w:rsidR="002C2346">
        <w:rPr>
          <w:rFonts w:ascii="Times New Roman" w:eastAsia="Times New Roman" w:hAnsi="Times New Roman" w:cs="Times New Roman"/>
          <w:color w:val="000000"/>
          <w:sz w:val="24"/>
          <w:szCs w:val="24"/>
          <w:lang w:eastAsia="en-GB"/>
        </w:rPr>
        <w:t>i</w:t>
      </w:r>
      <w:r w:rsidRPr="00BA17F0">
        <w:rPr>
          <w:rFonts w:ascii="Times New Roman" w:eastAsia="Times New Roman" w:hAnsi="Times New Roman" w:cs="Times New Roman"/>
          <w:color w:val="000000"/>
          <w:sz w:val="24"/>
          <w:szCs w:val="24"/>
          <w:lang w:eastAsia="en-GB"/>
        </w:rPr>
        <w:t>carea, care va intra în vigoare începând cu data de 1 aprilie 2025, aduce actualizări asupra mecanismului pentru Furnizorii de Ultimă Instanță a energiei electrice, cu scopul de a face ca acesta să fie mai predictibil, mai transparent și mai echitabil pentru toți consumatorii. Este subl</w:t>
      </w:r>
      <w:r w:rsidR="00825359">
        <w:rPr>
          <w:rFonts w:ascii="Times New Roman" w:eastAsia="Times New Roman" w:hAnsi="Times New Roman" w:cs="Times New Roman"/>
          <w:color w:val="000000"/>
          <w:sz w:val="24"/>
          <w:szCs w:val="24"/>
          <w:lang w:eastAsia="en-GB"/>
        </w:rPr>
        <w:t>i</w:t>
      </w:r>
      <w:r w:rsidRPr="00BA17F0">
        <w:rPr>
          <w:rFonts w:ascii="Times New Roman" w:eastAsia="Times New Roman" w:hAnsi="Times New Roman" w:cs="Times New Roman"/>
          <w:color w:val="000000"/>
          <w:sz w:val="24"/>
          <w:szCs w:val="24"/>
          <w:lang w:eastAsia="en-GB"/>
        </w:rPr>
        <w:t>niat faptul că până la 1 iulie 2025 prețurile plătite de consumatorii de energie electrică rămân neschimbate, fiind cele aferente schemei de plafonare-compensare.</w:t>
      </w:r>
    </w:p>
    <w:p w14:paraId="2F869FD0" w14:textId="1BB95E98" w:rsidR="00BA17F0" w:rsidRPr="00BA17F0" w:rsidRDefault="00BA17F0" w:rsidP="00BA17F0">
      <w:pPr>
        <w:spacing w:after="0" w:line="240" w:lineRule="auto"/>
        <w:jc w:val="both"/>
        <w:rPr>
          <w:rFonts w:ascii="Times New Roman" w:eastAsia="Times New Roman" w:hAnsi="Times New Roman" w:cs="Times New Roman"/>
          <w:b/>
          <w:bCs/>
          <w:i/>
          <w:iCs/>
          <w:color w:val="000000"/>
          <w:sz w:val="24"/>
          <w:szCs w:val="24"/>
          <w:lang w:eastAsia="en-GB"/>
        </w:rPr>
      </w:pPr>
      <w:r w:rsidRPr="00BA17F0">
        <w:rPr>
          <w:rFonts w:ascii="Times New Roman" w:eastAsia="Times New Roman" w:hAnsi="Times New Roman" w:cs="Times New Roman"/>
          <w:color w:val="000000"/>
          <w:sz w:val="24"/>
          <w:szCs w:val="24"/>
          <w:lang w:eastAsia="en-GB"/>
        </w:rPr>
        <w:t xml:space="preserve">Președintele ANRE, George Niculescu: </w:t>
      </w:r>
      <w:r w:rsidRPr="00BA17F0">
        <w:rPr>
          <w:rFonts w:ascii="Times New Roman" w:eastAsia="Times New Roman" w:hAnsi="Times New Roman" w:cs="Times New Roman"/>
          <w:b/>
          <w:bCs/>
          <w:i/>
          <w:iCs/>
          <w:color w:val="000000"/>
          <w:sz w:val="24"/>
          <w:szCs w:val="24"/>
          <w:lang w:eastAsia="en-GB"/>
        </w:rPr>
        <w:t xml:space="preserve">„Prin acest Ordin, consolidăm un mecanism esențial pentru protecția consumatorilor și pentru buna funcționare a pieței de energie electrică. Ne-am propus să facem din furnizarea de ultimă instanță un proces transparent, echitabil și adaptat realităților de pe piață începând cu 1 iulie 2025 – atât din perspectiva clienților, cât și a furnizorilor. Adoptarea unui sistem permanent de rotație între furnizorii de ultimă instanță elimină riscurile unei presiuni nejustificate asupra unui singur actor din piață și asigură, în același timp, continuitatea alimentării pentru toți consumatorii care ajung într-o situație critică. Am introdus o formulă clară de calcul a prețului final facturat, cu componente detaliate și limite rezonabile privind profitul furnizorilor, pentru ca fiecare client să știe exact ce plătește și de ce. Iată ce este important de reținut: Niciun Furnizor de Ultimă Instanță nu poate face un profit mai mare de pe urma acestei activități decât profitul pe care îl face pentru portofoliul său de clienți din piața concurențială. În plus, am instituit obligația ca furnizorii să publice pe site-urile lor prețul final facturat, componenta de furnizare și cea de achiziție, iar acestea să fie evidențiate în mod distinct. Deci, clientul va ști exact din ce este compus prețul care îi este facturat. Este un demers important în transparentizarea modalității de a calcula prețul și reprezintă un angajament ferm pentru transparență pe care ANRE îl întreprinde. Încurajăm trecerea către piața concurențială, prin informarea activă a consumatorilor cu privire la ofertele existente, și am clarificat aspecte importante legate de facturare, contestarea facturilor și drepturile clientului în cazul unei posibile deconectări. Toate aceste modificări sunt parte dintr-un efort mai amplu de modernizare a cadrului de reglementare și de consolidare a unei piețe de energie funcționale, în care consumatorul este protejat, bine informat și sprijinit să ia decizii în cunoștință de cauză”. </w:t>
      </w:r>
    </w:p>
    <w:p w14:paraId="5AADBBBD" w14:textId="77777777"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b/>
          <w:bCs/>
          <w:color w:val="000000"/>
          <w:sz w:val="24"/>
          <w:szCs w:val="24"/>
          <w:lang w:eastAsia="en-GB"/>
        </w:rPr>
      </w:pPr>
      <w:r w:rsidRPr="00BA17F0">
        <w:rPr>
          <w:rFonts w:ascii="Times New Roman" w:eastAsia="Times New Roman" w:hAnsi="Times New Roman" w:cs="Times New Roman"/>
          <w:b/>
          <w:bCs/>
          <w:color w:val="000000"/>
          <w:sz w:val="24"/>
          <w:szCs w:val="24"/>
          <w:lang w:eastAsia="en-GB"/>
        </w:rPr>
        <w:t>Ce noutăți aduce noul Regulament pentru FUI:</w:t>
      </w:r>
    </w:p>
    <w:p w14:paraId="56081EF2" w14:textId="77777777"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Noutatea principală adusă de Ordinul adoptat este transformarea mecanismului temporar aplicat în perioada crizei energetice într-un cadru permanent și funcțional: toți furnizorii desemnați de ANRE vor prelua, prin rotație lunară, consumatorii care rămân fără furnizor. Această abordare asigură o distribuție echitabilă a responsabilităților și protejează continuitatea alimentării cu energie electrică.</w:t>
      </w:r>
    </w:p>
    <w:p w14:paraId="1098093A" w14:textId="77777777"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 xml:space="preserve">Totodată, Ordinul introduce o formulă clară și detaliată pentru calculul prețului final facturat clienților preluați în regim de ultimă instanță, cu evidențiere distinctă a componentelor: costul energiei achiziționate, tarifele reglementate, componenta de furnizare și o cota rezonabilă de profit - în limite </w:t>
      </w:r>
      <w:r w:rsidRPr="00BA17F0">
        <w:rPr>
          <w:rFonts w:ascii="Times New Roman" w:eastAsia="Times New Roman" w:hAnsi="Times New Roman" w:cs="Times New Roman"/>
          <w:color w:val="000000"/>
          <w:sz w:val="24"/>
          <w:szCs w:val="24"/>
          <w:lang w:eastAsia="en-GB"/>
        </w:rPr>
        <w:lastRenderedPageBreak/>
        <w:t>comparabile cu cele din piața concurențială. Aceste informații devin publice, fiind afișate de către fiecare furnizor într-o secțiune dedicată de pe site-ul propriu.</w:t>
      </w:r>
    </w:p>
    <w:p w14:paraId="33A6AB58" w14:textId="77777777"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 xml:space="preserve">Regimul de FUI a fost adaptat ca să corespundă nevoilor clienților casnici și non-casnici mici. Astfel, scade </w:t>
      </w:r>
      <w:r w:rsidRPr="00BA17F0">
        <w:rPr>
          <w:rFonts w:ascii="Times New Roman" w:eastAsia="Calibri" w:hAnsi="Times New Roman" w:cs="Times New Roman"/>
          <w:sz w:val="24"/>
          <w:szCs w:val="24"/>
        </w:rPr>
        <w:t>de la 6 luni la 3 luni, durata pentru care FUI are obligația de a asigura furnizarea energiei electrice în regim de ultimă instanță clienților noncasnici cu o putere aprobată de peste 1 MVA/loc de consum.</w:t>
      </w:r>
      <w:r w:rsidRPr="00BA17F0">
        <w:rPr>
          <w:rFonts w:ascii="Times New Roman" w:eastAsia="Times New Roman" w:hAnsi="Times New Roman" w:cs="Times New Roman"/>
          <w:color w:val="000000"/>
          <w:sz w:val="24"/>
          <w:szCs w:val="24"/>
          <w:lang w:eastAsia="en-GB"/>
        </w:rPr>
        <w:t xml:space="preserve"> Obiectivul este încurajarea consumatorilor de a-și găsi un furnizor, pentru că printr-un furnizor concurențial ar beneficia de un preț mai mic decât cel din FUI.  </w:t>
      </w:r>
    </w:p>
    <w:p w14:paraId="1C082E6E" w14:textId="0A1A932A"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În plus, au fost introduse prevederi clare care încurajează clienții să aleagă oferte din piața concurențială: furnizorii pot transmite, în toată perioada în care au în portofoliu clienți în regim de FUI, oferte concurențiale pe parcursul derulării contractului și au obligația de a informa clienții despre existența platformei online de compara</w:t>
      </w:r>
      <w:r w:rsidR="00166619">
        <w:rPr>
          <w:rFonts w:ascii="Times New Roman" w:eastAsia="Times New Roman" w:hAnsi="Times New Roman" w:cs="Times New Roman"/>
          <w:color w:val="000000"/>
          <w:sz w:val="24"/>
          <w:szCs w:val="24"/>
          <w:lang w:eastAsia="en-GB"/>
        </w:rPr>
        <w:t>re</w:t>
      </w:r>
      <w:r w:rsidRPr="00BA17F0">
        <w:rPr>
          <w:rFonts w:ascii="Times New Roman" w:eastAsia="Times New Roman" w:hAnsi="Times New Roman" w:cs="Times New Roman"/>
          <w:color w:val="000000"/>
          <w:sz w:val="24"/>
          <w:szCs w:val="24"/>
          <w:lang w:eastAsia="en-GB"/>
        </w:rPr>
        <w:t xml:space="preserve"> a</w:t>
      </w:r>
      <w:r w:rsidR="00166619">
        <w:rPr>
          <w:rFonts w:ascii="Times New Roman" w:eastAsia="Times New Roman" w:hAnsi="Times New Roman" w:cs="Times New Roman"/>
          <w:color w:val="000000"/>
          <w:sz w:val="24"/>
          <w:szCs w:val="24"/>
          <w:lang w:eastAsia="en-GB"/>
        </w:rPr>
        <w:t xml:space="preserve"> </w:t>
      </w:r>
      <w:r w:rsidRPr="00BA17F0">
        <w:rPr>
          <w:rFonts w:ascii="Times New Roman" w:eastAsia="Times New Roman" w:hAnsi="Times New Roman" w:cs="Times New Roman"/>
          <w:color w:val="000000"/>
          <w:sz w:val="24"/>
          <w:szCs w:val="24"/>
          <w:lang w:eastAsia="en-GB"/>
        </w:rPr>
        <w:t>ofertelor  gestionată de ANRE – Comparatorul de oferte-tip de furnizare a energiei electrice.</w:t>
      </w:r>
    </w:p>
    <w:p w14:paraId="00E9F52D" w14:textId="77777777"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 xml:space="preserve">Ordinul mai prevede că FUI nu vor mai prelua locuri de consum aparținând unor entități radiate din registrele oficiale, întrucât acestea nu pot fi facturate prin sistemul național E-Factura. </w:t>
      </w:r>
    </w:p>
    <w:p w14:paraId="2A6F7034" w14:textId="77777777" w:rsidR="00BA17F0" w:rsidRPr="00BA17F0" w:rsidRDefault="00BA17F0" w:rsidP="00BA17F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A17F0">
        <w:rPr>
          <w:rFonts w:ascii="Times New Roman" w:eastAsia="Times New Roman" w:hAnsi="Times New Roman" w:cs="Times New Roman"/>
          <w:color w:val="000000"/>
          <w:sz w:val="24"/>
          <w:szCs w:val="24"/>
          <w:lang w:eastAsia="en-GB"/>
        </w:rPr>
        <w:t>În același timp, contractul-cadru de furnizare în regim de ultimă instanță a fost actualizat pentru a reflecta noile drepturi ale clienților, inclusiv dreptul de a contesta facturile și condițiile stricte în care poate fi întreruptă alimentarea cu energie. Astfel:</w:t>
      </w:r>
    </w:p>
    <w:p w14:paraId="10303EDB" w14:textId="77777777" w:rsidR="00BA17F0" w:rsidRPr="00BA17F0" w:rsidRDefault="00BA17F0" w:rsidP="00BA17F0">
      <w:pPr>
        <w:numPr>
          <w:ilvl w:val="0"/>
          <w:numId w:val="15"/>
        </w:num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GB"/>
        </w:rPr>
      </w:pPr>
      <w:r w:rsidRPr="00BA17F0">
        <w:rPr>
          <w:rFonts w:ascii="Times New Roman" w:eastAsia="Calibri" w:hAnsi="Times New Roman" w:cs="Times New Roman"/>
          <w:sz w:val="24"/>
          <w:szCs w:val="24"/>
        </w:rPr>
        <w:t xml:space="preserve">au fost modificate articolele privind </w:t>
      </w:r>
      <w:r w:rsidRPr="00BA17F0">
        <w:rPr>
          <w:rFonts w:ascii="Times New Roman" w:eastAsia="Calibri" w:hAnsi="Times New Roman" w:cs="Times New Roman"/>
          <w:b/>
          <w:bCs/>
          <w:sz w:val="24"/>
          <w:szCs w:val="24"/>
        </w:rPr>
        <w:t>prețul și modalitatea de facturare, astfel încât clientul să cunoască formula și principiile de stabilire a prețului</w:t>
      </w:r>
      <w:r w:rsidRPr="00BA17F0">
        <w:rPr>
          <w:rFonts w:ascii="Times New Roman" w:eastAsia="Calibri" w:hAnsi="Times New Roman" w:cs="Times New Roman"/>
          <w:sz w:val="24"/>
          <w:szCs w:val="24"/>
        </w:rPr>
        <w:t>;</w:t>
      </w:r>
    </w:p>
    <w:p w14:paraId="25E80CDF" w14:textId="77777777" w:rsidR="00BA17F0" w:rsidRPr="00BA17F0" w:rsidRDefault="00BA17F0" w:rsidP="00BA17F0">
      <w:pPr>
        <w:numPr>
          <w:ilvl w:val="0"/>
          <w:numId w:val="15"/>
        </w:num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GB"/>
        </w:rPr>
      </w:pPr>
      <w:r w:rsidRPr="00BA17F0">
        <w:rPr>
          <w:rFonts w:ascii="Times New Roman" w:eastAsia="Calibri" w:hAnsi="Times New Roman" w:cs="Times New Roman"/>
          <w:sz w:val="24"/>
          <w:szCs w:val="24"/>
        </w:rPr>
        <w:t xml:space="preserve">a fost detaliat </w:t>
      </w:r>
      <w:r w:rsidRPr="00BA17F0">
        <w:rPr>
          <w:rFonts w:ascii="Times New Roman" w:eastAsia="Calibri" w:hAnsi="Times New Roman" w:cs="Times New Roman"/>
          <w:b/>
          <w:bCs/>
          <w:sz w:val="24"/>
          <w:szCs w:val="24"/>
        </w:rPr>
        <w:t>dreptul clientului de a contesta o factură emisă de către FUI</w:t>
      </w:r>
      <w:r w:rsidRPr="00BA17F0">
        <w:rPr>
          <w:rFonts w:ascii="Times New Roman" w:eastAsia="Calibri" w:hAnsi="Times New Roman" w:cs="Times New Roman"/>
          <w:sz w:val="24"/>
          <w:szCs w:val="24"/>
        </w:rPr>
        <w:t xml:space="preserve">, precum și faptul că </w:t>
      </w:r>
      <w:r w:rsidRPr="00BA17F0">
        <w:rPr>
          <w:rFonts w:ascii="Times New Roman" w:eastAsia="Times New Roman" w:hAnsi="Times New Roman" w:cs="Times New Roman"/>
          <w:b/>
          <w:bCs/>
          <w:sz w:val="24"/>
          <w:szCs w:val="24"/>
          <w:shd w:val="clear" w:color="auto" w:fill="FFFFFF"/>
        </w:rPr>
        <w:t>FUI are dreptul să dispună întreruperea alimentării cu energie electrică doar după comunicarea catre client a rezultatului verificării plângerii şi doar dacă în urma verificării a rezultat că factura emisă este corectă şi dacă factura nu a fost achitată</w:t>
      </w:r>
      <w:r w:rsidRPr="00BA17F0">
        <w:rPr>
          <w:rFonts w:ascii="Times New Roman" w:eastAsia="Calibri" w:hAnsi="Times New Roman" w:cs="Times New Roman"/>
          <w:b/>
          <w:bCs/>
          <w:sz w:val="24"/>
          <w:szCs w:val="24"/>
        </w:rPr>
        <w:t>;</w:t>
      </w:r>
    </w:p>
    <w:p w14:paraId="524296C6" w14:textId="70CB820B" w:rsidR="00BA17F0" w:rsidRPr="00BA17F0" w:rsidRDefault="00BA17F0" w:rsidP="00BA17F0">
      <w:pPr>
        <w:numPr>
          <w:ilvl w:val="0"/>
          <w:numId w:val="15"/>
        </w:num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en-GB"/>
        </w:rPr>
      </w:pPr>
      <w:r w:rsidRPr="00BA17F0">
        <w:rPr>
          <w:rFonts w:ascii="Times New Roman" w:eastAsia="Calibri" w:hAnsi="Times New Roman" w:cs="Times New Roman"/>
          <w:sz w:val="24"/>
          <w:szCs w:val="24"/>
        </w:rPr>
        <w:t xml:space="preserve">a fost detaliat modul în care </w:t>
      </w:r>
      <w:r w:rsidRPr="00BA17F0">
        <w:rPr>
          <w:rFonts w:ascii="Times New Roman" w:eastAsia="Calibri" w:hAnsi="Times New Roman" w:cs="Times New Roman"/>
          <w:b/>
          <w:bCs/>
          <w:sz w:val="24"/>
          <w:szCs w:val="24"/>
        </w:rPr>
        <w:t>furnizorii returnează clienților eventualele sume plătite în plus</w:t>
      </w:r>
      <w:r w:rsidR="006D4F08">
        <w:rPr>
          <w:rFonts w:ascii="Times New Roman" w:eastAsia="Calibri" w:hAnsi="Times New Roman" w:cs="Times New Roman"/>
          <w:b/>
          <w:bCs/>
          <w:sz w:val="24"/>
          <w:szCs w:val="24"/>
        </w:rPr>
        <w:t>.</w:t>
      </w:r>
    </w:p>
    <w:p w14:paraId="5B601B16" w14:textId="77777777" w:rsidR="00110294" w:rsidRDefault="00110294" w:rsidP="00BA17F0">
      <w:pPr>
        <w:spacing w:line="252" w:lineRule="auto"/>
        <w:rPr>
          <w:rFonts w:ascii="Times New Roman" w:hAnsi="Times New Roman" w:cs="Times New Roman"/>
          <w:i/>
          <w:sz w:val="24"/>
          <w:szCs w:val="24"/>
        </w:rPr>
      </w:pPr>
    </w:p>
    <w:p w14:paraId="40CB75B6" w14:textId="294AE311" w:rsidR="00BA17F0" w:rsidRPr="00BA17F0" w:rsidRDefault="00BA17F0" w:rsidP="00BA17F0">
      <w:pPr>
        <w:spacing w:line="252" w:lineRule="auto"/>
        <w:rPr>
          <w:rFonts w:ascii="Times New Roman" w:hAnsi="Times New Roman" w:cs="Times New Roman"/>
          <w:i/>
          <w:sz w:val="24"/>
          <w:szCs w:val="24"/>
        </w:rPr>
      </w:pPr>
      <w:r w:rsidRPr="00BA17F0">
        <w:rPr>
          <w:rFonts w:ascii="Times New Roman" w:hAnsi="Times New Roman" w:cs="Times New Roman"/>
          <w:i/>
          <w:sz w:val="24"/>
          <w:szCs w:val="24"/>
        </w:rPr>
        <w:t>Direcția relații internaționale, comunicare și soluționare plângeri</w:t>
      </w:r>
      <w:r w:rsidRPr="00BA17F0">
        <w:rPr>
          <w:rFonts w:ascii="Times New Roman" w:hAnsi="Times New Roman" w:cs="Times New Roman"/>
          <w:i/>
          <w:sz w:val="24"/>
          <w:szCs w:val="24"/>
        </w:rPr>
        <w:br/>
      </w:r>
      <w:r>
        <w:rPr>
          <w:rFonts w:ascii="Times New Roman" w:hAnsi="Times New Roman" w:cs="Times New Roman"/>
          <w:i/>
          <w:sz w:val="24"/>
          <w:szCs w:val="24"/>
        </w:rPr>
        <w:t>25</w:t>
      </w:r>
      <w:r w:rsidRPr="00BA17F0">
        <w:rPr>
          <w:rFonts w:ascii="Times New Roman" w:hAnsi="Times New Roman" w:cs="Times New Roman"/>
          <w:i/>
          <w:sz w:val="24"/>
          <w:szCs w:val="24"/>
        </w:rPr>
        <w:t>.0</w:t>
      </w:r>
      <w:r>
        <w:rPr>
          <w:rFonts w:ascii="Times New Roman" w:hAnsi="Times New Roman" w:cs="Times New Roman"/>
          <w:i/>
          <w:sz w:val="24"/>
          <w:szCs w:val="24"/>
        </w:rPr>
        <w:t>3</w:t>
      </w:r>
      <w:r w:rsidRPr="00BA17F0">
        <w:rPr>
          <w:rFonts w:ascii="Times New Roman" w:hAnsi="Times New Roman" w:cs="Times New Roman"/>
          <w:i/>
          <w:sz w:val="24"/>
          <w:szCs w:val="24"/>
        </w:rPr>
        <w:t>.2025</w:t>
      </w:r>
    </w:p>
    <w:sectPr w:rsidR="00BA17F0" w:rsidRPr="00BA17F0"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A2F5" w14:textId="77777777" w:rsidR="00642271" w:rsidRDefault="00642271" w:rsidP="003B4C37">
      <w:pPr>
        <w:spacing w:after="0" w:line="240" w:lineRule="auto"/>
      </w:pPr>
      <w:r>
        <w:separator/>
      </w:r>
    </w:p>
  </w:endnote>
  <w:endnote w:type="continuationSeparator" w:id="0">
    <w:p w14:paraId="75B96A86" w14:textId="77777777" w:rsidR="00642271" w:rsidRDefault="00642271"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6525" w14:textId="77777777" w:rsidR="00642271" w:rsidRDefault="00642271" w:rsidP="003B4C37">
      <w:pPr>
        <w:spacing w:after="0" w:line="240" w:lineRule="auto"/>
      </w:pPr>
      <w:r>
        <w:separator/>
      </w:r>
    </w:p>
  </w:footnote>
  <w:footnote w:type="continuationSeparator" w:id="0">
    <w:p w14:paraId="01F1E05B" w14:textId="77777777" w:rsidR="00642271" w:rsidRDefault="00642271"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7"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0644434">
    <w:abstractNumId w:val="13"/>
  </w:num>
  <w:num w:numId="2" w16cid:durableId="1530994380">
    <w:abstractNumId w:val="9"/>
  </w:num>
  <w:num w:numId="3" w16cid:durableId="669404451">
    <w:abstractNumId w:val="6"/>
  </w:num>
  <w:num w:numId="4" w16cid:durableId="705179706">
    <w:abstractNumId w:val="14"/>
  </w:num>
  <w:num w:numId="5" w16cid:durableId="378284584">
    <w:abstractNumId w:val="1"/>
  </w:num>
  <w:num w:numId="6" w16cid:durableId="1717468477">
    <w:abstractNumId w:val="10"/>
  </w:num>
  <w:num w:numId="7" w16cid:durableId="809060428">
    <w:abstractNumId w:val="5"/>
  </w:num>
  <w:num w:numId="8" w16cid:durableId="1972206323">
    <w:abstractNumId w:val="2"/>
  </w:num>
  <w:num w:numId="9" w16cid:durableId="329991887">
    <w:abstractNumId w:val="3"/>
  </w:num>
  <w:num w:numId="10" w16cid:durableId="263653715">
    <w:abstractNumId w:val="4"/>
  </w:num>
  <w:num w:numId="11" w16cid:durableId="322439292">
    <w:abstractNumId w:val="11"/>
  </w:num>
  <w:num w:numId="12" w16cid:durableId="546454658">
    <w:abstractNumId w:val="8"/>
  </w:num>
  <w:num w:numId="13" w16cid:durableId="1361974400">
    <w:abstractNumId w:val="7"/>
  </w:num>
  <w:num w:numId="14" w16cid:durableId="729113446">
    <w:abstractNumId w:val="0"/>
  </w:num>
  <w:num w:numId="15" w16cid:durableId="623731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770B3"/>
    <w:rsid w:val="00084A83"/>
    <w:rsid w:val="00090741"/>
    <w:rsid w:val="000C0560"/>
    <w:rsid w:val="000C3334"/>
    <w:rsid w:val="000D4689"/>
    <w:rsid w:val="000D7AE0"/>
    <w:rsid w:val="000E316D"/>
    <w:rsid w:val="000F3DF1"/>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B55AA"/>
    <w:rsid w:val="004C4C23"/>
    <w:rsid w:val="004D2EC1"/>
    <w:rsid w:val="004D364D"/>
    <w:rsid w:val="004E5631"/>
    <w:rsid w:val="00520268"/>
    <w:rsid w:val="0052287D"/>
    <w:rsid w:val="005261D6"/>
    <w:rsid w:val="00540FD2"/>
    <w:rsid w:val="0056190F"/>
    <w:rsid w:val="00561D6D"/>
    <w:rsid w:val="00562F71"/>
    <w:rsid w:val="00572DF7"/>
    <w:rsid w:val="00574929"/>
    <w:rsid w:val="00587BE2"/>
    <w:rsid w:val="005D0E57"/>
    <w:rsid w:val="005E003D"/>
    <w:rsid w:val="005E3B03"/>
    <w:rsid w:val="005E64BD"/>
    <w:rsid w:val="00620875"/>
    <w:rsid w:val="00642271"/>
    <w:rsid w:val="0066785A"/>
    <w:rsid w:val="00677CF9"/>
    <w:rsid w:val="006A1460"/>
    <w:rsid w:val="006B7CD0"/>
    <w:rsid w:val="006C1CB9"/>
    <w:rsid w:val="006D4F08"/>
    <w:rsid w:val="006E6A98"/>
    <w:rsid w:val="00717D6D"/>
    <w:rsid w:val="00742998"/>
    <w:rsid w:val="0076099F"/>
    <w:rsid w:val="007825E2"/>
    <w:rsid w:val="00787AA2"/>
    <w:rsid w:val="00795361"/>
    <w:rsid w:val="007A3C37"/>
    <w:rsid w:val="007A7115"/>
    <w:rsid w:val="007A78E2"/>
    <w:rsid w:val="007D1F9B"/>
    <w:rsid w:val="00822101"/>
    <w:rsid w:val="00825359"/>
    <w:rsid w:val="00845749"/>
    <w:rsid w:val="00847506"/>
    <w:rsid w:val="0085060E"/>
    <w:rsid w:val="0088430C"/>
    <w:rsid w:val="008A4DDE"/>
    <w:rsid w:val="008D7198"/>
    <w:rsid w:val="008F401E"/>
    <w:rsid w:val="008F6221"/>
    <w:rsid w:val="00904AAE"/>
    <w:rsid w:val="00917CB4"/>
    <w:rsid w:val="009267F6"/>
    <w:rsid w:val="00934921"/>
    <w:rsid w:val="00936332"/>
    <w:rsid w:val="009601B9"/>
    <w:rsid w:val="00962771"/>
    <w:rsid w:val="00997D09"/>
    <w:rsid w:val="009C5B10"/>
    <w:rsid w:val="00A12310"/>
    <w:rsid w:val="00A26582"/>
    <w:rsid w:val="00A270B1"/>
    <w:rsid w:val="00A277E7"/>
    <w:rsid w:val="00A27ADC"/>
    <w:rsid w:val="00A53F29"/>
    <w:rsid w:val="00A60696"/>
    <w:rsid w:val="00A67B3D"/>
    <w:rsid w:val="00AB62C4"/>
    <w:rsid w:val="00AD154F"/>
    <w:rsid w:val="00AE22CA"/>
    <w:rsid w:val="00AE6F05"/>
    <w:rsid w:val="00AF2BC1"/>
    <w:rsid w:val="00AF71FE"/>
    <w:rsid w:val="00B06834"/>
    <w:rsid w:val="00B50AEF"/>
    <w:rsid w:val="00B57094"/>
    <w:rsid w:val="00B63563"/>
    <w:rsid w:val="00B81C1F"/>
    <w:rsid w:val="00BA14C9"/>
    <w:rsid w:val="00BA17F0"/>
    <w:rsid w:val="00BC0B70"/>
    <w:rsid w:val="00BD4091"/>
    <w:rsid w:val="00BF2C67"/>
    <w:rsid w:val="00C042DC"/>
    <w:rsid w:val="00C059F2"/>
    <w:rsid w:val="00C17D43"/>
    <w:rsid w:val="00C2096C"/>
    <w:rsid w:val="00C41C0C"/>
    <w:rsid w:val="00C428F5"/>
    <w:rsid w:val="00CF2E2C"/>
    <w:rsid w:val="00CF7DC2"/>
    <w:rsid w:val="00D005D5"/>
    <w:rsid w:val="00D72DAB"/>
    <w:rsid w:val="00D75725"/>
    <w:rsid w:val="00D76985"/>
    <w:rsid w:val="00DE40C1"/>
    <w:rsid w:val="00DE7A98"/>
    <w:rsid w:val="00DF7952"/>
    <w:rsid w:val="00E03D51"/>
    <w:rsid w:val="00E43B64"/>
    <w:rsid w:val="00E56C1A"/>
    <w:rsid w:val="00E7037E"/>
    <w:rsid w:val="00EA4BD5"/>
    <w:rsid w:val="00ED1E6B"/>
    <w:rsid w:val="00ED494E"/>
    <w:rsid w:val="00EE398F"/>
    <w:rsid w:val="00EF36DB"/>
    <w:rsid w:val="00EF44A3"/>
    <w:rsid w:val="00F00275"/>
    <w:rsid w:val="00F404C1"/>
    <w:rsid w:val="00F80B77"/>
    <w:rsid w:val="00FA1D08"/>
    <w:rsid w:val="00FD521F"/>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891</Words>
  <Characters>5080</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2023-09-04T08:01:00Z</cp:lastPrinted>
  <dcterms:created xsi:type="dcterms:W3CDTF">2025-03-25T17:26:00Z</dcterms:created>
  <dcterms:modified xsi:type="dcterms:W3CDTF">2025-03-25T18:01:00Z</dcterms:modified>
</cp:coreProperties>
</file>