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FFF" w:rsidRPr="00BC6A93" w:rsidRDefault="00403FFF" w:rsidP="00403FFF">
      <w:pPr>
        <w:spacing w:after="0" w:line="345" w:lineRule="atLeast"/>
        <w:jc w:val="both"/>
        <w:rPr>
          <w:rStyle w:val="Hyperlink"/>
        </w:rPr>
      </w:pPr>
      <w:bookmarkStart w:id="0" w:name="_GoBack"/>
      <w:bookmarkEnd w:id="0"/>
    </w:p>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403FFF" w:rsidRPr="00BC6A93" w:rsidTr="00D41979">
        <w:trPr>
          <w:trHeight w:val="952"/>
        </w:trPr>
        <w:tc>
          <w:tcPr>
            <w:tcW w:w="569" w:type="dxa"/>
          </w:tcPr>
          <w:p w:rsidR="00403FFF" w:rsidRPr="00BC6A93" w:rsidRDefault="00403FFF" w:rsidP="00D41979">
            <w:pPr>
              <w:pStyle w:val="TableParagraph"/>
              <w:spacing w:line="276" w:lineRule="auto"/>
              <w:ind w:right="78" w:firstLine="7"/>
              <w:rPr>
                <w:b/>
                <w:sz w:val="20"/>
                <w:szCs w:val="20"/>
                <w:lang w:val="ro-RO"/>
              </w:rPr>
            </w:pPr>
            <w:r w:rsidRPr="00BC6A93">
              <w:rPr>
                <w:b/>
                <w:sz w:val="20"/>
                <w:szCs w:val="20"/>
                <w:lang w:val="ro-RO"/>
              </w:rPr>
              <w:t>Nr.</w:t>
            </w:r>
            <w:r w:rsidRPr="00BC6A93">
              <w:rPr>
                <w:b/>
                <w:spacing w:val="-57"/>
                <w:sz w:val="20"/>
                <w:szCs w:val="20"/>
                <w:lang w:val="ro-RO"/>
              </w:rPr>
              <w:t xml:space="preserve"> </w:t>
            </w:r>
            <w:r w:rsidRPr="00BC6A93">
              <w:rPr>
                <w:b/>
                <w:sz w:val="20"/>
                <w:szCs w:val="20"/>
                <w:lang w:val="ro-RO"/>
              </w:rPr>
              <w:t>crt.</w:t>
            </w:r>
          </w:p>
        </w:tc>
        <w:tc>
          <w:tcPr>
            <w:tcW w:w="2479" w:type="dxa"/>
          </w:tcPr>
          <w:p w:rsidR="00403FFF" w:rsidRPr="00BC6A93" w:rsidRDefault="00403FFF" w:rsidP="00D41979">
            <w:pPr>
              <w:pStyle w:val="TableParagraph"/>
              <w:spacing w:line="276" w:lineRule="auto"/>
              <w:ind w:left="530" w:right="520" w:hanging="1"/>
              <w:jc w:val="center"/>
              <w:rPr>
                <w:b/>
                <w:sz w:val="20"/>
                <w:szCs w:val="20"/>
                <w:lang w:val="ro-RO"/>
              </w:rPr>
            </w:pPr>
            <w:r w:rsidRPr="00BC6A93">
              <w:rPr>
                <w:b/>
                <w:sz w:val="20"/>
                <w:szCs w:val="20"/>
                <w:lang w:val="ro-RO"/>
              </w:rPr>
              <w:t>Baza legală</w:t>
            </w:r>
            <w:r w:rsidRPr="00BC6A93">
              <w:rPr>
                <w:b/>
                <w:spacing w:val="1"/>
                <w:sz w:val="20"/>
                <w:szCs w:val="20"/>
                <w:lang w:val="ro-RO"/>
              </w:rPr>
              <w:t xml:space="preserve"> </w:t>
            </w:r>
            <w:r w:rsidRPr="00BC6A93">
              <w:rPr>
                <w:b/>
                <w:spacing w:val="-1"/>
                <w:sz w:val="20"/>
                <w:szCs w:val="20"/>
                <w:lang w:val="ro-RO"/>
              </w:rPr>
              <w:t>(prevederi</w:t>
            </w:r>
            <w:r w:rsidRPr="00BC6A93">
              <w:rPr>
                <w:b/>
                <w:spacing w:val="-8"/>
                <w:sz w:val="20"/>
                <w:szCs w:val="20"/>
                <w:lang w:val="ro-RO"/>
              </w:rPr>
              <w:t xml:space="preserve"> </w:t>
            </w:r>
            <w:r w:rsidRPr="00BC6A93">
              <w:rPr>
                <w:b/>
                <w:sz w:val="20"/>
                <w:szCs w:val="20"/>
                <w:lang w:val="ro-RO"/>
              </w:rPr>
              <w:t>ale</w:t>
            </w:r>
          </w:p>
          <w:p w:rsidR="00403FFF" w:rsidRPr="00BC6A93" w:rsidRDefault="00403FFF" w:rsidP="00D41979">
            <w:pPr>
              <w:pStyle w:val="TableParagraph"/>
              <w:spacing w:line="240" w:lineRule="auto"/>
              <w:ind w:left="379" w:right="369"/>
              <w:jc w:val="center"/>
              <w:rPr>
                <w:b/>
                <w:sz w:val="20"/>
                <w:szCs w:val="20"/>
                <w:lang w:val="ro-RO"/>
              </w:rPr>
            </w:pPr>
            <w:r w:rsidRPr="00BC6A93">
              <w:rPr>
                <w:b/>
                <w:i/>
                <w:sz w:val="20"/>
                <w:szCs w:val="20"/>
                <w:lang w:val="ro-RO"/>
              </w:rPr>
              <w:t>Regulamentului</w:t>
            </w:r>
            <w:r w:rsidRPr="00BC6A93">
              <w:rPr>
                <w:b/>
                <w:sz w:val="20"/>
                <w:szCs w:val="20"/>
                <w:lang w:val="ro-RO"/>
              </w:rPr>
              <w:t>)</w:t>
            </w:r>
          </w:p>
        </w:tc>
        <w:tc>
          <w:tcPr>
            <w:tcW w:w="6739" w:type="dxa"/>
          </w:tcPr>
          <w:p w:rsidR="00403FFF" w:rsidRPr="00BC6A93" w:rsidRDefault="00403FFF" w:rsidP="00D41979">
            <w:pPr>
              <w:pStyle w:val="TableParagraph"/>
              <w:spacing w:line="275" w:lineRule="exact"/>
              <w:ind w:left="2768" w:right="2760"/>
              <w:jc w:val="center"/>
              <w:rPr>
                <w:b/>
                <w:sz w:val="20"/>
                <w:szCs w:val="20"/>
                <w:lang w:val="ro-RO"/>
              </w:rPr>
            </w:pPr>
            <w:r w:rsidRPr="00BC6A93">
              <w:rPr>
                <w:b/>
                <w:sz w:val="20"/>
                <w:szCs w:val="20"/>
                <w:lang w:val="ro-RO"/>
              </w:rPr>
              <w:t>Documente</w:t>
            </w:r>
          </w:p>
        </w:tc>
      </w:tr>
      <w:tr w:rsidR="00403FFF" w:rsidRPr="00BC6A93" w:rsidTr="00D41979">
        <w:trPr>
          <w:trHeight w:val="1578"/>
        </w:trPr>
        <w:tc>
          <w:tcPr>
            <w:tcW w:w="569" w:type="dxa"/>
          </w:tcPr>
          <w:p w:rsidR="00403FFF" w:rsidRPr="00BC6A93" w:rsidRDefault="00403FFF" w:rsidP="00D41979">
            <w:pPr>
              <w:pStyle w:val="TableParagraph"/>
              <w:ind w:left="0" w:right="182"/>
              <w:jc w:val="right"/>
              <w:rPr>
                <w:sz w:val="20"/>
                <w:szCs w:val="20"/>
                <w:lang w:val="ro-RO"/>
              </w:rPr>
            </w:pPr>
            <w:r w:rsidRPr="00BC6A93">
              <w:rPr>
                <w:sz w:val="20"/>
                <w:szCs w:val="20"/>
                <w:lang w:val="ro-RO"/>
              </w:rPr>
              <w:t>1.</w:t>
            </w:r>
          </w:p>
        </w:tc>
        <w:tc>
          <w:tcPr>
            <w:tcW w:w="2479" w:type="dxa"/>
          </w:tcPr>
          <w:p w:rsidR="00403FFF" w:rsidRPr="00BC6A93" w:rsidRDefault="00403FFF" w:rsidP="00D41979">
            <w:pPr>
              <w:pStyle w:val="TableParagraph"/>
              <w:spacing w:line="276" w:lineRule="auto"/>
              <w:ind w:right="132"/>
              <w:jc w:val="center"/>
              <w:rPr>
                <w:sz w:val="20"/>
                <w:szCs w:val="20"/>
                <w:lang w:val="ro-RO"/>
              </w:rPr>
            </w:pPr>
            <w:r w:rsidRPr="00BC6A93">
              <w:rPr>
                <w:sz w:val="20"/>
                <w:szCs w:val="20"/>
                <w:lang w:val="ro-RO"/>
              </w:rPr>
              <w:t>Art. 36 alin. (2)</w:t>
            </w:r>
          </w:p>
        </w:tc>
        <w:tc>
          <w:tcPr>
            <w:tcW w:w="6739" w:type="dxa"/>
          </w:tcPr>
          <w:p w:rsidR="00403FFF" w:rsidRPr="00BC6A93" w:rsidRDefault="00403FFF" w:rsidP="00D41979">
            <w:pPr>
              <w:pStyle w:val="al"/>
              <w:spacing w:line="276" w:lineRule="auto"/>
              <w:ind w:right="132"/>
              <w:rPr>
                <w:sz w:val="20"/>
                <w:szCs w:val="20"/>
              </w:rPr>
            </w:pPr>
            <w:r w:rsidRPr="00BC6A93">
              <w:rPr>
                <w:rFonts w:eastAsia="Times New Roman"/>
                <w:sz w:val="20"/>
                <w:szCs w:val="20"/>
                <w14:ligatures w14:val="none"/>
              </w:rPr>
              <w:t xml:space="preserve">În situaţiile prevăzute la art. 36, alin. (1) </w:t>
            </w:r>
            <w:hyperlink r:id="rId5" w:anchor="p-618927258" w:tgtFrame="_blank" w:history="1">
              <w:r w:rsidRPr="00BC6A93">
                <w:rPr>
                  <w:rFonts w:eastAsia="Times New Roman"/>
                  <w:sz w:val="20"/>
                  <w:szCs w:val="20"/>
                  <w14:ligatures w14:val="none"/>
                </w:rPr>
                <w:t>lit. a)</w:t>
              </w:r>
            </w:hyperlink>
            <w:r w:rsidRPr="00BC6A93">
              <w:rPr>
                <w:rFonts w:eastAsia="Times New Roman"/>
                <w:sz w:val="20"/>
                <w:szCs w:val="20"/>
                <w14:ligatures w14:val="none"/>
              </w:rPr>
              <w:t xml:space="preserve"> şi </w:t>
            </w:r>
            <w:hyperlink r:id="rId6" w:anchor="p-618927259" w:tgtFrame="_blank" w:history="1">
              <w:r w:rsidRPr="00BC6A93">
                <w:rPr>
                  <w:rFonts w:eastAsia="Times New Roman"/>
                  <w:sz w:val="20"/>
                  <w:szCs w:val="20"/>
                  <w14:ligatures w14:val="none"/>
                </w:rPr>
                <w:t>b)</w:t>
              </w:r>
            </w:hyperlink>
            <w:r w:rsidRPr="00BC6A93">
              <w:rPr>
                <w:rFonts w:eastAsia="Times New Roman"/>
                <w:sz w:val="20"/>
                <w:szCs w:val="20"/>
                <w14:ligatures w14:val="none"/>
              </w:rPr>
              <w:t>, titularul licenţei/autorizaţiei înregistrează la ANRE o cerere de modificare a licenţei/autorizaţiei în termenele de notificare a acestor situaţii prevăzute, după caz, în condiţiile generale asociate acesteia sau, în cazul în care nu sunt prevăzute asemenea termene, în termen de cel mult 30 de zile calendaristice de la apariţia situaţiei care impune modificarea licenţei/autorizaţiei</w:t>
            </w:r>
          </w:p>
        </w:tc>
      </w:tr>
      <w:tr w:rsidR="00403FFF" w:rsidRPr="00BC6A93" w:rsidTr="00D41979">
        <w:trPr>
          <w:trHeight w:val="274"/>
        </w:trPr>
        <w:tc>
          <w:tcPr>
            <w:tcW w:w="569" w:type="dxa"/>
          </w:tcPr>
          <w:p w:rsidR="00403FFF" w:rsidRPr="00BC6A93" w:rsidRDefault="00403FFF" w:rsidP="00D41979">
            <w:pPr>
              <w:pStyle w:val="TableParagraph"/>
              <w:ind w:left="0" w:right="182"/>
              <w:jc w:val="right"/>
              <w:rPr>
                <w:sz w:val="20"/>
                <w:szCs w:val="20"/>
                <w:lang w:val="ro-RO"/>
              </w:rPr>
            </w:pPr>
            <w:r w:rsidRPr="00BC6A93">
              <w:rPr>
                <w:sz w:val="20"/>
                <w:szCs w:val="20"/>
                <w:lang w:val="ro-RO"/>
              </w:rPr>
              <w:t>2.</w:t>
            </w:r>
          </w:p>
        </w:tc>
        <w:tc>
          <w:tcPr>
            <w:tcW w:w="2479" w:type="dxa"/>
          </w:tcPr>
          <w:p w:rsidR="00403FFF" w:rsidRPr="00BC6A93" w:rsidRDefault="00403FFF" w:rsidP="00D41979">
            <w:pPr>
              <w:pStyle w:val="TableParagraph"/>
              <w:ind w:left="0" w:right="182"/>
              <w:jc w:val="center"/>
              <w:rPr>
                <w:sz w:val="20"/>
                <w:szCs w:val="20"/>
                <w:lang w:val="ro-RO"/>
              </w:rPr>
            </w:pPr>
            <w:r w:rsidRPr="00BC6A93">
              <w:rPr>
                <w:sz w:val="20"/>
                <w:szCs w:val="20"/>
                <w:lang w:val="ro-RO"/>
              </w:rPr>
              <w:t>Art. 40, alin.(1) lit. a), lit.b)</w:t>
            </w:r>
          </w:p>
        </w:tc>
        <w:tc>
          <w:tcPr>
            <w:tcW w:w="6739" w:type="dxa"/>
          </w:tcPr>
          <w:p w:rsidR="00403FFF" w:rsidRPr="00BC6A93" w:rsidRDefault="00403FFF" w:rsidP="00D41979">
            <w:pPr>
              <w:pStyle w:val="TableParagraph"/>
              <w:ind w:left="0" w:right="182"/>
              <w:jc w:val="both"/>
              <w:rPr>
                <w:sz w:val="20"/>
                <w:szCs w:val="20"/>
                <w:lang w:val="ro-RO"/>
              </w:rPr>
            </w:pPr>
            <w:r w:rsidRPr="00BC6A93">
              <w:rPr>
                <w:b/>
                <w:bCs/>
                <w:sz w:val="20"/>
                <w:szCs w:val="20"/>
                <w:lang w:val="ro-RO"/>
              </w:rPr>
              <w:t>a)</w:t>
            </w:r>
            <w:r w:rsidRPr="00BC6A93">
              <w:rPr>
                <w:sz w:val="20"/>
                <w:szCs w:val="20"/>
                <w:lang w:val="ro-RO"/>
              </w:rPr>
              <w:t>în situaţiile prevăzute la art. 36 alin. (1) lit. a), documentele care dovedesc, în condiţiile legii, modificarea statutului titularului de autorizaţie/licenţă;</w:t>
            </w:r>
          </w:p>
          <w:p w:rsidR="00403FFF" w:rsidRPr="00BC6A93" w:rsidRDefault="00403FFF" w:rsidP="00D41979">
            <w:pPr>
              <w:pStyle w:val="TableParagraph"/>
              <w:ind w:left="0" w:right="182"/>
              <w:jc w:val="both"/>
              <w:rPr>
                <w:sz w:val="20"/>
                <w:szCs w:val="20"/>
                <w:lang w:val="ro-RO"/>
              </w:rPr>
            </w:pPr>
            <w:r w:rsidRPr="00BC6A93">
              <w:rPr>
                <w:b/>
                <w:bCs/>
                <w:sz w:val="20"/>
                <w:szCs w:val="20"/>
                <w:lang w:val="ro-RO"/>
              </w:rPr>
              <w:t>b)</w:t>
            </w:r>
            <w:r w:rsidRPr="00BC6A93">
              <w:rPr>
                <w:sz w:val="20"/>
                <w:szCs w:val="20"/>
                <w:lang w:val="ro-RO"/>
              </w:rPr>
              <w:t>în situaţiile prevăzute la art. 36 alin. (1) lit. b), acele documente prevăzute de prezentul regulament care fac obiectul modificării în cauză referitoare la noile capacităţi energetice şi caracteristicile tehnice ale acestora, în cazul punerii în funcţiune a unor capacităţi energetice noi, sau documentele referitoare la scoaterea din funcţiune a capacităţilor existente, în cazul excluderii acestora din licenţă, ori la alte situaţii dintre cele prevăzute la art. 36 alin. (1) lit. b)</w:t>
            </w:r>
          </w:p>
        </w:tc>
      </w:tr>
      <w:tr w:rsidR="00403FFF" w:rsidRPr="00BC6A93" w:rsidTr="00D41979">
        <w:trPr>
          <w:trHeight w:val="1409"/>
        </w:trPr>
        <w:tc>
          <w:tcPr>
            <w:tcW w:w="569" w:type="dxa"/>
          </w:tcPr>
          <w:p w:rsidR="00403FFF" w:rsidRPr="00BC6A93" w:rsidRDefault="00403FFF" w:rsidP="00D41979">
            <w:pPr>
              <w:pStyle w:val="TableParagraph"/>
              <w:ind w:left="0" w:right="182"/>
              <w:jc w:val="right"/>
              <w:rPr>
                <w:sz w:val="20"/>
                <w:szCs w:val="20"/>
                <w:lang w:val="ro-RO"/>
              </w:rPr>
            </w:pPr>
            <w:r w:rsidRPr="00BC6A93">
              <w:rPr>
                <w:sz w:val="20"/>
                <w:szCs w:val="20"/>
                <w:lang w:val="ro-RO"/>
              </w:rPr>
              <w:t>3.</w:t>
            </w:r>
          </w:p>
        </w:tc>
        <w:tc>
          <w:tcPr>
            <w:tcW w:w="2479" w:type="dxa"/>
          </w:tcPr>
          <w:p w:rsidR="00403FFF" w:rsidRPr="00BC6A93" w:rsidRDefault="00403FFF" w:rsidP="00D41979">
            <w:pPr>
              <w:pStyle w:val="TableParagraph"/>
              <w:ind w:left="0" w:right="182"/>
              <w:jc w:val="center"/>
              <w:rPr>
                <w:sz w:val="20"/>
                <w:szCs w:val="20"/>
                <w:lang w:val="ro-RO"/>
              </w:rPr>
            </w:pPr>
            <w:r w:rsidRPr="00BC6A93">
              <w:rPr>
                <w:sz w:val="20"/>
                <w:szCs w:val="20"/>
                <w:lang w:val="ro-RO"/>
              </w:rPr>
              <w:t>Art. 40, alin. (2)</w:t>
            </w:r>
          </w:p>
        </w:tc>
        <w:tc>
          <w:tcPr>
            <w:tcW w:w="6739" w:type="dxa"/>
          </w:tcPr>
          <w:p w:rsidR="00403FFF" w:rsidRPr="00BC6A93" w:rsidRDefault="00403FFF" w:rsidP="00D41979">
            <w:pPr>
              <w:pStyle w:val="TableParagraph"/>
              <w:ind w:left="0" w:right="182"/>
              <w:jc w:val="both"/>
              <w:rPr>
                <w:sz w:val="20"/>
                <w:szCs w:val="20"/>
                <w:lang w:val="ro-RO"/>
              </w:rPr>
            </w:pPr>
            <w:r w:rsidRPr="00BC6A93">
              <w:rPr>
                <w:sz w:val="20"/>
                <w:szCs w:val="20"/>
                <w:lang w:val="ro-RO"/>
              </w:rPr>
              <w:t>In cazul fuziunii sau divizării titularului autorizaţiei/licenţei, ataşat cererii se vor prezenta următoarele documente:</w:t>
            </w:r>
          </w:p>
          <w:p w:rsidR="00403FFF" w:rsidRPr="00BC6A93" w:rsidRDefault="00403FFF" w:rsidP="00D41979">
            <w:pPr>
              <w:pStyle w:val="TableParagraph"/>
              <w:ind w:left="0" w:right="182"/>
              <w:jc w:val="both"/>
              <w:rPr>
                <w:sz w:val="20"/>
                <w:szCs w:val="20"/>
                <w:lang w:val="ro-RO"/>
              </w:rPr>
            </w:pPr>
            <w:r w:rsidRPr="00BC6A93">
              <w:rPr>
                <w:b/>
                <w:bCs/>
                <w:sz w:val="20"/>
                <w:szCs w:val="20"/>
                <w:lang w:val="ro-RO"/>
              </w:rPr>
              <w:t>a)</w:t>
            </w:r>
            <w:r w:rsidRPr="00BC6A93">
              <w:rPr>
                <w:sz w:val="20"/>
                <w:szCs w:val="20"/>
                <w:lang w:val="ro-RO"/>
              </w:rPr>
              <w:t>certificatul constatator, emis de ONRC, al operatorului economic care preia capacităţile/activităţile respective, care să conţină domeniul de activitate necesar continuării activităţii transferate;</w:t>
            </w:r>
          </w:p>
          <w:p w:rsidR="00403FFF" w:rsidRPr="00BC6A93" w:rsidRDefault="00403FFF" w:rsidP="00D41979">
            <w:pPr>
              <w:pStyle w:val="TableParagraph"/>
              <w:ind w:left="0" w:right="182"/>
              <w:jc w:val="both"/>
              <w:rPr>
                <w:sz w:val="20"/>
                <w:szCs w:val="20"/>
                <w:lang w:val="ro-RO"/>
              </w:rPr>
            </w:pPr>
            <w:r w:rsidRPr="00BC6A93">
              <w:rPr>
                <w:b/>
                <w:bCs/>
                <w:sz w:val="20"/>
                <w:szCs w:val="20"/>
                <w:lang w:val="ro-RO"/>
              </w:rPr>
              <w:t>b)</w:t>
            </w:r>
            <w:r w:rsidRPr="00BC6A93">
              <w:rPr>
                <w:sz w:val="20"/>
                <w:szCs w:val="20"/>
                <w:lang w:val="ro-RO"/>
              </w:rPr>
              <w:t>proiectul de fuziune/divizare, publicat în Monitorul Oficial al României, şi hotărârile organelor de conducere privind fuziunea/divizarea, din care trebuie să rezulte predarea şi preluarea patrimoniului şi a personalului implicat în activitatea ce face obiectul autorizaţiei/licenţei;</w:t>
            </w:r>
          </w:p>
          <w:p w:rsidR="00403FFF" w:rsidRPr="00BC6A93" w:rsidRDefault="00403FFF" w:rsidP="00D41979">
            <w:pPr>
              <w:pStyle w:val="TableParagraph"/>
              <w:ind w:left="0" w:right="182"/>
              <w:jc w:val="both"/>
              <w:rPr>
                <w:sz w:val="20"/>
                <w:szCs w:val="20"/>
                <w:lang w:val="ro-RO"/>
              </w:rPr>
            </w:pPr>
            <w:r w:rsidRPr="00BC6A93">
              <w:rPr>
                <w:b/>
                <w:bCs/>
                <w:sz w:val="20"/>
                <w:szCs w:val="20"/>
                <w:lang w:val="ro-RO"/>
              </w:rPr>
              <w:t>c)</w:t>
            </w:r>
            <w:r w:rsidRPr="00BC6A93">
              <w:rPr>
                <w:sz w:val="20"/>
                <w:szCs w:val="20"/>
                <w:lang w:val="ro-RO"/>
              </w:rPr>
              <w:t>încheierea registratorului referitoare la proiectul de fuziune/divizare</w:t>
            </w:r>
          </w:p>
        </w:tc>
      </w:tr>
      <w:tr w:rsidR="00403FFF" w:rsidRPr="00BC6A93" w:rsidTr="00D41979">
        <w:trPr>
          <w:trHeight w:val="1118"/>
        </w:trPr>
        <w:tc>
          <w:tcPr>
            <w:tcW w:w="569" w:type="dxa"/>
          </w:tcPr>
          <w:p w:rsidR="00403FFF" w:rsidRPr="00BC6A93" w:rsidRDefault="00403FFF" w:rsidP="00D41979">
            <w:pPr>
              <w:pStyle w:val="TableParagraph"/>
              <w:ind w:left="0" w:right="182"/>
              <w:jc w:val="right"/>
              <w:rPr>
                <w:sz w:val="20"/>
                <w:szCs w:val="20"/>
                <w:lang w:val="ro-RO"/>
              </w:rPr>
            </w:pPr>
            <w:r w:rsidRPr="00BC6A93">
              <w:rPr>
                <w:sz w:val="20"/>
                <w:szCs w:val="20"/>
                <w:lang w:val="ro-RO"/>
              </w:rPr>
              <w:t>4.</w:t>
            </w:r>
          </w:p>
        </w:tc>
        <w:tc>
          <w:tcPr>
            <w:tcW w:w="2479" w:type="dxa"/>
          </w:tcPr>
          <w:p w:rsidR="00403FFF" w:rsidRPr="00BC6A93" w:rsidRDefault="00403FFF" w:rsidP="00D41979">
            <w:pPr>
              <w:pStyle w:val="TableParagraph"/>
              <w:ind w:left="0" w:right="182"/>
              <w:jc w:val="center"/>
              <w:rPr>
                <w:sz w:val="20"/>
                <w:szCs w:val="20"/>
                <w:lang w:val="ro-RO"/>
              </w:rPr>
            </w:pPr>
            <w:r w:rsidRPr="00BC6A93">
              <w:rPr>
                <w:sz w:val="20"/>
                <w:szCs w:val="20"/>
                <w:lang w:val="ro-RO"/>
              </w:rPr>
              <w:t>Art. 33 alin. (3)</w:t>
            </w:r>
          </w:p>
        </w:tc>
        <w:tc>
          <w:tcPr>
            <w:tcW w:w="6739" w:type="dxa"/>
          </w:tcPr>
          <w:p w:rsidR="00403FFF" w:rsidRPr="00BC6A93" w:rsidRDefault="00403FFF" w:rsidP="00D41979">
            <w:pPr>
              <w:pStyle w:val="TableParagraph"/>
              <w:ind w:left="0" w:right="182"/>
              <w:jc w:val="both"/>
              <w:rPr>
                <w:sz w:val="20"/>
                <w:szCs w:val="20"/>
                <w:lang w:val="ro-RO"/>
              </w:rPr>
            </w:pPr>
            <w:r w:rsidRPr="00BC6A93">
              <w:rPr>
                <w:sz w:val="20"/>
                <w:szCs w:val="20"/>
                <w:lang w:val="ro-RO"/>
              </w:rPr>
              <w:t>Dovada achitării tarifului de acordare a modificării autorizaţiei de înfiinţare/licenţei de către solicitant conform reglementărilor ANRE incidente, care condiționează includerea pe ordinea de zi a şedinţei Comitetului de reglementare al ANRE a proiectului de decizie și a raportului întocmit</w:t>
            </w:r>
          </w:p>
        </w:tc>
      </w:tr>
      <w:tr w:rsidR="00403FFF" w:rsidRPr="00BC6A93" w:rsidTr="00D41979">
        <w:trPr>
          <w:trHeight w:val="828"/>
        </w:trPr>
        <w:tc>
          <w:tcPr>
            <w:tcW w:w="569" w:type="dxa"/>
          </w:tcPr>
          <w:p w:rsidR="00403FFF" w:rsidRPr="00A90E04" w:rsidRDefault="00403FFF" w:rsidP="00D41979">
            <w:pPr>
              <w:pStyle w:val="TableParagraph"/>
              <w:ind w:left="0" w:right="182"/>
              <w:jc w:val="right"/>
              <w:rPr>
                <w:sz w:val="20"/>
                <w:szCs w:val="20"/>
                <w:lang w:val="ro-RO"/>
              </w:rPr>
            </w:pPr>
            <w:r w:rsidRPr="00A90E04">
              <w:rPr>
                <w:sz w:val="20"/>
                <w:szCs w:val="20"/>
                <w:lang w:val="ro-RO"/>
              </w:rPr>
              <w:t>5.</w:t>
            </w:r>
          </w:p>
        </w:tc>
        <w:tc>
          <w:tcPr>
            <w:tcW w:w="2479" w:type="dxa"/>
          </w:tcPr>
          <w:p w:rsidR="00403FFF" w:rsidRPr="00A90E04" w:rsidRDefault="00403FFF" w:rsidP="00D41979">
            <w:pPr>
              <w:pStyle w:val="TableParagraph"/>
              <w:ind w:left="0" w:right="182"/>
              <w:jc w:val="center"/>
              <w:rPr>
                <w:sz w:val="20"/>
                <w:szCs w:val="20"/>
                <w:lang w:val="ro-RO"/>
              </w:rPr>
            </w:pPr>
            <w:r w:rsidRPr="00A90E04">
              <w:rPr>
                <w:sz w:val="20"/>
                <w:szCs w:val="20"/>
                <w:lang w:val="ro-RO"/>
              </w:rPr>
              <w:t>Art. 18 alin. (1) lit. d)</w:t>
            </w:r>
          </w:p>
        </w:tc>
        <w:tc>
          <w:tcPr>
            <w:tcW w:w="6739" w:type="dxa"/>
          </w:tcPr>
          <w:p w:rsidR="00403FFF" w:rsidRPr="00BC6A93" w:rsidRDefault="00403FFF" w:rsidP="00D41979">
            <w:pPr>
              <w:pStyle w:val="TableParagraph"/>
              <w:ind w:left="0" w:right="182"/>
              <w:jc w:val="both"/>
              <w:rPr>
                <w:sz w:val="20"/>
                <w:szCs w:val="20"/>
                <w:lang w:val="ro-RO"/>
              </w:rPr>
            </w:pPr>
            <w:r w:rsidRPr="00A90E04">
              <w:rPr>
                <w:sz w:val="20"/>
                <w:szCs w:val="20"/>
                <w:lang w:val="ro-RO"/>
              </w:rPr>
              <w:t>Declaraţiile solicitantului persoană fizică şi/sau ale persoanelor fizice prevăzute la lit. c) privind consimţământul în ceea ce priveşte prelucrarea datelor cu caracter personal, întocmite conform modelului nr. 2.3 din anexa nr. 2</w:t>
            </w:r>
          </w:p>
        </w:tc>
      </w:tr>
    </w:tbl>
    <w:p w:rsidR="004E0B0E" w:rsidRDefault="004E0B0E"/>
    <w:sectPr w:rsidR="004E0B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E1046"/>
    <w:multiLevelType w:val="multilevel"/>
    <w:tmpl w:val="E60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FF"/>
    <w:rsid w:val="00403FFF"/>
    <w:rsid w:val="004E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E70BD-EED3-4CA8-BC13-FF12452D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FFF"/>
    <w:pPr>
      <w:spacing w:line="278" w:lineRule="auto"/>
    </w:pPr>
    <w:rPr>
      <w:noProof/>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403FFF"/>
    <w:pPr>
      <w:spacing w:after="0" w:line="240" w:lineRule="auto"/>
      <w:jc w:val="both"/>
    </w:pPr>
    <w:rPr>
      <w:rFonts w:ascii="Times New Roman" w:eastAsiaTheme="minorEastAsia" w:hAnsi="Times New Roman" w:cs="Times New Roman"/>
      <w:kern w:val="0"/>
    </w:rPr>
  </w:style>
  <w:style w:type="character" w:styleId="Hyperlink">
    <w:name w:val="Hyperlink"/>
    <w:basedOn w:val="DefaultParagraphFont"/>
    <w:uiPriority w:val="99"/>
    <w:unhideWhenUsed/>
    <w:rsid w:val="00403FFF"/>
    <w:rPr>
      <w:color w:val="0563C1" w:themeColor="hyperlink"/>
      <w:u w:val="single"/>
    </w:rPr>
  </w:style>
  <w:style w:type="paragraph" w:customStyle="1" w:styleId="TableParagraph">
    <w:name w:val="Table Paragraph"/>
    <w:basedOn w:val="Normal"/>
    <w:uiPriority w:val="1"/>
    <w:qFormat/>
    <w:rsid w:val="00403FFF"/>
    <w:pPr>
      <w:widowControl w:val="0"/>
      <w:autoSpaceDE w:val="0"/>
      <w:autoSpaceDN w:val="0"/>
      <w:spacing w:after="0" w:line="270" w:lineRule="exact"/>
      <w:ind w:left="108"/>
    </w:pPr>
    <w:rPr>
      <w:rFonts w:ascii="Times New Roman" w:eastAsia="Times New Roman" w:hAnsi="Times New Roman"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e5.ro/App/Document/ge3dmojyhazds/regulamentul-pentru-acordarea-licentelor-si-autorizatiilor-in-sectorul-energiei-electrice-din-12032025?pid=618927259&amp;d=2025-03-27" TargetMode="External"/><Relationship Id="rId5" Type="http://schemas.openxmlformats.org/officeDocument/2006/relationships/hyperlink" Target="http://lege5.ro/App/Document/ge3dmojyhazds/regulamentul-pentru-acordarea-licentelor-si-autorizatiilor-in-sectorul-energiei-electrice-din-12032025?pid=618927258&amp;d=2025-03-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OLTENCEANU</dc:creator>
  <cp:keywords/>
  <dc:description/>
  <cp:lastModifiedBy>Alexandra OLTENCEANU</cp:lastModifiedBy>
  <cp:revision>1</cp:revision>
  <dcterms:created xsi:type="dcterms:W3CDTF">2025-04-16T07:50:00Z</dcterms:created>
  <dcterms:modified xsi:type="dcterms:W3CDTF">2025-04-16T07:51:00Z</dcterms:modified>
</cp:coreProperties>
</file>