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42F" w:rsidRDefault="0001542F" w:rsidP="0001542F">
      <w:pPr>
        <w:spacing w:line="360" w:lineRule="auto"/>
        <w:ind w:right="372" w:firstLine="720"/>
        <w:jc w:val="both"/>
        <w:rPr>
          <w:lang w:val="ro-RO"/>
        </w:rPr>
      </w:pPr>
      <w:r>
        <w:rPr>
          <w:lang w:val="ro-RO"/>
        </w:rPr>
        <w:t xml:space="preserve">În perioada de consultare au fost primite observații din partea Energy Traders Europe și D.TRADING d.o.o. cu privire la coeficienţii de multiplicare și factorii sezonieri ce urmează a fi utilizați la stabilirea tarifelor. </w:t>
      </w:r>
    </w:p>
    <w:p w:rsidR="0001542F" w:rsidRDefault="0001542F" w:rsidP="0001542F">
      <w:pPr>
        <w:spacing w:line="360" w:lineRule="auto"/>
        <w:ind w:right="372" w:firstLine="720"/>
        <w:jc w:val="both"/>
        <w:rPr>
          <w:lang w:val="ro-RO"/>
        </w:rPr>
      </w:pPr>
      <w:r>
        <w:rPr>
          <w:lang w:val="ro-RO"/>
        </w:rPr>
        <w:t>D.TRADING d.o.o aduce în atenție faptul că prin aplicarea coeficienţilor de multiplicare și a factorilor sezonieri supuși consultării, ruta trans-balcanică ar putea deveni necompetitivă și sugerează reducerea factorilor de multiplicare până aproape de nivelul 1 și, eventual, oferirea de capacitate fermă/întreruptibilă condiționată.</w:t>
      </w:r>
    </w:p>
    <w:p w:rsidR="0001542F" w:rsidRDefault="0001542F" w:rsidP="0001542F">
      <w:pPr>
        <w:spacing w:line="360" w:lineRule="auto"/>
        <w:ind w:right="372" w:firstLine="720"/>
        <w:jc w:val="both"/>
        <w:rPr>
          <w:lang w:val="ro-RO"/>
        </w:rPr>
      </w:pPr>
      <w:r>
        <w:rPr>
          <w:lang w:val="ro-RO"/>
        </w:rPr>
        <w:t>Energy Traders Europe menționează același fapt cu privire la conducta trans-balcanică, respectiv faptul că prin utilizarea acestor coeficienţi de multiplicare și factori sezonieri este descurajată utilizarea acestei rute.</w:t>
      </w:r>
    </w:p>
    <w:p w:rsidR="0001542F" w:rsidRDefault="0001542F" w:rsidP="0001542F">
      <w:pPr>
        <w:spacing w:line="360" w:lineRule="auto"/>
        <w:ind w:right="372" w:firstLine="720"/>
        <w:jc w:val="both"/>
        <w:rPr>
          <w:lang w:val="ro-RO"/>
        </w:rPr>
      </w:pPr>
      <w:r>
        <w:rPr>
          <w:lang w:val="ro-RO"/>
        </w:rPr>
        <w:t>ANRE a transmis SNTGN Transgaz SA cele 2 scrisori, solicitând analizarea acestora și formularea unui punct de vedere.</w:t>
      </w:r>
    </w:p>
    <w:p w:rsidR="0001542F" w:rsidRDefault="0001542F" w:rsidP="0001542F">
      <w:pPr>
        <w:spacing w:line="360" w:lineRule="auto"/>
        <w:ind w:right="372" w:firstLine="720"/>
        <w:jc w:val="both"/>
        <w:rPr>
          <w:lang w:val="ro-RO"/>
        </w:rPr>
      </w:pPr>
      <w:r>
        <w:rPr>
          <w:lang w:val="ro-RO"/>
        </w:rPr>
        <w:t>Transgaz SA a răspuns solicitării ANRE, recalculând coeficienţii de multiplicare și factorii sezonieri care sunt utilizați la determinarea tarifelor de rezervare de capacitate pe termen scurt prin renunțarea la ridicarea la puterea a doua (s=2) a ratei de utilizare.</w:t>
      </w:r>
    </w:p>
    <w:p w:rsidR="0001542F" w:rsidRDefault="0001542F" w:rsidP="0001542F">
      <w:pPr>
        <w:spacing w:line="360" w:lineRule="auto"/>
        <w:ind w:right="372" w:firstLine="720"/>
        <w:jc w:val="both"/>
        <w:rPr>
          <w:lang w:val="ro-RO"/>
        </w:rPr>
      </w:pPr>
      <w:r>
        <w:rPr>
          <w:lang w:val="ro-RO"/>
        </w:rPr>
        <w:t>După încheierea consultării publice s-au primit observații și de la:</w:t>
      </w:r>
    </w:p>
    <w:p w:rsidR="0001542F" w:rsidRDefault="0001542F" w:rsidP="0001542F">
      <w:pPr>
        <w:pStyle w:val="ListParagraph"/>
        <w:numPr>
          <w:ilvl w:val="0"/>
          <w:numId w:val="1"/>
        </w:numPr>
        <w:spacing w:line="360" w:lineRule="auto"/>
        <w:ind w:left="1134" w:right="3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operatorul de transport din Ucraina care susține celelate două puncte de vedere și, în plus, sugerează introducerea/aplicarea unui discount în punctele de interconectare Negru Vodă/Kardam și Isaccea/Orlivka;</w:t>
      </w:r>
    </w:p>
    <w:p w:rsidR="0001542F" w:rsidRDefault="0001542F" w:rsidP="0001542F">
      <w:pPr>
        <w:pStyle w:val="ListParagraph"/>
        <w:numPr>
          <w:ilvl w:val="0"/>
          <w:numId w:val="1"/>
        </w:numPr>
        <w:spacing w:line="360" w:lineRule="auto"/>
        <w:ind w:left="1134" w:right="3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AFEER care susține reducerea multiplicatorilor până la un nivel apropiat de 1 și oferirea de capacitate fermă/întreruptibilă condiționată;</w:t>
      </w:r>
    </w:p>
    <w:p w:rsidR="0001542F" w:rsidRDefault="0001542F" w:rsidP="0001542F">
      <w:pPr>
        <w:pStyle w:val="ListParagraph"/>
        <w:numPr>
          <w:ilvl w:val="0"/>
          <w:numId w:val="1"/>
        </w:numPr>
        <w:spacing w:line="360" w:lineRule="auto"/>
        <w:ind w:left="1134" w:right="3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EWCR (autoritatea de reglementare din Bulgaria) care menționează că nivelul coeficienţilor de multiplicare și factorilor sezonieri supuși consultării se încadrează în limitele prevăzute în Regulamentul (UE) 460/2017 și că trebuie stabilit și nivelul discountului aplicabil punctelor de înmagazinare, conform art. 9 (1), care lipsea din documentul supus consultării;</w:t>
      </w:r>
    </w:p>
    <w:p w:rsidR="0001542F" w:rsidRDefault="0001542F" w:rsidP="0001542F">
      <w:pPr>
        <w:pStyle w:val="ListParagraph"/>
        <w:numPr>
          <w:ilvl w:val="0"/>
          <w:numId w:val="1"/>
        </w:numPr>
        <w:spacing w:line="360" w:lineRule="auto"/>
        <w:ind w:left="1134" w:right="3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Naftogaz Slovakia s.r.o care susține ca și celelalte societăți reducerea coeficienților și oferirea de discounturi pe punctele de interconectare ale acestei rute.</w:t>
      </w:r>
    </w:p>
    <w:p w:rsidR="00D454BA" w:rsidRDefault="00D454BA">
      <w:bookmarkStart w:id="0" w:name="_GoBack"/>
      <w:bookmarkEnd w:id="0"/>
    </w:p>
    <w:sectPr w:rsidR="00D454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73281"/>
    <w:multiLevelType w:val="hybridMultilevel"/>
    <w:tmpl w:val="844CF524"/>
    <w:lvl w:ilvl="0" w:tplc="6F08DEE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2F"/>
    <w:rsid w:val="0001542F"/>
    <w:rsid w:val="00D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9C154-F4C2-436D-B8C3-CB3D30F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4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eading1 Char"/>
    <w:basedOn w:val="DefaultParagraphFont"/>
    <w:link w:val="ListParagraph"/>
    <w:uiPriority w:val="34"/>
    <w:locked/>
    <w:rsid w:val="0001542F"/>
    <w:rPr>
      <w:rFonts w:ascii="Calibri" w:hAnsi="Calibri" w:cs="Calibri"/>
    </w:rPr>
  </w:style>
  <w:style w:type="paragraph" w:styleId="ListParagraph">
    <w:name w:val="List Paragraph"/>
    <w:aliases w:val="Heading1"/>
    <w:basedOn w:val="Normal"/>
    <w:link w:val="ListParagraphChar"/>
    <w:uiPriority w:val="34"/>
    <w:qFormat/>
    <w:rsid w:val="0001542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2025-08-04T11:44:00Z</dcterms:created>
  <dcterms:modified xsi:type="dcterms:W3CDTF">2025-08-04T11:45:00Z</dcterms:modified>
</cp:coreProperties>
</file>