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73CE" w14:textId="77777777" w:rsidR="002D15D8" w:rsidRPr="00E00EAC" w:rsidRDefault="002D15D8" w:rsidP="001C6370">
      <w:pPr>
        <w:spacing w:after="0" w:line="240" w:lineRule="auto"/>
        <w:rPr>
          <w:rFonts w:ascii="Times New Roman" w:eastAsia="Times New Roman" w:hAnsi="Times New Roman" w:cs="Times New Roman"/>
          <w:b/>
          <w:sz w:val="24"/>
          <w:szCs w:val="24"/>
        </w:rPr>
      </w:pPr>
    </w:p>
    <w:p w14:paraId="62A051DB" w14:textId="77777777" w:rsidR="002D15D8" w:rsidRPr="00E00EAC" w:rsidRDefault="002D15D8" w:rsidP="00073DA0">
      <w:pPr>
        <w:spacing w:after="0" w:line="240" w:lineRule="auto"/>
        <w:jc w:val="center"/>
        <w:rPr>
          <w:rFonts w:ascii="Times New Roman" w:eastAsia="Times New Roman" w:hAnsi="Times New Roman" w:cs="Times New Roman"/>
          <w:b/>
          <w:sz w:val="24"/>
          <w:szCs w:val="24"/>
        </w:rPr>
      </w:pPr>
    </w:p>
    <w:p w14:paraId="31484E03" w14:textId="48B1A8AA" w:rsidR="009C1DD7" w:rsidRPr="00E00EAC" w:rsidRDefault="009C1DD7" w:rsidP="00073DA0">
      <w:pPr>
        <w:spacing w:after="0" w:line="240" w:lineRule="auto"/>
        <w:jc w:val="center"/>
        <w:rPr>
          <w:rFonts w:ascii="Times New Roman" w:eastAsia="Times New Roman" w:hAnsi="Times New Roman" w:cs="Times New Roman"/>
          <w:b/>
          <w:sz w:val="24"/>
          <w:szCs w:val="24"/>
        </w:rPr>
      </w:pPr>
      <w:r w:rsidRPr="00E00EAC">
        <w:rPr>
          <w:rFonts w:ascii="Times New Roman" w:eastAsia="Times New Roman" w:hAnsi="Times New Roman" w:cs="Times New Roman"/>
          <w:b/>
          <w:sz w:val="24"/>
          <w:szCs w:val="24"/>
        </w:rPr>
        <w:t>REFERAT DE APROBARE</w:t>
      </w:r>
    </w:p>
    <w:p w14:paraId="3DE58CFA" w14:textId="77777777" w:rsidR="009C1DD7" w:rsidRPr="00E00EAC" w:rsidRDefault="009C1DD7" w:rsidP="00073DA0">
      <w:pPr>
        <w:spacing w:after="0" w:line="240" w:lineRule="auto"/>
        <w:jc w:val="both"/>
        <w:rPr>
          <w:rFonts w:ascii="Times New Roman" w:eastAsia="Times New Roman" w:hAnsi="Times New Roman" w:cs="Times New Roman"/>
          <w:b/>
          <w:sz w:val="24"/>
          <w:szCs w:val="24"/>
        </w:rPr>
      </w:pPr>
    </w:p>
    <w:p w14:paraId="2A5E1C07" w14:textId="77777777" w:rsidR="009C1DD7" w:rsidRPr="00E00EAC" w:rsidRDefault="009C1DD7" w:rsidP="00073DA0">
      <w:pPr>
        <w:keepNext/>
        <w:spacing w:before="240" w:after="120" w:line="240" w:lineRule="auto"/>
        <w:jc w:val="both"/>
        <w:outlineLvl w:val="5"/>
        <w:rPr>
          <w:rFonts w:ascii="Times New Roman" w:eastAsia="Times New Roman" w:hAnsi="Times New Roman" w:cs="Times New Roman"/>
          <w:b/>
          <w:sz w:val="24"/>
          <w:szCs w:val="24"/>
        </w:rPr>
      </w:pPr>
      <w:r w:rsidRPr="00E00EAC">
        <w:rPr>
          <w:rFonts w:ascii="Times New Roman" w:eastAsia="Times New Roman" w:hAnsi="Times New Roman" w:cs="Times New Roman"/>
          <w:b/>
          <w:sz w:val="24"/>
          <w:szCs w:val="24"/>
        </w:rPr>
        <w:t>Secțiunea 1 - Titlul proiectului de reglementare</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1"/>
      </w:tblGrid>
      <w:tr w:rsidR="009C1DD7" w:rsidRPr="00E00EAC" w14:paraId="1EC58ED7" w14:textId="77777777" w:rsidTr="004D6137">
        <w:trPr>
          <w:trHeight w:val="641"/>
        </w:trPr>
        <w:tc>
          <w:tcPr>
            <w:tcW w:w="10461" w:type="dxa"/>
            <w:tcBorders>
              <w:top w:val="single" w:sz="4" w:space="0" w:color="auto"/>
              <w:left w:val="single" w:sz="4" w:space="0" w:color="auto"/>
              <w:bottom w:val="single" w:sz="4" w:space="0" w:color="auto"/>
              <w:right w:val="single" w:sz="4" w:space="0" w:color="auto"/>
            </w:tcBorders>
            <w:hideMark/>
          </w:tcPr>
          <w:p w14:paraId="7765FDC6" w14:textId="67A93F89" w:rsidR="009C1DD7" w:rsidRPr="00E00EAC" w:rsidRDefault="009C1DD7" w:rsidP="00073DA0">
            <w:pPr>
              <w:autoSpaceDE w:val="0"/>
              <w:autoSpaceDN w:val="0"/>
              <w:adjustRightInd w:val="0"/>
              <w:spacing w:after="0" w:line="240" w:lineRule="auto"/>
              <w:jc w:val="center"/>
              <w:rPr>
                <w:rFonts w:ascii="Times New Roman" w:eastAsia="Times New Roman" w:hAnsi="Times New Roman" w:cs="Times New Roman"/>
                <w:b/>
                <w:sz w:val="24"/>
                <w:szCs w:val="24"/>
              </w:rPr>
            </w:pPr>
            <w:bookmarkStart w:id="0" w:name="_Hlk198655697"/>
            <w:r w:rsidRPr="00E00EAC">
              <w:rPr>
                <w:rFonts w:ascii="Times New Roman" w:eastAsia="Times New Roman" w:hAnsi="Times New Roman" w:cs="Times New Roman"/>
                <w:b/>
                <w:sz w:val="24"/>
                <w:szCs w:val="24"/>
              </w:rPr>
              <w:t xml:space="preserve">Ordin </w:t>
            </w:r>
            <w:r w:rsidR="00DC4740">
              <w:rPr>
                <w:rFonts w:ascii="Times New Roman" w:eastAsia="Times New Roman" w:hAnsi="Times New Roman" w:cs="Times New Roman"/>
                <w:b/>
                <w:sz w:val="24"/>
                <w:szCs w:val="24"/>
              </w:rPr>
              <w:t>pentru</w:t>
            </w:r>
            <w:r w:rsidR="0098665A" w:rsidRPr="0098665A">
              <w:rPr>
                <w:rFonts w:ascii="Times New Roman" w:eastAsia="Times New Roman" w:hAnsi="Times New Roman" w:cs="Times New Roman"/>
                <w:b/>
                <w:sz w:val="24"/>
                <w:szCs w:val="24"/>
              </w:rPr>
              <w:t xml:space="preserve"> modificarea </w:t>
            </w:r>
            <w:r w:rsidR="00DC4740">
              <w:rPr>
                <w:rFonts w:ascii="Times New Roman" w:eastAsia="Times New Roman" w:hAnsi="Times New Roman" w:cs="Times New Roman"/>
                <w:b/>
                <w:sz w:val="24"/>
                <w:szCs w:val="24"/>
              </w:rPr>
              <w:t xml:space="preserve">ordinului ANRE nr. 6/2025 privind aprobarea </w:t>
            </w:r>
            <w:r w:rsidR="0098665A" w:rsidRPr="0098665A">
              <w:rPr>
                <w:rFonts w:ascii="Times New Roman" w:eastAsia="Times New Roman" w:hAnsi="Times New Roman" w:cs="Times New Roman"/>
                <w:b/>
                <w:sz w:val="24"/>
                <w:szCs w:val="24"/>
              </w:rPr>
              <w:t>Regulamentului pentru acordarea licenţelor şi autorizaţiilor în sectorul energiei electrice</w:t>
            </w:r>
            <w:bookmarkEnd w:id="0"/>
          </w:p>
        </w:tc>
      </w:tr>
    </w:tbl>
    <w:p w14:paraId="1C0595F7" w14:textId="77777777" w:rsidR="009C1DD7" w:rsidRPr="00E00EAC" w:rsidRDefault="009C1DD7" w:rsidP="00073DA0">
      <w:pPr>
        <w:spacing w:after="0" w:line="240" w:lineRule="auto"/>
        <w:jc w:val="both"/>
        <w:rPr>
          <w:rFonts w:ascii="Times New Roman" w:eastAsia="Times New Roman" w:hAnsi="Times New Roman" w:cs="Times New Roman"/>
          <w:b/>
          <w:sz w:val="24"/>
          <w:szCs w:val="24"/>
        </w:rPr>
      </w:pPr>
    </w:p>
    <w:p w14:paraId="1D56DFA0" w14:textId="77777777" w:rsidR="009C1DD7" w:rsidRPr="00E00EAC" w:rsidRDefault="009C1DD7" w:rsidP="00073DA0">
      <w:pPr>
        <w:spacing w:after="0" w:line="240" w:lineRule="auto"/>
        <w:jc w:val="both"/>
        <w:rPr>
          <w:rFonts w:ascii="Times New Roman" w:eastAsia="Times New Roman" w:hAnsi="Times New Roman" w:cs="Times New Roman"/>
          <w:b/>
          <w:sz w:val="24"/>
          <w:szCs w:val="24"/>
        </w:rPr>
      </w:pPr>
      <w:r w:rsidRPr="00E00EAC">
        <w:rPr>
          <w:rFonts w:ascii="Times New Roman" w:eastAsia="Times New Roman" w:hAnsi="Times New Roman" w:cs="Times New Roman"/>
          <w:b/>
          <w:sz w:val="24"/>
          <w:szCs w:val="24"/>
        </w:rPr>
        <w:t>Secțiunea a 2-a - Motivul emiterii reglementării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6737"/>
      </w:tblGrid>
      <w:tr w:rsidR="009C1DD7" w:rsidRPr="00E00EAC" w14:paraId="2FCEEE9B" w14:textId="77777777" w:rsidTr="005C65D7">
        <w:trPr>
          <w:jc w:val="center"/>
        </w:trPr>
        <w:tc>
          <w:tcPr>
            <w:tcW w:w="3698" w:type="dxa"/>
            <w:tcBorders>
              <w:top w:val="single" w:sz="4" w:space="0" w:color="auto"/>
              <w:left w:val="single" w:sz="4" w:space="0" w:color="auto"/>
              <w:bottom w:val="single" w:sz="4" w:space="0" w:color="auto"/>
              <w:right w:val="single" w:sz="4" w:space="0" w:color="auto"/>
            </w:tcBorders>
            <w:hideMark/>
          </w:tcPr>
          <w:p w14:paraId="28CDCE20" w14:textId="77777777" w:rsidR="009C1DD7" w:rsidRPr="00E00EAC" w:rsidRDefault="009C1DD7" w:rsidP="00073DA0">
            <w:pPr>
              <w:spacing w:after="12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 xml:space="preserve">1. </w:t>
            </w:r>
            <w:r w:rsidRPr="00E00EAC">
              <w:rPr>
                <w:rFonts w:ascii="Times New Roman" w:eastAsia="Times New Roman" w:hAnsi="Times New Roman" w:cs="Times New Roman"/>
                <w:b/>
                <w:sz w:val="24"/>
                <w:szCs w:val="24"/>
              </w:rPr>
              <w:t>Contextul și cadrul european de reglementare</w:t>
            </w:r>
            <w:r w:rsidRPr="00E00EAC">
              <w:rPr>
                <w:rFonts w:ascii="Times New Roman" w:eastAsia="Times New Roman" w:hAnsi="Times New Roman" w:cs="Times New Roman"/>
                <w:sz w:val="24"/>
                <w:szCs w:val="24"/>
              </w:rPr>
              <w:t xml:space="preserve"> (Descrierea situației actuale)</w:t>
            </w:r>
          </w:p>
        </w:tc>
        <w:tc>
          <w:tcPr>
            <w:tcW w:w="6737" w:type="dxa"/>
            <w:tcBorders>
              <w:top w:val="single" w:sz="4" w:space="0" w:color="auto"/>
              <w:left w:val="single" w:sz="4" w:space="0" w:color="auto"/>
              <w:bottom w:val="single" w:sz="4" w:space="0" w:color="auto"/>
              <w:right w:val="single" w:sz="4" w:space="0" w:color="auto"/>
            </w:tcBorders>
            <w:hideMark/>
          </w:tcPr>
          <w:p w14:paraId="484CB882" w14:textId="77777777" w:rsidR="00B23F4F" w:rsidRPr="00E00EAC" w:rsidRDefault="009C1DD7" w:rsidP="00B23F4F">
            <w:pPr>
              <w:spacing w:before="120" w:after="120" w:line="276" w:lineRule="auto"/>
              <w:jc w:val="both"/>
              <w:outlineLvl w:val="0"/>
              <w:rPr>
                <w:rFonts w:ascii="Times New Roman" w:eastAsia="Times New Roman" w:hAnsi="Times New Roman" w:cs="Times New Roman"/>
                <w:bCs/>
                <w:iCs/>
                <w:sz w:val="24"/>
                <w:szCs w:val="24"/>
              </w:rPr>
            </w:pPr>
            <w:r w:rsidRPr="00E00EAC">
              <w:rPr>
                <w:rFonts w:ascii="Times New Roman" w:eastAsia="Times New Roman" w:hAnsi="Times New Roman" w:cs="Times New Roman"/>
                <w:bCs/>
                <w:iCs/>
                <w:sz w:val="24"/>
                <w:szCs w:val="24"/>
              </w:rPr>
              <w:sym w:font="Wingdings" w:char="F0D8"/>
            </w:r>
            <w:r w:rsidRPr="00E00EAC">
              <w:rPr>
                <w:rFonts w:ascii="Times New Roman" w:eastAsia="Times New Roman" w:hAnsi="Times New Roman" w:cs="Times New Roman"/>
                <w:bCs/>
                <w:iCs/>
                <w:sz w:val="24"/>
                <w:szCs w:val="24"/>
              </w:rPr>
              <w:t> Directiva (UE) 2019/944 a Parlamentului European și a Consiliului din 5 iunie 2019 privind normele comune pentru piața internă de energie electrică și de modificare a Directivei 2012/27/UE</w:t>
            </w:r>
            <w:r w:rsidR="00B23F4F" w:rsidRPr="00E00EAC">
              <w:rPr>
                <w:rFonts w:ascii="Times New Roman" w:eastAsia="Times New Roman" w:hAnsi="Times New Roman" w:cs="Times New Roman"/>
                <w:bCs/>
                <w:iCs/>
                <w:sz w:val="24"/>
                <w:szCs w:val="24"/>
              </w:rPr>
              <w:t xml:space="preserve">, astfel cum a fost modificată prin: </w:t>
            </w:r>
          </w:p>
          <w:p w14:paraId="14BBDFB2" w14:textId="06303887" w:rsidR="00AC0C12" w:rsidRPr="00F343CD" w:rsidRDefault="00AC0C12" w:rsidP="00B23F4F">
            <w:pPr>
              <w:numPr>
                <w:ilvl w:val="0"/>
                <w:numId w:val="4"/>
              </w:numPr>
              <w:spacing w:before="120" w:after="120" w:line="276" w:lineRule="auto"/>
              <w:jc w:val="both"/>
              <w:outlineLvl w:val="0"/>
              <w:rPr>
                <w:rFonts w:ascii="Times New Roman" w:eastAsia="Times New Roman" w:hAnsi="Times New Roman" w:cs="Times New Roman"/>
                <w:iCs/>
                <w:sz w:val="24"/>
                <w:szCs w:val="24"/>
              </w:rPr>
            </w:pPr>
            <w:r w:rsidRPr="00F343CD">
              <w:rPr>
                <w:rFonts w:ascii="Times New Roman" w:eastAsia="Times New Roman" w:hAnsi="Times New Roman" w:cs="Times New Roman"/>
                <w:bCs/>
                <w:iCs/>
                <w:sz w:val="24"/>
                <w:szCs w:val="24"/>
              </w:rPr>
              <w:t>Regulamentul</w:t>
            </w:r>
            <w:r w:rsidR="00B23F4F" w:rsidRPr="00F343CD">
              <w:rPr>
                <w:rFonts w:ascii="Times New Roman" w:eastAsia="Times New Roman" w:hAnsi="Times New Roman" w:cs="Times New Roman"/>
                <w:bCs/>
                <w:iCs/>
                <w:sz w:val="24"/>
                <w:szCs w:val="24"/>
              </w:rPr>
              <w:t xml:space="preserve"> (UE) 2022/869</w:t>
            </w:r>
            <w:r w:rsidRPr="00F343CD">
              <w:rPr>
                <w:rFonts w:ascii="Times New Roman" w:eastAsia="Times New Roman" w:hAnsi="Times New Roman" w:cs="Times New Roman"/>
                <w:bCs/>
                <w:iCs/>
                <w:sz w:val="24"/>
                <w:szCs w:val="24"/>
              </w:rPr>
              <w:t xml:space="preserve"> al Parlamentului European și al Consiliului</w:t>
            </w:r>
            <w:r w:rsidR="00B23F4F" w:rsidRPr="00F343CD">
              <w:rPr>
                <w:rFonts w:ascii="Times New Roman" w:eastAsia="Times New Roman" w:hAnsi="Times New Roman" w:cs="Times New Roman"/>
                <w:bCs/>
                <w:iCs/>
                <w:sz w:val="24"/>
                <w:szCs w:val="24"/>
              </w:rPr>
              <w:t xml:space="preserve"> </w:t>
            </w:r>
            <w:r w:rsidRPr="00F343CD">
              <w:rPr>
                <w:rFonts w:ascii="Times New Roman" w:eastAsia="Times New Roman" w:hAnsi="Times New Roman" w:cs="Times New Roman"/>
                <w:bCs/>
                <w:iCs/>
                <w:sz w:val="24"/>
                <w:szCs w:val="24"/>
              </w:rPr>
              <w:t xml:space="preserve">din 30 mai 2022 </w:t>
            </w:r>
            <w:r w:rsidR="00B23F4F" w:rsidRPr="00F343CD">
              <w:rPr>
                <w:rFonts w:ascii="Times New Roman" w:eastAsia="Times New Roman" w:hAnsi="Times New Roman" w:cs="Times New Roman"/>
                <w:bCs/>
                <w:iCs/>
                <w:sz w:val="24"/>
                <w:szCs w:val="24"/>
              </w:rPr>
              <w:t>privind liniile directoare pentru infrastructurile energetice transeuropene</w:t>
            </w:r>
            <w:r w:rsidRPr="00F343CD">
              <w:rPr>
                <w:rFonts w:ascii="Times New Roman" w:eastAsia="Times New Roman" w:hAnsi="Times New Roman" w:cs="Times New Roman"/>
                <w:bCs/>
                <w:iCs/>
                <w:sz w:val="24"/>
                <w:szCs w:val="24"/>
              </w:rPr>
              <w:t xml:space="preserve">, </w:t>
            </w:r>
            <w:r w:rsidRPr="00F343CD">
              <w:rPr>
                <w:rFonts w:ascii="Times New Roman" w:hAnsi="Times New Roman" w:cs="Times New Roman"/>
                <w:sz w:val="24"/>
                <w:szCs w:val="24"/>
                <w:shd w:val="clear" w:color="auto" w:fill="FFFFFF"/>
              </w:rPr>
              <w:t>de modificare a </w:t>
            </w:r>
            <w:hyperlink r:id="rId7" w:history="1">
              <w:r w:rsidRPr="00F343CD">
                <w:rPr>
                  <w:rStyle w:val="Hyperlink"/>
                  <w:rFonts w:ascii="Times New Roman" w:hAnsi="Times New Roman" w:cs="Times New Roman"/>
                  <w:color w:val="auto"/>
                  <w:spacing w:val="5"/>
                  <w:sz w:val="24"/>
                  <w:szCs w:val="24"/>
                  <w:u w:val="none"/>
                  <w:shd w:val="clear" w:color="auto" w:fill="FFFFFF"/>
                </w:rPr>
                <w:t>Regulamentelor (CE) nr. 715/2009</w:t>
              </w:r>
            </w:hyperlink>
            <w:r w:rsidRPr="00F343CD">
              <w:rPr>
                <w:rFonts w:ascii="Times New Roman" w:hAnsi="Times New Roman" w:cs="Times New Roman"/>
                <w:sz w:val="24"/>
                <w:szCs w:val="24"/>
                <w:shd w:val="clear" w:color="auto" w:fill="FFFFFF"/>
              </w:rPr>
              <w:t>, (UE) 2019/942 și (UE) 2019/943 și a </w:t>
            </w:r>
            <w:r w:rsidR="00427990">
              <w:rPr>
                <w:rFonts w:ascii="Times New Roman" w:hAnsi="Times New Roman" w:cs="Times New Roman"/>
                <w:sz w:val="24"/>
                <w:szCs w:val="24"/>
                <w:shd w:val="clear" w:color="auto" w:fill="FFFFFF"/>
              </w:rPr>
              <w:t xml:space="preserve"> </w:t>
            </w:r>
            <w:hyperlink r:id="rId8" w:history="1">
              <w:r w:rsidRPr="00F343CD">
                <w:rPr>
                  <w:rStyle w:val="Hyperlink"/>
                  <w:rFonts w:ascii="Times New Roman" w:hAnsi="Times New Roman" w:cs="Times New Roman"/>
                  <w:color w:val="auto"/>
                  <w:spacing w:val="5"/>
                  <w:sz w:val="24"/>
                  <w:szCs w:val="24"/>
                  <w:u w:val="none"/>
                  <w:shd w:val="clear" w:color="auto" w:fill="FFFFFF"/>
                </w:rPr>
                <w:t>Directivelor 2009/73/CE</w:t>
              </w:r>
            </w:hyperlink>
            <w:r w:rsidRPr="00F343CD">
              <w:rPr>
                <w:rFonts w:ascii="Times New Roman" w:hAnsi="Times New Roman" w:cs="Times New Roman"/>
                <w:sz w:val="24"/>
                <w:szCs w:val="24"/>
                <w:shd w:val="clear" w:color="auto" w:fill="FFFFFF"/>
              </w:rPr>
              <w:t> și </w:t>
            </w:r>
            <w:hyperlink r:id="rId9" w:history="1">
              <w:r w:rsidRPr="00F343CD">
                <w:rPr>
                  <w:rStyle w:val="Hyperlink"/>
                  <w:rFonts w:ascii="Times New Roman" w:hAnsi="Times New Roman" w:cs="Times New Roman"/>
                  <w:color w:val="auto"/>
                  <w:spacing w:val="5"/>
                  <w:sz w:val="24"/>
                  <w:szCs w:val="24"/>
                  <w:u w:val="none"/>
                  <w:shd w:val="clear" w:color="auto" w:fill="FFFFFF"/>
                </w:rPr>
                <w:t>(UE) 2019/944</w:t>
              </w:r>
            </w:hyperlink>
            <w:r w:rsidRPr="00F343CD">
              <w:rPr>
                <w:rFonts w:ascii="Times New Roman" w:hAnsi="Times New Roman" w:cs="Times New Roman"/>
                <w:sz w:val="24"/>
                <w:szCs w:val="24"/>
                <w:shd w:val="clear" w:color="auto" w:fill="FFFFFF"/>
              </w:rPr>
              <w:t> și de abrogare a </w:t>
            </w:r>
            <w:hyperlink r:id="rId10" w:history="1">
              <w:r w:rsidRPr="00F343CD">
                <w:rPr>
                  <w:rStyle w:val="Hyperlink"/>
                  <w:rFonts w:ascii="Times New Roman" w:hAnsi="Times New Roman" w:cs="Times New Roman"/>
                  <w:color w:val="auto"/>
                  <w:spacing w:val="5"/>
                  <w:sz w:val="24"/>
                  <w:szCs w:val="24"/>
                  <w:u w:val="none"/>
                  <w:shd w:val="clear" w:color="auto" w:fill="FFFFFF"/>
                </w:rPr>
                <w:t>Regulamentului (UE) nr. 347/2013</w:t>
              </w:r>
            </w:hyperlink>
            <w:r w:rsidR="00F343CD" w:rsidRPr="00F343CD">
              <w:rPr>
                <w:rFonts w:ascii="Times New Roman" w:hAnsi="Times New Roman" w:cs="Times New Roman"/>
                <w:sz w:val="24"/>
                <w:szCs w:val="24"/>
              </w:rPr>
              <w:t>;</w:t>
            </w:r>
          </w:p>
          <w:p w14:paraId="7A6962A9" w14:textId="76CB647F" w:rsidR="009C1DD7" w:rsidRPr="00F343CD" w:rsidRDefault="00AC0C12" w:rsidP="00AC0C12">
            <w:pPr>
              <w:numPr>
                <w:ilvl w:val="0"/>
                <w:numId w:val="4"/>
              </w:numPr>
              <w:spacing w:before="120" w:after="120" w:line="276" w:lineRule="auto"/>
              <w:jc w:val="both"/>
              <w:outlineLvl w:val="0"/>
              <w:rPr>
                <w:rFonts w:ascii="Times New Roman" w:hAnsi="Times New Roman" w:cs="Times New Roman"/>
                <w:bCs/>
                <w:iCs/>
                <w:sz w:val="24"/>
                <w:szCs w:val="24"/>
              </w:rPr>
            </w:pPr>
            <w:r w:rsidRPr="00F343CD">
              <w:rPr>
                <w:rFonts w:ascii="Times New Roman" w:hAnsi="Times New Roman" w:cs="Times New Roman"/>
                <w:bCs/>
                <w:iCs/>
                <w:sz w:val="24"/>
                <w:szCs w:val="24"/>
              </w:rPr>
              <w:t xml:space="preserve">Directiva </w:t>
            </w:r>
            <w:r w:rsidR="00B23F4F" w:rsidRPr="00F343CD">
              <w:rPr>
                <w:rFonts w:ascii="Times New Roman" w:hAnsi="Times New Roman" w:cs="Times New Roman"/>
                <w:bCs/>
                <w:iCs/>
                <w:sz w:val="24"/>
                <w:szCs w:val="24"/>
              </w:rPr>
              <w:t xml:space="preserve">(UE) 2024/1711 </w:t>
            </w:r>
            <w:r w:rsidRPr="00F343CD">
              <w:rPr>
                <w:rFonts w:ascii="Times New Roman" w:hAnsi="Times New Roman" w:cs="Times New Roman"/>
                <w:bCs/>
                <w:color w:val="000000"/>
                <w:sz w:val="24"/>
                <w:szCs w:val="24"/>
              </w:rPr>
              <w:t>a</w:t>
            </w:r>
            <w:r w:rsidR="00C6041B">
              <w:rPr>
                <w:rFonts w:ascii="Times New Roman" w:hAnsi="Times New Roman" w:cs="Times New Roman"/>
                <w:bCs/>
                <w:color w:val="000000"/>
                <w:sz w:val="24"/>
                <w:szCs w:val="24"/>
              </w:rPr>
              <w:t xml:space="preserve"> </w:t>
            </w:r>
            <w:r w:rsidRPr="00F343CD">
              <w:rPr>
                <w:rFonts w:ascii="Times New Roman" w:hAnsi="Times New Roman" w:cs="Times New Roman"/>
                <w:bCs/>
                <w:color w:val="000000"/>
                <w:sz w:val="24"/>
                <w:szCs w:val="24"/>
              </w:rPr>
              <w:t xml:space="preserve">Parlamentului European și a Consiliului din 13 iunie 2024 </w:t>
            </w:r>
            <w:r w:rsidR="00B23F4F" w:rsidRPr="00F343CD">
              <w:rPr>
                <w:rFonts w:ascii="Times New Roman" w:hAnsi="Times New Roman" w:cs="Times New Roman"/>
                <w:bCs/>
                <w:iCs/>
                <w:sz w:val="24"/>
                <w:szCs w:val="24"/>
              </w:rPr>
              <w:t>de modificare a Directivelor (UE) 2018/2001 și (UE) 2019/944 în ceea ce privește îmbunătățirea organizării pieței energiei electrice a Uniunii.</w:t>
            </w:r>
          </w:p>
          <w:p w14:paraId="2E8B6E93" w14:textId="5FE0AB46" w:rsidR="00E60FF8" w:rsidRPr="00E00EAC" w:rsidRDefault="00E60FF8" w:rsidP="002D15D8">
            <w:pPr>
              <w:spacing w:before="120" w:after="120" w:line="276" w:lineRule="auto"/>
              <w:jc w:val="both"/>
              <w:outlineLvl w:val="0"/>
              <w:rPr>
                <w:rFonts w:ascii="Times New Roman" w:eastAsia="Times New Roman" w:hAnsi="Times New Roman" w:cs="Times New Roman"/>
                <w:bCs/>
                <w:iCs/>
                <w:sz w:val="24"/>
                <w:szCs w:val="24"/>
              </w:rPr>
            </w:pPr>
            <w:r w:rsidRPr="00E00EAC">
              <w:rPr>
                <w:rFonts w:ascii="Times New Roman" w:eastAsia="Times New Roman" w:hAnsi="Times New Roman" w:cs="Times New Roman"/>
                <w:bCs/>
                <w:iCs/>
                <w:sz w:val="24"/>
                <w:szCs w:val="24"/>
              </w:rPr>
              <w:sym w:font="Wingdings" w:char="F0D8"/>
            </w:r>
            <w:r w:rsidRPr="00E00EAC">
              <w:rPr>
                <w:rFonts w:ascii="Times New Roman" w:eastAsia="Times New Roman" w:hAnsi="Times New Roman" w:cs="Times New Roman"/>
                <w:bCs/>
                <w:iCs/>
                <w:sz w:val="24"/>
                <w:szCs w:val="24"/>
              </w:rPr>
              <w:t>Recomandarea Comisiei din 18.</w:t>
            </w:r>
            <w:r w:rsidR="005F797B" w:rsidRPr="00E00EAC">
              <w:rPr>
                <w:rFonts w:ascii="Times New Roman" w:eastAsia="Times New Roman" w:hAnsi="Times New Roman" w:cs="Times New Roman"/>
                <w:bCs/>
                <w:iCs/>
                <w:sz w:val="24"/>
                <w:szCs w:val="24"/>
              </w:rPr>
              <w:t>0</w:t>
            </w:r>
            <w:r w:rsidRPr="00E00EAC">
              <w:rPr>
                <w:rFonts w:ascii="Times New Roman" w:eastAsia="Times New Roman" w:hAnsi="Times New Roman" w:cs="Times New Roman"/>
                <w:bCs/>
                <w:iCs/>
                <w:sz w:val="24"/>
                <w:szCs w:val="24"/>
              </w:rPr>
              <w:t>5.2022 privind accelerarea procedurilor de acordare a autorizațiilor pentru proiectele în domeniul energiei din surse regenerabile și facilitarea contractelor de achiziție de energie electrică;</w:t>
            </w:r>
          </w:p>
          <w:p w14:paraId="361DC9AE" w14:textId="77777777" w:rsidR="0046271E" w:rsidRPr="00E00EAC" w:rsidRDefault="0046271E" w:rsidP="002D15D8">
            <w:pPr>
              <w:spacing w:before="120" w:after="120" w:line="276" w:lineRule="auto"/>
              <w:jc w:val="both"/>
              <w:outlineLvl w:val="0"/>
              <w:rPr>
                <w:rFonts w:ascii="Times New Roman" w:eastAsia="Times New Roman" w:hAnsi="Times New Roman" w:cs="Times New Roman"/>
                <w:bCs/>
                <w:iCs/>
                <w:sz w:val="24"/>
                <w:szCs w:val="24"/>
              </w:rPr>
            </w:pPr>
            <w:r w:rsidRPr="00E00EAC">
              <w:rPr>
                <w:rFonts w:ascii="Times New Roman" w:eastAsia="Times New Roman" w:hAnsi="Times New Roman" w:cs="Times New Roman"/>
                <w:bCs/>
                <w:iCs/>
                <w:sz w:val="24"/>
                <w:szCs w:val="24"/>
              </w:rPr>
              <w:sym w:font="Wingdings" w:char="F0D8"/>
            </w:r>
            <w:r w:rsidRPr="00E00EAC">
              <w:rPr>
                <w:rFonts w:ascii="Times New Roman" w:eastAsia="Times New Roman" w:hAnsi="Times New Roman" w:cs="Times New Roman"/>
                <w:bCs/>
                <w:iCs/>
                <w:sz w:val="24"/>
                <w:szCs w:val="24"/>
              </w:rPr>
              <w:t>Regulamentul (UE) 2022/2577 al Consiliului din 22 decembrie 2022 de stabilire a unui cadru pentru accelerarea implementării energiei din surse regenerabile.</w:t>
            </w:r>
          </w:p>
        </w:tc>
      </w:tr>
      <w:tr w:rsidR="009C1DD7" w:rsidRPr="00E00EAC" w14:paraId="3AE47357" w14:textId="77777777" w:rsidTr="005C65D7">
        <w:trPr>
          <w:jc w:val="center"/>
        </w:trPr>
        <w:tc>
          <w:tcPr>
            <w:tcW w:w="3698" w:type="dxa"/>
            <w:tcBorders>
              <w:top w:val="single" w:sz="4" w:space="0" w:color="auto"/>
              <w:left w:val="single" w:sz="4" w:space="0" w:color="auto"/>
              <w:bottom w:val="single" w:sz="4" w:space="0" w:color="auto"/>
              <w:right w:val="single" w:sz="4" w:space="0" w:color="auto"/>
            </w:tcBorders>
            <w:hideMark/>
          </w:tcPr>
          <w:p w14:paraId="30A47458" w14:textId="77777777" w:rsidR="009C1DD7" w:rsidRPr="00E00EAC" w:rsidRDefault="009C1DD7" w:rsidP="00073DA0">
            <w:pPr>
              <w:spacing w:after="12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 xml:space="preserve">2. </w:t>
            </w:r>
            <w:r w:rsidRPr="00E00EAC">
              <w:rPr>
                <w:rFonts w:ascii="Times New Roman" w:eastAsia="Times New Roman" w:hAnsi="Times New Roman" w:cs="Times New Roman"/>
                <w:b/>
                <w:sz w:val="24"/>
                <w:szCs w:val="24"/>
              </w:rPr>
              <w:t>Cadrul național de reglementare</w:t>
            </w:r>
          </w:p>
        </w:tc>
        <w:tc>
          <w:tcPr>
            <w:tcW w:w="6737" w:type="dxa"/>
            <w:tcBorders>
              <w:top w:val="single" w:sz="4" w:space="0" w:color="auto"/>
              <w:left w:val="single" w:sz="4" w:space="0" w:color="auto"/>
              <w:bottom w:val="single" w:sz="4" w:space="0" w:color="auto"/>
              <w:right w:val="single" w:sz="4" w:space="0" w:color="auto"/>
            </w:tcBorders>
            <w:hideMark/>
          </w:tcPr>
          <w:p w14:paraId="155C6568" w14:textId="67FFE7B2" w:rsidR="00B26906" w:rsidRPr="00E00EAC" w:rsidRDefault="009C1DD7" w:rsidP="002D15D8">
            <w:pPr>
              <w:spacing w:after="0" w:line="276" w:lineRule="auto"/>
              <w:contextualSpacing/>
              <w:jc w:val="both"/>
              <w:rPr>
                <w:rFonts w:ascii="Times New Roman" w:eastAsia="Times New Roman" w:hAnsi="Times New Roman" w:cs="Times New Roman"/>
                <w:sz w:val="24"/>
                <w:szCs w:val="24"/>
              </w:rPr>
            </w:pPr>
            <w:r w:rsidRPr="00E00EAC">
              <w:rPr>
                <w:rFonts w:ascii="Times New Roman" w:eastAsia="Times New Roman" w:hAnsi="Times New Roman" w:cs="Times New Roman"/>
                <w:bCs/>
                <w:iCs/>
                <w:sz w:val="24"/>
                <w:szCs w:val="24"/>
              </w:rPr>
              <w:sym w:font="Wingdings" w:char="F0D8"/>
            </w:r>
            <w:bookmarkStart w:id="1" w:name="_Hlk188340663"/>
            <w:r w:rsidRPr="00E00EAC">
              <w:rPr>
                <w:rFonts w:ascii="Times New Roman" w:eastAsia="Times New Roman" w:hAnsi="Times New Roman" w:cs="Times New Roman"/>
                <w:sz w:val="24"/>
                <w:szCs w:val="24"/>
              </w:rPr>
              <w:t>Legea energiei electrice și a gazelor naturale nr. 123/2012, cu modificările şi completările ulterioare</w:t>
            </w:r>
            <w:bookmarkEnd w:id="1"/>
            <w:r w:rsidRPr="00E00EAC">
              <w:rPr>
                <w:rFonts w:ascii="Times New Roman" w:eastAsia="Times New Roman" w:hAnsi="Times New Roman" w:cs="Times New Roman"/>
                <w:sz w:val="24"/>
                <w:szCs w:val="24"/>
              </w:rPr>
              <w:t>,</w:t>
            </w:r>
          </w:p>
          <w:p w14:paraId="7752B486" w14:textId="57DB2547" w:rsidR="00AC1FDA" w:rsidRPr="00E00EAC" w:rsidRDefault="005424F7" w:rsidP="002D15D8">
            <w:pPr>
              <w:spacing w:after="0" w:line="276" w:lineRule="auto"/>
              <w:contextualSpacing/>
              <w:jc w:val="both"/>
              <w:rPr>
                <w:rFonts w:ascii="Times New Roman" w:eastAsia="Times New Roman" w:hAnsi="Times New Roman" w:cs="Times New Roman"/>
                <w:sz w:val="24"/>
                <w:szCs w:val="24"/>
              </w:rPr>
            </w:pPr>
            <w:r w:rsidRPr="00E00EAC">
              <w:rPr>
                <w:rFonts w:ascii="Times New Roman" w:eastAsia="Times New Roman" w:hAnsi="Times New Roman" w:cs="Times New Roman"/>
                <w:bCs/>
                <w:iCs/>
                <w:sz w:val="24"/>
                <w:szCs w:val="24"/>
              </w:rPr>
              <w:sym w:font="Wingdings" w:char="F0D8"/>
            </w:r>
            <w:r w:rsidR="00AC1FDA" w:rsidRPr="00AC1FDA">
              <w:rPr>
                <w:rFonts w:ascii="Times New Roman" w:eastAsia="Times New Roman" w:hAnsi="Times New Roman" w:cs="Times New Roman"/>
                <w:sz w:val="24"/>
                <w:szCs w:val="24"/>
              </w:rPr>
              <w:t>Legea nr. 121/2024 privind energia eoliană offshore.</w:t>
            </w:r>
          </w:p>
        </w:tc>
      </w:tr>
      <w:tr w:rsidR="009C1DD7" w:rsidRPr="00E00EAC" w14:paraId="4C8D31DC" w14:textId="77777777" w:rsidTr="005C65D7">
        <w:trPr>
          <w:jc w:val="center"/>
        </w:trPr>
        <w:tc>
          <w:tcPr>
            <w:tcW w:w="3698" w:type="dxa"/>
            <w:tcBorders>
              <w:top w:val="single" w:sz="4" w:space="0" w:color="auto"/>
              <w:left w:val="single" w:sz="4" w:space="0" w:color="auto"/>
              <w:bottom w:val="single" w:sz="4" w:space="0" w:color="auto"/>
              <w:right w:val="single" w:sz="4" w:space="0" w:color="auto"/>
            </w:tcBorders>
            <w:hideMark/>
          </w:tcPr>
          <w:p w14:paraId="6929916B" w14:textId="77777777" w:rsidR="009C1DD7" w:rsidRPr="00E00EAC" w:rsidRDefault="009C1DD7" w:rsidP="00073DA0">
            <w:pPr>
              <w:spacing w:after="12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 xml:space="preserve">3. </w:t>
            </w:r>
            <w:r w:rsidRPr="00E00EAC">
              <w:rPr>
                <w:rFonts w:ascii="Times New Roman" w:eastAsia="Times New Roman" w:hAnsi="Times New Roman" w:cs="Times New Roman"/>
                <w:b/>
                <w:sz w:val="24"/>
                <w:szCs w:val="24"/>
              </w:rPr>
              <w:t>Scopul reglementării</w:t>
            </w:r>
          </w:p>
        </w:tc>
        <w:tc>
          <w:tcPr>
            <w:tcW w:w="6737" w:type="dxa"/>
            <w:tcBorders>
              <w:top w:val="single" w:sz="4" w:space="0" w:color="auto"/>
              <w:left w:val="single" w:sz="4" w:space="0" w:color="auto"/>
              <w:bottom w:val="single" w:sz="4" w:space="0" w:color="auto"/>
              <w:right w:val="single" w:sz="4" w:space="0" w:color="auto"/>
            </w:tcBorders>
            <w:hideMark/>
          </w:tcPr>
          <w:p w14:paraId="2A1A431B" w14:textId="3FDC4B67" w:rsidR="00B374B0" w:rsidRPr="009E79C6" w:rsidRDefault="009E79C6" w:rsidP="009E79C6">
            <w:p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9E79C6">
              <w:rPr>
                <w:rFonts w:ascii="Times New Roman" w:eastAsia="Calibri" w:hAnsi="Times New Roman" w:cs="Times New Roman"/>
                <w:color w:val="000000"/>
                <w:sz w:val="24"/>
                <w:szCs w:val="24"/>
                <w:lang w:eastAsia="ro-RO"/>
              </w:rPr>
              <w:t xml:space="preserve">Activitatea de legiferare reprezintă principala modalitate de implementare a politicilor publice, </w:t>
            </w:r>
            <w:r w:rsidR="00B374B0">
              <w:rPr>
                <w:rFonts w:ascii="Times New Roman" w:eastAsia="Calibri" w:hAnsi="Times New Roman" w:cs="Times New Roman"/>
                <w:color w:val="000000"/>
                <w:sz w:val="24"/>
                <w:szCs w:val="24"/>
                <w:lang w:eastAsia="ro-RO"/>
              </w:rPr>
              <w:t xml:space="preserve"> reprezentând </w:t>
            </w:r>
            <w:r w:rsidRPr="009E79C6">
              <w:rPr>
                <w:rFonts w:ascii="Times New Roman" w:eastAsia="Calibri" w:hAnsi="Times New Roman" w:cs="Times New Roman"/>
                <w:color w:val="000000"/>
                <w:sz w:val="24"/>
                <w:szCs w:val="24"/>
                <w:lang w:eastAsia="ro-RO"/>
              </w:rPr>
              <w:t>instrument</w:t>
            </w:r>
            <w:r w:rsidR="00B374B0">
              <w:rPr>
                <w:rFonts w:ascii="Times New Roman" w:eastAsia="Calibri" w:hAnsi="Times New Roman" w:cs="Times New Roman"/>
                <w:color w:val="000000"/>
                <w:sz w:val="24"/>
                <w:szCs w:val="24"/>
                <w:lang w:eastAsia="ro-RO"/>
              </w:rPr>
              <w:t>ul</w:t>
            </w:r>
            <w:r w:rsidRPr="009E79C6">
              <w:rPr>
                <w:rFonts w:ascii="Times New Roman" w:eastAsia="Calibri" w:hAnsi="Times New Roman" w:cs="Times New Roman"/>
                <w:color w:val="000000"/>
                <w:sz w:val="24"/>
                <w:szCs w:val="24"/>
                <w:lang w:eastAsia="ro-RO"/>
              </w:rPr>
              <w:t xml:space="preserve"> necesar pentru </w:t>
            </w:r>
            <w:r w:rsidR="00B374B0">
              <w:rPr>
                <w:rFonts w:ascii="Times New Roman" w:eastAsia="Calibri" w:hAnsi="Times New Roman" w:cs="Times New Roman"/>
                <w:color w:val="000000"/>
                <w:sz w:val="24"/>
                <w:szCs w:val="24"/>
                <w:lang w:eastAsia="ro-RO"/>
              </w:rPr>
              <w:t xml:space="preserve">asigurarea dezideratului de accelerare a dezvoltării </w:t>
            </w:r>
            <w:r w:rsidRPr="009E79C6">
              <w:rPr>
                <w:rFonts w:ascii="Times New Roman" w:eastAsia="Calibri" w:hAnsi="Times New Roman" w:cs="Times New Roman"/>
                <w:color w:val="000000"/>
                <w:sz w:val="24"/>
                <w:szCs w:val="24"/>
                <w:lang w:eastAsia="ro-RO"/>
              </w:rPr>
              <w:t>economic</w:t>
            </w:r>
            <w:r w:rsidR="00B374B0">
              <w:rPr>
                <w:rFonts w:ascii="Times New Roman" w:eastAsia="Calibri" w:hAnsi="Times New Roman" w:cs="Times New Roman"/>
                <w:color w:val="000000"/>
                <w:sz w:val="24"/>
                <w:szCs w:val="24"/>
                <w:lang w:eastAsia="ro-RO"/>
              </w:rPr>
              <w:t>e în domeniul producerii energiei din surse regenerabile de energie electric</w:t>
            </w:r>
            <w:r w:rsidR="00284AB8">
              <w:rPr>
                <w:rFonts w:ascii="Times New Roman" w:eastAsia="Calibri" w:hAnsi="Times New Roman" w:cs="Times New Roman"/>
                <w:color w:val="000000"/>
                <w:sz w:val="24"/>
                <w:szCs w:val="24"/>
                <w:lang w:eastAsia="ro-RO"/>
              </w:rPr>
              <w:t>ă.</w:t>
            </w:r>
          </w:p>
        </w:tc>
      </w:tr>
      <w:tr w:rsidR="009C1DD7" w:rsidRPr="00E00EAC" w14:paraId="463228A9" w14:textId="77777777" w:rsidTr="005C65D7">
        <w:trPr>
          <w:jc w:val="center"/>
        </w:trPr>
        <w:tc>
          <w:tcPr>
            <w:tcW w:w="3698" w:type="dxa"/>
            <w:tcBorders>
              <w:top w:val="single" w:sz="4" w:space="0" w:color="auto"/>
              <w:left w:val="single" w:sz="4" w:space="0" w:color="auto"/>
              <w:bottom w:val="single" w:sz="4" w:space="0" w:color="auto"/>
              <w:right w:val="single" w:sz="4" w:space="0" w:color="auto"/>
            </w:tcBorders>
            <w:hideMark/>
          </w:tcPr>
          <w:p w14:paraId="5FBE9099" w14:textId="77777777" w:rsidR="009C1DD7" w:rsidRPr="00E00EAC" w:rsidRDefault="009C1DD7" w:rsidP="00073DA0">
            <w:pPr>
              <w:spacing w:after="0" w:line="240" w:lineRule="auto"/>
              <w:jc w:val="both"/>
              <w:rPr>
                <w:rFonts w:ascii="Times New Roman" w:eastAsia="Times New Roman" w:hAnsi="Times New Roman" w:cs="Times New Roman"/>
                <w:b/>
                <w:sz w:val="24"/>
                <w:szCs w:val="24"/>
              </w:rPr>
            </w:pPr>
            <w:r w:rsidRPr="00E00EAC">
              <w:rPr>
                <w:rFonts w:ascii="Times New Roman" w:eastAsia="Times New Roman" w:hAnsi="Times New Roman" w:cs="Times New Roman"/>
                <w:b/>
                <w:sz w:val="24"/>
                <w:szCs w:val="24"/>
              </w:rPr>
              <w:t>4. Schimbări preconizate/ măsurile propuse prin prezenta reglementare</w:t>
            </w:r>
          </w:p>
        </w:tc>
        <w:tc>
          <w:tcPr>
            <w:tcW w:w="6737" w:type="dxa"/>
            <w:tcBorders>
              <w:top w:val="single" w:sz="4" w:space="0" w:color="auto"/>
              <w:left w:val="single" w:sz="4" w:space="0" w:color="auto"/>
              <w:bottom w:val="single" w:sz="4" w:space="0" w:color="auto"/>
              <w:right w:val="single" w:sz="4" w:space="0" w:color="auto"/>
            </w:tcBorders>
          </w:tcPr>
          <w:p w14:paraId="7124D7E2" w14:textId="62F748CD" w:rsidR="00F62981" w:rsidRDefault="001B1B87" w:rsidP="002D15D8">
            <w:pPr>
              <w:spacing w:after="0" w:line="276" w:lineRule="auto"/>
              <w:jc w:val="both"/>
              <w:rPr>
                <w:rFonts w:ascii="Times New Roman" w:eastAsia="Calibri" w:hAnsi="Times New Roman" w:cs="Times New Roman"/>
                <w:b/>
                <w:sz w:val="24"/>
                <w:szCs w:val="24"/>
              </w:rPr>
            </w:pPr>
            <w:r w:rsidRPr="004C53CC">
              <w:rPr>
                <w:rFonts w:ascii="Times New Roman" w:eastAsia="Calibri" w:hAnsi="Times New Roman" w:cs="Times New Roman"/>
                <w:b/>
                <w:sz w:val="24"/>
                <w:szCs w:val="24"/>
              </w:rPr>
              <w:t>Pentru a crea posiblitatea</w:t>
            </w:r>
            <w:r>
              <w:rPr>
                <w:rFonts w:ascii="Times New Roman" w:eastAsia="Calibri" w:hAnsi="Times New Roman" w:cs="Times New Roman"/>
                <w:sz w:val="24"/>
                <w:szCs w:val="24"/>
              </w:rPr>
              <w:t xml:space="preserve"> titularilor licențelor </w:t>
            </w:r>
            <w:r w:rsidR="008C463A" w:rsidRPr="008C463A">
              <w:rPr>
                <w:rFonts w:ascii="Times New Roman" w:eastAsia="Calibri" w:hAnsi="Times New Roman" w:cs="Times New Roman"/>
                <w:sz w:val="24"/>
                <w:szCs w:val="24"/>
              </w:rPr>
              <w:t>pentru exploatarea comercială a capacităţilor de producere a energiei electrice</w:t>
            </w:r>
            <w:r w:rsidR="008C463A">
              <w:rPr>
                <w:rFonts w:ascii="Times New Roman" w:eastAsia="Calibri" w:hAnsi="Times New Roman" w:cs="Times New Roman"/>
                <w:sz w:val="24"/>
                <w:szCs w:val="24"/>
              </w:rPr>
              <w:t xml:space="preserve">, a </w:t>
            </w:r>
            <w:r w:rsidR="008C463A" w:rsidRPr="008C463A">
              <w:rPr>
                <w:rFonts w:ascii="Times New Roman" w:eastAsia="Calibri" w:hAnsi="Times New Roman" w:cs="Times New Roman"/>
                <w:sz w:val="24"/>
                <w:szCs w:val="24"/>
              </w:rPr>
              <w:t>licenţe</w:t>
            </w:r>
            <w:r w:rsidR="008C463A">
              <w:rPr>
                <w:rFonts w:ascii="Times New Roman" w:eastAsia="Calibri" w:hAnsi="Times New Roman" w:cs="Times New Roman"/>
                <w:sz w:val="24"/>
                <w:szCs w:val="24"/>
              </w:rPr>
              <w:t>lor</w:t>
            </w:r>
            <w:r w:rsidR="008C463A" w:rsidRPr="008C463A">
              <w:rPr>
                <w:rFonts w:ascii="Times New Roman" w:eastAsia="Calibri" w:hAnsi="Times New Roman" w:cs="Times New Roman"/>
                <w:sz w:val="24"/>
                <w:szCs w:val="24"/>
              </w:rPr>
              <w:t xml:space="preserve"> pentru exploatarea comercială a instalaţiilor de stocare</w:t>
            </w:r>
            <w:r w:rsidR="008C463A">
              <w:rPr>
                <w:rFonts w:ascii="Times New Roman" w:eastAsia="Calibri" w:hAnsi="Times New Roman" w:cs="Times New Roman"/>
                <w:sz w:val="24"/>
                <w:szCs w:val="24"/>
              </w:rPr>
              <w:t xml:space="preserve">, a celor de distribuție și de transport al energiei electrice </w:t>
            </w:r>
            <w:r w:rsidR="0069362C" w:rsidRPr="004C53CC">
              <w:rPr>
                <w:rFonts w:ascii="Times New Roman" w:eastAsia="Calibri" w:hAnsi="Times New Roman" w:cs="Times New Roman"/>
                <w:b/>
                <w:sz w:val="24"/>
                <w:szCs w:val="24"/>
              </w:rPr>
              <w:t xml:space="preserve">de a pune </w:t>
            </w:r>
            <w:r w:rsidRPr="004C53CC">
              <w:rPr>
                <w:rFonts w:ascii="Times New Roman" w:eastAsia="Calibri" w:hAnsi="Times New Roman" w:cs="Times New Roman"/>
                <w:b/>
                <w:sz w:val="24"/>
                <w:szCs w:val="24"/>
              </w:rPr>
              <w:t xml:space="preserve">la dispoziția ANRE </w:t>
            </w:r>
            <w:r w:rsidR="004C53CC" w:rsidRPr="004C53CC">
              <w:rPr>
                <w:rFonts w:ascii="Times New Roman" w:eastAsia="Calibri" w:hAnsi="Times New Roman" w:cs="Times New Roman"/>
                <w:b/>
                <w:sz w:val="24"/>
                <w:szCs w:val="24"/>
              </w:rPr>
              <w:t xml:space="preserve">într-un termen rezonabil </w:t>
            </w:r>
            <w:r w:rsidR="00894210" w:rsidRPr="004C53CC">
              <w:rPr>
                <w:rFonts w:ascii="Times New Roman" w:eastAsia="Calibri" w:hAnsi="Times New Roman" w:cs="Times New Roman"/>
                <w:b/>
                <w:sz w:val="24"/>
                <w:szCs w:val="24"/>
              </w:rPr>
              <w:t>informaţiil</w:t>
            </w:r>
            <w:r w:rsidR="0069362C" w:rsidRPr="004C53CC">
              <w:rPr>
                <w:rFonts w:ascii="Times New Roman" w:eastAsia="Calibri" w:hAnsi="Times New Roman" w:cs="Times New Roman"/>
                <w:b/>
                <w:sz w:val="24"/>
                <w:szCs w:val="24"/>
              </w:rPr>
              <w:t>e</w:t>
            </w:r>
            <w:r w:rsidR="00894210" w:rsidRPr="004C53CC">
              <w:rPr>
                <w:rFonts w:ascii="Times New Roman" w:eastAsia="Calibri" w:hAnsi="Times New Roman" w:cs="Times New Roman"/>
                <w:b/>
                <w:sz w:val="24"/>
                <w:szCs w:val="24"/>
              </w:rPr>
              <w:t xml:space="preserve"> de tipul </w:t>
            </w:r>
            <w:r w:rsidR="00894210" w:rsidRPr="004C53CC">
              <w:rPr>
                <w:rFonts w:ascii="Times New Roman" w:eastAsia="Calibri" w:hAnsi="Times New Roman" w:cs="Times New Roman"/>
                <w:b/>
                <w:sz w:val="24"/>
                <w:szCs w:val="24"/>
              </w:rPr>
              <w:lastRenderedPageBreak/>
              <w:t xml:space="preserve">celor prezentate în format vectorial GIS </w:t>
            </w:r>
            <w:r w:rsidR="00894210" w:rsidRPr="00894210">
              <w:rPr>
                <w:rFonts w:ascii="Times New Roman" w:eastAsia="Calibri" w:hAnsi="Times New Roman" w:cs="Times New Roman"/>
                <w:sz w:val="24"/>
                <w:szCs w:val="24"/>
              </w:rPr>
              <w:t>în fişiere de tip XML/SHAPE, conform schemei publicate pe pagina de internet a ANRE</w:t>
            </w:r>
            <w:r w:rsidR="00894210">
              <w:rPr>
                <w:rFonts w:ascii="Times New Roman" w:eastAsia="Calibri" w:hAnsi="Times New Roman" w:cs="Times New Roman"/>
                <w:sz w:val="24"/>
                <w:szCs w:val="24"/>
              </w:rPr>
              <w:t xml:space="preserve">, </w:t>
            </w:r>
            <w:r w:rsidR="008C463A">
              <w:rPr>
                <w:rFonts w:ascii="Times New Roman" w:eastAsia="Calibri" w:hAnsi="Times New Roman" w:cs="Times New Roman"/>
                <w:sz w:val="24"/>
                <w:szCs w:val="24"/>
              </w:rPr>
              <w:t xml:space="preserve">dată fiind acuratețea acestor informații </w:t>
            </w:r>
            <w:r w:rsidR="004C53CC">
              <w:rPr>
                <w:rFonts w:ascii="Times New Roman" w:eastAsia="Calibri" w:hAnsi="Times New Roman" w:cs="Times New Roman"/>
                <w:sz w:val="24"/>
                <w:szCs w:val="24"/>
              </w:rPr>
              <w:t xml:space="preserve">dublată de </w:t>
            </w:r>
            <w:r w:rsidR="008C463A">
              <w:rPr>
                <w:rFonts w:ascii="Times New Roman" w:eastAsia="Calibri" w:hAnsi="Times New Roman" w:cs="Times New Roman"/>
                <w:sz w:val="24"/>
                <w:szCs w:val="24"/>
              </w:rPr>
              <w:t xml:space="preserve">necesitatea </w:t>
            </w:r>
            <w:r w:rsidR="004C53CC">
              <w:rPr>
                <w:rFonts w:ascii="Times New Roman" w:eastAsia="Calibri" w:hAnsi="Times New Roman" w:cs="Times New Roman"/>
                <w:sz w:val="24"/>
                <w:szCs w:val="24"/>
              </w:rPr>
              <w:t xml:space="preserve">prezentării acestora într-un anumit format electronic, </w:t>
            </w:r>
            <w:r w:rsidR="004C53CC" w:rsidRPr="004C53CC">
              <w:rPr>
                <w:rFonts w:ascii="Times New Roman" w:eastAsia="Calibri" w:hAnsi="Times New Roman" w:cs="Times New Roman"/>
                <w:b/>
                <w:sz w:val="24"/>
                <w:szCs w:val="24"/>
              </w:rPr>
              <w:t>prin prezentul proiect de ordin se propune introducerea posibilității prezentării acestora într-un termen de maxim 6 luni de la acordarea licenței respective.</w:t>
            </w:r>
          </w:p>
          <w:p w14:paraId="736BC13C" w14:textId="3F66E6B4" w:rsidR="00DC4740" w:rsidRDefault="00DC4740" w:rsidP="002D15D8">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Această măsură asigură accelerarea procesului de acordare  a licențelor, contribuind la dezvoltarea Sistemului Energetic Național (SEN).</w:t>
            </w:r>
          </w:p>
          <w:p w14:paraId="5D7D32B8" w14:textId="77777777" w:rsidR="00DC4740" w:rsidRDefault="00DC4740" w:rsidP="002D15D8">
            <w:pPr>
              <w:spacing w:after="0" w:line="276" w:lineRule="auto"/>
              <w:jc w:val="both"/>
              <w:rPr>
                <w:rFonts w:ascii="Times New Roman" w:eastAsia="Calibri" w:hAnsi="Times New Roman" w:cs="Times New Roman"/>
                <w:sz w:val="24"/>
                <w:szCs w:val="24"/>
              </w:rPr>
            </w:pPr>
          </w:p>
          <w:p w14:paraId="62E1BD1D" w14:textId="6F24C84B" w:rsidR="00A607C9" w:rsidRDefault="00F62981" w:rsidP="002D15D8">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 asemenea, o</w:t>
            </w:r>
            <w:r w:rsidR="00A607C9" w:rsidRPr="00A607C9">
              <w:rPr>
                <w:rFonts w:ascii="Times New Roman" w:eastAsia="Calibri" w:hAnsi="Times New Roman" w:cs="Times New Roman"/>
                <w:sz w:val="24"/>
                <w:szCs w:val="24"/>
              </w:rPr>
              <w:t xml:space="preserve">biectul </w:t>
            </w:r>
            <w:r w:rsidR="001D0E92">
              <w:rPr>
                <w:rFonts w:ascii="Times New Roman" w:eastAsia="Calibri" w:hAnsi="Times New Roman" w:cs="Times New Roman"/>
                <w:sz w:val="24"/>
                <w:szCs w:val="24"/>
              </w:rPr>
              <w:t xml:space="preserve"> prezentului proiect de ordin </w:t>
            </w:r>
            <w:r w:rsidR="00A607C9">
              <w:rPr>
                <w:rFonts w:ascii="Times New Roman" w:eastAsia="Calibri" w:hAnsi="Times New Roman" w:cs="Times New Roman"/>
                <w:sz w:val="24"/>
                <w:szCs w:val="24"/>
              </w:rPr>
              <w:t xml:space="preserve">este </w:t>
            </w:r>
            <w:r w:rsidR="00A607C9" w:rsidRPr="00A607C9">
              <w:rPr>
                <w:rFonts w:ascii="Times New Roman" w:eastAsia="Calibri" w:hAnsi="Times New Roman" w:cs="Times New Roman"/>
                <w:sz w:val="24"/>
                <w:szCs w:val="24"/>
              </w:rPr>
              <w:t xml:space="preserve">circumstanţiat la anumite categorii de situaţii </w:t>
            </w:r>
            <w:r w:rsidR="001D0E92">
              <w:rPr>
                <w:rFonts w:ascii="Times New Roman" w:eastAsia="Calibri" w:hAnsi="Times New Roman" w:cs="Times New Roman"/>
                <w:sz w:val="24"/>
                <w:szCs w:val="24"/>
              </w:rPr>
              <w:t>a căror reglementare reclamă a fi corelată cu legi</w:t>
            </w:r>
            <w:r w:rsidR="00284AB8">
              <w:rPr>
                <w:rFonts w:ascii="Times New Roman" w:eastAsia="Calibri" w:hAnsi="Times New Roman" w:cs="Times New Roman"/>
                <w:sz w:val="24"/>
                <w:szCs w:val="24"/>
              </w:rPr>
              <w:t>s</w:t>
            </w:r>
            <w:r w:rsidR="001D0E92">
              <w:rPr>
                <w:rFonts w:ascii="Times New Roman" w:eastAsia="Calibri" w:hAnsi="Times New Roman" w:cs="Times New Roman"/>
                <w:sz w:val="24"/>
                <w:szCs w:val="24"/>
              </w:rPr>
              <w:t xml:space="preserve">lația în domeniul publicității imobiliare </w:t>
            </w:r>
            <w:r w:rsidR="00A607C9" w:rsidRPr="00A607C9">
              <w:rPr>
                <w:rFonts w:ascii="Times New Roman" w:eastAsia="Calibri" w:hAnsi="Times New Roman" w:cs="Times New Roman"/>
                <w:sz w:val="24"/>
                <w:szCs w:val="24"/>
              </w:rPr>
              <w:t>şi</w:t>
            </w:r>
            <w:r w:rsidR="001D0E92">
              <w:rPr>
                <w:rFonts w:ascii="Times New Roman" w:eastAsia="Calibri" w:hAnsi="Times New Roman" w:cs="Times New Roman"/>
                <w:sz w:val="24"/>
                <w:szCs w:val="24"/>
              </w:rPr>
              <w:t xml:space="preserve">, în special, </w:t>
            </w:r>
            <w:r w:rsidR="006A1BFC">
              <w:rPr>
                <w:rFonts w:ascii="Times New Roman" w:eastAsia="Calibri" w:hAnsi="Times New Roman" w:cs="Times New Roman"/>
                <w:sz w:val="24"/>
                <w:szCs w:val="24"/>
              </w:rPr>
              <w:t xml:space="preserve"> cu </w:t>
            </w:r>
            <w:r w:rsidR="005A5D80">
              <w:rPr>
                <w:rFonts w:ascii="Times New Roman" w:eastAsia="Calibri" w:hAnsi="Times New Roman" w:cs="Times New Roman"/>
                <w:sz w:val="24"/>
                <w:szCs w:val="24"/>
              </w:rPr>
              <w:t>unele aspecte legate de a</w:t>
            </w:r>
            <w:r w:rsidR="005A5D80" w:rsidRPr="005A5D80">
              <w:rPr>
                <w:rFonts w:ascii="Times New Roman" w:eastAsia="Calibri" w:hAnsi="Times New Roman" w:cs="Times New Roman"/>
                <w:sz w:val="24"/>
                <w:szCs w:val="24"/>
              </w:rPr>
              <w:t>ctivitatea  de  cadastru  și  publicitate  imobiliară</w:t>
            </w:r>
            <w:r w:rsidR="006A1BFC">
              <w:rPr>
                <w:rFonts w:ascii="Times New Roman" w:eastAsia="Calibri" w:hAnsi="Times New Roman" w:cs="Times New Roman"/>
                <w:sz w:val="24"/>
                <w:szCs w:val="24"/>
              </w:rPr>
              <w:t>, detaliate în cele ce urmează.</w:t>
            </w:r>
          </w:p>
          <w:p w14:paraId="5CD9CBBB" w14:textId="046F6942" w:rsidR="007662D0" w:rsidRDefault="007662D0" w:rsidP="00511C9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7662D0">
              <w:rPr>
                <w:rFonts w:ascii="Times New Roman" w:eastAsia="Calibri" w:hAnsi="Times New Roman" w:cs="Times New Roman"/>
                <w:sz w:val="24"/>
                <w:szCs w:val="24"/>
              </w:rPr>
              <w:t xml:space="preserve">istemul de cadastru și publicitate imobiliară </w:t>
            </w:r>
            <w:r>
              <w:rPr>
                <w:rFonts w:ascii="Times New Roman" w:eastAsia="Calibri" w:hAnsi="Times New Roman" w:cs="Times New Roman"/>
                <w:sz w:val="24"/>
                <w:szCs w:val="24"/>
              </w:rPr>
              <w:t xml:space="preserve">asigură </w:t>
            </w:r>
            <w:r w:rsidRPr="007662D0">
              <w:rPr>
                <w:rFonts w:ascii="Times New Roman" w:eastAsia="Calibri" w:hAnsi="Times New Roman" w:cs="Times New Roman"/>
                <w:sz w:val="24"/>
                <w:szCs w:val="24"/>
              </w:rPr>
              <w:t>informații complete, corecte și actualizate, referitoare la situația tehnică (suprafața, categoria de folosință, amplasare/ vecinătăți) și situația juridică a terenurilor și construcțiilor ridicate pe acestea</w:t>
            </w:r>
            <w:r w:rsidR="00284AB8">
              <w:rPr>
                <w:rFonts w:ascii="Times New Roman" w:eastAsia="Calibri" w:hAnsi="Times New Roman" w:cs="Times New Roman"/>
                <w:sz w:val="24"/>
                <w:szCs w:val="24"/>
              </w:rPr>
              <w:t xml:space="preserve">, </w:t>
            </w:r>
            <w:r w:rsidRPr="007662D0">
              <w:rPr>
                <w:rFonts w:ascii="Times New Roman" w:eastAsia="Calibri" w:hAnsi="Times New Roman" w:cs="Times New Roman"/>
                <w:sz w:val="24"/>
                <w:szCs w:val="24"/>
              </w:rPr>
              <w:t>prin identificarea proprietarilor și a titlurilor de proprietate.</w:t>
            </w:r>
          </w:p>
          <w:p w14:paraId="3EFCAF08" w14:textId="0B587DAB" w:rsidR="00511C9E" w:rsidRPr="00511C9E" w:rsidRDefault="00511C9E" w:rsidP="00511C9E">
            <w:pPr>
              <w:spacing w:after="0" w:line="276" w:lineRule="auto"/>
              <w:jc w:val="both"/>
              <w:rPr>
                <w:rFonts w:ascii="Times New Roman" w:eastAsia="Calibri" w:hAnsi="Times New Roman" w:cs="Times New Roman"/>
                <w:sz w:val="24"/>
                <w:szCs w:val="24"/>
              </w:rPr>
            </w:pPr>
            <w:r w:rsidRPr="00511C9E">
              <w:rPr>
                <w:rFonts w:ascii="Times New Roman" w:eastAsia="Calibri" w:hAnsi="Times New Roman" w:cs="Times New Roman"/>
                <w:sz w:val="24"/>
                <w:szCs w:val="24"/>
              </w:rPr>
              <w:t>Prin sistemul integrat de cadastru și carte funciară se realizează:</w:t>
            </w:r>
          </w:p>
          <w:p w14:paraId="153FEF9C" w14:textId="4F1B3AC1" w:rsidR="00511C9E" w:rsidRPr="00511C9E" w:rsidRDefault="00511C9E" w:rsidP="00511C9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511C9E">
              <w:rPr>
                <w:rFonts w:ascii="Times New Roman" w:eastAsia="Calibri" w:hAnsi="Times New Roman" w:cs="Times New Roman"/>
                <w:sz w:val="24"/>
                <w:szCs w:val="24"/>
              </w:rPr>
              <w:t>dentificarea, descrierea și înregistrarea în documentele cadastrale a imobilelor, prin natura lor;</w:t>
            </w:r>
          </w:p>
          <w:p w14:paraId="050DB704" w14:textId="62A9D4BB" w:rsidR="00511C9E" w:rsidRPr="00511C9E" w:rsidRDefault="00511C9E" w:rsidP="00511C9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511C9E">
              <w:rPr>
                <w:rFonts w:ascii="Times New Roman" w:eastAsia="Calibri" w:hAnsi="Times New Roman" w:cs="Times New Roman"/>
                <w:sz w:val="24"/>
                <w:szCs w:val="24"/>
              </w:rPr>
              <w:t>identificarea și înregistrarea proprietarilor, a altor deținători legali de imobile și a posesorilor;</w:t>
            </w:r>
          </w:p>
          <w:p w14:paraId="3107512F" w14:textId="2FFA76C9" w:rsidR="00511C9E" w:rsidRDefault="00511C9E" w:rsidP="00511C9E">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11C9E">
              <w:rPr>
                <w:rFonts w:ascii="Times New Roman" w:eastAsia="Calibri" w:hAnsi="Times New Roman" w:cs="Times New Roman"/>
                <w:sz w:val="24"/>
                <w:szCs w:val="24"/>
              </w:rPr>
              <w:t>ublicitatea imobiliară, care asigura opozabilitatea drepturilor reale imobiliare, a drepturilor personale, a actelor și faptelor juridice, precum și a oricăror raporturi juridice supuse publicității, referitoare la imobile.</w:t>
            </w:r>
          </w:p>
          <w:p w14:paraId="2C5FA368" w14:textId="6C0C90BD" w:rsidR="00511C9E" w:rsidRDefault="00511C9E" w:rsidP="00511C9E">
            <w:pPr>
              <w:spacing w:after="0" w:line="276" w:lineRule="auto"/>
              <w:jc w:val="both"/>
              <w:rPr>
                <w:rFonts w:ascii="Times New Roman" w:eastAsia="Calibri" w:hAnsi="Times New Roman" w:cs="Times New Roman"/>
                <w:sz w:val="24"/>
                <w:szCs w:val="24"/>
              </w:rPr>
            </w:pPr>
          </w:p>
          <w:p w14:paraId="0F2FB219" w14:textId="77777777" w:rsidR="006A2D12" w:rsidRPr="00DC4740" w:rsidRDefault="00511C9E" w:rsidP="00511C9E">
            <w:pPr>
              <w:spacing w:after="0" w:line="276" w:lineRule="auto"/>
              <w:jc w:val="both"/>
              <w:rPr>
                <w:rFonts w:ascii="Times New Roman" w:eastAsia="Calibri" w:hAnsi="Times New Roman" w:cs="Times New Roman"/>
                <w:bCs/>
                <w:sz w:val="24"/>
                <w:szCs w:val="24"/>
              </w:rPr>
            </w:pPr>
            <w:r w:rsidRPr="00511C9E">
              <w:rPr>
                <w:rFonts w:ascii="Times New Roman" w:eastAsia="Calibri" w:hAnsi="Times New Roman" w:cs="Times New Roman"/>
                <w:sz w:val="24"/>
                <w:szCs w:val="24"/>
              </w:rPr>
              <w:t xml:space="preserve">Cadastrul și intabularea </w:t>
            </w:r>
            <w:r>
              <w:rPr>
                <w:rFonts w:ascii="Times New Roman" w:eastAsia="Calibri" w:hAnsi="Times New Roman" w:cs="Times New Roman"/>
                <w:sz w:val="24"/>
                <w:szCs w:val="24"/>
              </w:rPr>
              <w:t xml:space="preserve">reprezintă </w:t>
            </w:r>
            <w:r w:rsidRPr="00511C9E">
              <w:rPr>
                <w:rFonts w:ascii="Times New Roman" w:eastAsia="Calibri" w:hAnsi="Times New Roman" w:cs="Times New Roman"/>
                <w:sz w:val="24"/>
                <w:szCs w:val="24"/>
              </w:rPr>
              <w:t xml:space="preserve">o garanție sigură asupra </w:t>
            </w:r>
            <w:r w:rsidR="007662D0">
              <w:rPr>
                <w:rFonts w:ascii="Times New Roman" w:eastAsia="Calibri" w:hAnsi="Times New Roman" w:cs="Times New Roman"/>
                <w:sz w:val="24"/>
                <w:szCs w:val="24"/>
              </w:rPr>
              <w:t>drept</w:t>
            </w:r>
            <w:r w:rsidR="00F63BB1">
              <w:rPr>
                <w:rFonts w:ascii="Times New Roman" w:eastAsia="Calibri" w:hAnsi="Times New Roman" w:cs="Times New Roman"/>
                <w:sz w:val="24"/>
                <w:szCs w:val="24"/>
              </w:rPr>
              <w:t>u</w:t>
            </w:r>
            <w:r w:rsidR="007662D0">
              <w:rPr>
                <w:rFonts w:ascii="Times New Roman" w:eastAsia="Calibri" w:hAnsi="Times New Roman" w:cs="Times New Roman"/>
                <w:sz w:val="24"/>
                <w:szCs w:val="24"/>
              </w:rPr>
              <w:t xml:space="preserve">rilor </w:t>
            </w:r>
            <w:r w:rsidRPr="00511C9E">
              <w:rPr>
                <w:rFonts w:ascii="Times New Roman" w:eastAsia="Calibri" w:hAnsi="Times New Roman" w:cs="Times New Roman"/>
                <w:sz w:val="24"/>
                <w:szCs w:val="24"/>
              </w:rPr>
              <w:t>a</w:t>
            </w:r>
            <w:r w:rsidR="005A7139">
              <w:rPr>
                <w:rFonts w:ascii="Times New Roman" w:eastAsia="Calibri" w:hAnsi="Times New Roman" w:cs="Times New Roman"/>
                <w:sz w:val="24"/>
                <w:szCs w:val="24"/>
              </w:rPr>
              <w:t>supra</w:t>
            </w:r>
            <w:r w:rsidRPr="00511C9E">
              <w:rPr>
                <w:rFonts w:ascii="Times New Roman" w:eastAsia="Calibri" w:hAnsi="Times New Roman" w:cs="Times New Roman"/>
                <w:sz w:val="24"/>
                <w:szCs w:val="24"/>
              </w:rPr>
              <w:t xml:space="preserve"> imobilului</w:t>
            </w:r>
            <w:r>
              <w:rPr>
                <w:rFonts w:ascii="Times New Roman" w:eastAsia="Calibri" w:hAnsi="Times New Roman" w:cs="Times New Roman"/>
                <w:sz w:val="24"/>
                <w:szCs w:val="24"/>
              </w:rPr>
              <w:t xml:space="preserve">, dar </w:t>
            </w:r>
            <w:r w:rsidR="005A7139">
              <w:rPr>
                <w:rFonts w:ascii="Times New Roman" w:eastAsia="Calibri" w:hAnsi="Times New Roman" w:cs="Times New Roman"/>
                <w:sz w:val="24"/>
                <w:szCs w:val="24"/>
              </w:rPr>
              <w:t>având în vedere</w:t>
            </w:r>
            <w:r w:rsidR="00880DA6">
              <w:rPr>
                <w:rFonts w:ascii="Times New Roman" w:eastAsia="Calibri" w:hAnsi="Times New Roman" w:cs="Times New Roman"/>
                <w:sz w:val="24"/>
                <w:szCs w:val="24"/>
              </w:rPr>
              <w:t xml:space="preserve"> aspecte cum ar fi</w:t>
            </w:r>
            <w:r w:rsidR="005A7139">
              <w:rPr>
                <w:rFonts w:ascii="Times New Roman" w:eastAsia="Calibri" w:hAnsi="Times New Roman" w:cs="Times New Roman"/>
                <w:sz w:val="24"/>
                <w:szCs w:val="24"/>
              </w:rPr>
              <w:t xml:space="preserve"> </w:t>
            </w:r>
            <w:r w:rsidR="00880DA6">
              <w:rPr>
                <w:rFonts w:ascii="Times New Roman" w:eastAsia="Calibri" w:hAnsi="Times New Roman" w:cs="Times New Roman"/>
                <w:sz w:val="24"/>
                <w:szCs w:val="24"/>
              </w:rPr>
              <w:t xml:space="preserve">durata de timp necesară </w:t>
            </w:r>
            <w:r w:rsidR="005A7139" w:rsidRPr="005A7139">
              <w:rPr>
                <w:rFonts w:ascii="Times New Roman" w:eastAsia="Calibri" w:hAnsi="Times New Roman" w:cs="Times New Roman"/>
                <w:sz w:val="24"/>
                <w:szCs w:val="24"/>
              </w:rPr>
              <w:t>intabulării și eliberării extrasului de carte funciară</w:t>
            </w:r>
            <w:r w:rsidR="00880DA6">
              <w:rPr>
                <w:rFonts w:ascii="Times New Roman" w:eastAsia="Calibri" w:hAnsi="Times New Roman" w:cs="Times New Roman"/>
                <w:sz w:val="24"/>
                <w:szCs w:val="24"/>
              </w:rPr>
              <w:t xml:space="preserve"> în funcție de locația/amplasamentul imobilului, </w:t>
            </w:r>
            <w:r w:rsidR="00880DA6" w:rsidRPr="00880DA6">
              <w:rPr>
                <w:rFonts w:ascii="Times New Roman" w:eastAsia="Calibri" w:hAnsi="Times New Roman" w:cs="Times New Roman"/>
                <w:sz w:val="24"/>
                <w:szCs w:val="24"/>
              </w:rPr>
              <w:t xml:space="preserve">rata </w:t>
            </w:r>
            <w:r w:rsidR="00880DA6">
              <w:rPr>
                <w:rFonts w:ascii="Times New Roman" w:eastAsia="Calibri" w:hAnsi="Times New Roman" w:cs="Times New Roman"/>
                <w:sz w:val="24"/>
                <w:szCs w:val="24"/>
              </w:rPr>
              <w:t xml:space="preserve">redusă </w:t>
            </w:r>
            <w:r w:rsidR="00880DA6" w:rsidRPr="00880DA6">
              <w:rPr>
                <w:rFonts w:ascii="Times New Roman" w:eastAsia="Calibri" w:hAnsi="Times New Roman" w:cs="Times New Roman"/>
                <w:sz w:val="24"/>
                <w:szCs w:val="24"/>
              </w:rPr>
              <w:t>de  înscriere  a  imobilelor  prin  intermediul  cărților  funciare</w:t>
            </w:r>
            <w:r w:rsidR="00880DA6">
              <w:rPr>
                <w:rFonts w:ascii="Times New Roman" w:eastAsia="Calibri" w:hAnsi="Times New Roman" w:cs="Times New Roman"/>
                <w:sz w:val="24"/>
                <w:szCs w:val="24"/>
              </w:rPr>
              <w:t xml:space="preserve"> </w:t>
            </w:r>
            <w:r w:rsidR="00880DA6" w:rsidRPr="00880DA6">
              <w:rPr>
                <w:rFonts w:ascii="Times New Roman" w:eastAsia="Calibri" w:hAnsi="Times New Roman" w:cs="Times New Roman"/>
                <w:sz w:val="24"/>
                <w:szCs w:val="24"/>
              </w:rPr>
              <w:t xml:space="preserve">cu  privire </w:t>
            </w:r>
            <w:r w:rsidR="00EE1FDB">
              <w:rPr>
                <w:rFonts w:ascii="Times New Roman" w:eastAsia="Calibri" w:hAnsi="Times New Roman" w:cs="Times New Roman"/>
                <w:sz w:val="24"/>
                <w:szCs w:val="24"/>
              </w:rPr>
              <w:t xml:space="preserve">mai ales </w:t>
            </w:r>
            <w:r w:rsidR="00880DA6" w:rsidRPr="00880DA6">
              <w:rPr>
                <w:rFonts w:ascii="Times New Roman" w:eastAsia="Calibri" w:hAnsi="Times New Roman" w:cs="Times New Roman"/>
                <w:sz w:val="24"/>
                <w:szCs w:val="24"/>
              </w:rPr>
              <w:t>la terenurile extravilane</w:t>
            </w:r>
            <w:r w:rsidR="00880DA6">
              <w:rPr>
                <w:rFonts w:ascii="Times New Roman" w:eastAsia="Calibri" w:hAnsi="Times New Roman" w:cs="Times New Roman"/>
                <w:sz w:val="24"/>
                <w:szCs w:val="24"/>
              </w:rPr>
              <w:t xml:space="preserve">,  precum și faptul că </w:t>
            </w:r>
            <w:r w:rsidR="005A7139">
              <w:rPr>
                <w:rFonts w:ascii="Times New Roman" w:eastAsia="Calibri" w:hAnsi="Times New Roman" w:cs="Times New Roman"/>
                <w:sz w:val="24"/>
                <w:szCs w:val="24"/>
              </w:rPr>
              <w:t xml:space="preserve"> </w:t>
            </w:r>
            <w:r w:rsidR="00880DA6" w:rsidRPr="00880DA6">
              <w:rPr>
                <w:rFonts w:ascii="Times New Roman" w:eastAsia="Calibri" w:hAnsi="Times New Roman" w:cs="Times New Roman"/>
                <w:sz w:val="24"/>
                <w:szCs w:val="24"/>
              </w:rPr>
              <w:t>lucrări</w:t>
            </w:r>
            <w:r w:rsidR="00880DA6">
              <w:rPr>
                <w:rFonts w:ascii="Times New Roman" w:eastAsia="Calibri" w:hAnsi="Times New Roman" w:cs="Times New Roman"/>
                <w:sz w:val="24"/>
                <w:szCs w:val="24"/>
              </w:rPr>
              <w:t>le</w:t>
            </w:r>
            <w:r w:rsidR="00880DA6" w:rsidRPr="00880DA6">
              <w:rPr>
                <w:rFonts w:ascii="Times New Roman" w:eastAsia="Calibri" w:hAnsi="Times New Roman" w:cs="Times New Roman"/>
                <w:sz w:val="24"/>
                <w:szCs w:val="24"/>
              </w:rPr>
              <w:t xml:space="preserve"> cadastrale </w:t>
            </w:r>
            <w:r w:rsidR="00880DA6">
              <w:rPr>
                <w:rFonts w:ascii="Times New Roman" w:eastAsia="Calibri" w:hAnsi="Times New Roman" w:cs="Times New Roman"/>
                <w:sz w:val="24"/>
                <w:szCs w:val="24"/>
              </w:rPr>
              <w:t xml:space="preserve">gratuite sunt finanțate </w:t>
            </w:r>
            <w:r w:rsidR="00880DA6" w:rsidRPr="00880DA6">
              <w:rPr>
                <w:rFonts w:ascii="Times New Roman" w:eastAsia="Calibri" w:hAnsi="Times New Roman" w:cs="Times New Roman"/>
                <w:sz w:val="24"/>
                <w:szCs w:val="24"/>
              </w:rPr>
              <w:t>în mod sistematic la nivel de UAT</w:t>
            </w:r>
            <w:r w:rsidR="00880DA6">
              <w:rPr>
                <w:rFonts w:ascii="Times New Roman" w:eastAsia="Calibri" w:hAnsi="Times New Roman" w:cs="Times New Roman"/>
                <w:sz w:val="24"/>
                <w:szCs w:val="24"/>
              </w:rPr>
              <w:t xml:space="preserve"> prin </w:t>
            </w:r>
            <w:r w:rsidR="00880DA6" w:rsidRPr="00880DA6">
              <w:rPr>
                <w:rFonts w:ascii="Times New Roman" w:eastAsia="Calibri" w:hAnsi="Times New Roman" w:cs="Times New Roman"/>
                <w:sz w:val="24"/>
                <w:szCs w:val="24"/>
              </w:rPr>
              <w:t>Programul Național de Cadastru și Carte Funciară aprobat prin Hotărârea de Guvern nr. 294/2015</w:t>
            </w:r>
            <w:r w:rsidR="00880DA6">
              <w:rPr>
                <w:rFonts w:ascii="Times New Roman" w:eastAsia="Calibri" w:hAnsi="Times New Roman" w:cs="Times New Roman"/>
                <w:sz w:val="24"/>
                <w:szCs w:val="24"/>
              </w:rPr>
              <w:t>, a</w:t>
            </w:r>
            <w:r w:rsidR="00113595">
              <w:rPr>
                <w:rFonts w:ascii="Times New Roman" w:eastAsia="Calibri" w:hAnsi="Times New Roman" w:cs="Times New Roman"/>
                <w:sz w:val="24"/>
                <w:szCs w:val="24"/>
              </w:rPr>
              <w:t>ce</w:t>
            </w:r>
            <w:r w:rsidR="00880DA6">
              <w:rPr>
                <w:rFonts w:ascii="Times New Roman" w:eastAsia="Calibri" w:hAnsi="Times New Roman" w:cs="Times New Roman"/>
                <w:sz w:val="24"/>
                <w:szCs w:val="24"/>
              </w:rPr>
              <w:t>stea fiind în curs de derulare în multe U</w:t>
            </w:r>
            <w:r w:rsidR="00C220AA">
              <w:rPr>
                <w:rFonts w:ascii="Times New Roman" w:eastAsia="Calibri" w:hAnsi="Times New Roman" w:cs="Times New Roman"/>
                <w:sz w:val="24"/>
                <w:szCs w:val="24"/>
              </w:rPr>
              <w:t>AT</w:t>
            </w:r>
            <w:r w:rsidR="00880DA6">
              <w:rPr>
                <w:rFonts w:ascii="Times New Roman" w:eastAsia="Calibri" w:hAnsi="Times New Roman" w:cs="Times New Roman"/>
                <w:sz w:val="24"/>
                <w:szCs w:val="24"/>
              </w:rPr>
              <w:t>-uri</w:t>
            </w:r>
            <w:r w:rsidR="00C220AA">
              <w:rPr>
                <w:rFonts w:ascii="Times New Roman" w:eastAsia="Calibri" w:hAnsi="Times New Roman" w:cs="Times New Roman"/>
                <w:sz w:val="24"/>
                <w:szCs w:val="24"/>
              </w:rPr>
              <w:t xml:space="preserve">, </w:t>
            </w:r>
            <w:r w:rsidR="00C220AA" w:rsidRPr="00DC4740">
              <w:rPr>
                <w:rFonts w:ascii="Times New Roman" w:eastAsia="Calibri" w:hAnsi="Times New Roman" w:cs="Times New Roman"/>
                <w:bCs/>
                <w:sz w:val="24"/>
                <w:szCs w:val="24"/>
              </w:rPr>
              <w:t>s</w:t>
            </w:r>
            <w:r w:rsidR="005A7139" w:rsidRPr="00DC4740">
              <w:rPr>
                <w:rFonts w:ascii="Times New Roman" w:eastAsia="Calibri" w:hAnsi="Times New Roman" w:cs="Times New Roman"/>
                <w:bCs/>
                <w:sz w:val="24"/>
                <w:szCs w:val="24"/>
              </w:rPr>
              <w:t>e propune</w:t>
            </w:r>
            <w:r w:rsidR="006A2D12" w:rsidRPr="00DC4740">
              <w:rPr>
                <w:rFonts w:ascii="Times New Roman" w:eastAsia="Calibri" w:hAnsi="Times New Roman" w:cs="Times New Roman"/>
                <w:bCs/>
                <w:sz w:val="24"/>
                <w:szCs w:val="24"/>
              </w:rPr>
              <w:t>:</w:t>
            </w:r>
          </w:p>
          <w:p w14:paraId="051E6529" w14:textId="36AF3B18" w:rsidR="005A7139" w:rsidRPr="00DC4740" w:rsidRDefault="006A2D12" w:rsidP="00511C9E">
            <w:pPr>
              <w:spacing w:after="0" w:line="276" w:lineRule="auto"/>
              <w:jc w:val="both"/>
              <w:rPr>
                <w:rFonts w:ascii="Times New Roman" w:eastAsia="Calibri" w:hAnsi="Times New Roman" w:cs="Times New Roman"/>
                <w:bCs/>
                <w:sz w:val="24"/>
                <w:szCs w:val="24"/>
              </w:rPr>
            </w:pPr>
            <w:r w:rsidRPr="00DC4740">
              <w:rPr>
                <w:rFonts w:ascii="Times New Roman" w:eastAsia="Calibri" w:hAnsi="Times New Roman" w:cs="Times New Roman"/>
                <w:bCs/>
                <w:sz w:val="24"/>
                <w:szCs w:val="24"/>
              </w:rPr>
              <w:t>-</w:t>
            </w:r>
            <w:r w:rsidR="005A7139" w:rsidRPr="00DC4740">
              <w:rPr>
                <w:rFonts w:ascii="Times New Roman" w:eastAsia="Calibri" w:hAnsi="Times New Roman" w:cs="Times New Roman"/>
                <w:bCs/>
                <w:sz w:val="24"/>
                <w:szCs w:val="24"/>
              </w:rPr>
              <w:t xml:space="preserve"> </w:t>
            </w:r>
            <w:r w:rsidR="00541FEB" w:rsidRPr="00DC4740">
              <w:rPr>
                <w:rFonts w:ascii="Times New Roman" w:eastAsia="Calibri" w:hAnsi="Times New Roman" w:cs="Times New Roman"/>
                <w:bCs/>
                <w:sz w:val="24"/>
                <w:szCs w:val="24"/>
              </w:rPr>
              <w:t xml:space="preserve">eliminarea din cuprinsul art. 20 alin. (1) lit. i) </w:t>
            </w:r>
            <w:r w:rsidR="00F63BB1" w:rsidRPr="00DC4740">
              <w:rPr>
                <w:rFonts w:ascii="Times New Roman" w:eastAsia="Calibri" w:hAnsi="Times New Roman" w:cs="Times New Roman"/>
                <w:bCs/>
                <w:sz w:val="24"/>
                <w:szCs w:val="24"/>
              </w:rPr>
              <w:t xml:space="preserve">din Regulament a </w:t>
            </w:r>
            <w:r w:rsidR="00541FEB" w:rsidRPr="00DC4740">
              <w:rPr>
                <w:rFonts w:ascii="Times New Roman" w:eastAsia="Calibri" w:hAnsi="Times New Roman" w:cs="Times New Roman"/>
                <w:bCs/>
                <w:sz w:val="24"/>
                <w:szCs w:val="24"/>
              </w:rPr>
              <w:t>referirilor la obligativitatea prezentării de către solicitanți a extraselor de carte funciară, fiind suficientă prezentarea oricăror documente care probează drepturile de proprietate sau de folosinţă asupra capacităţilor energetice</w:t>
            </w:r>
            <w:r w:rsidRPr="00DC4740">
              <w:rPr>
                <w:rFonts w:ascii="Times New Roman" w:eastAsia="Calibri" w:hAnsi="Times New Roman" w:cs="Times New Roman"/>
                <w:bCs/>
                <w:sz w:val="24"/>
                <w:szCs w:val="24"/>
              </w:rPr>
              <w:t>;</w:t>
            </w:r>
          </w:p>
          <w:p w14:paraId="3A923E18" w14:textId="32551F3E" w:rsidR="00B7132D" w:rsidRPr="00DC4740" w:rsidRDefault="006A2D12" w:rsidP="00511C9E">
            <w:pPr>
              <w:spacing w:after="0" w:line="276" w:lineRule="auto"/>
              <w:jc w:val="both"/>
              <w:rPr>
                <w:rFonts w:ascii="Times New Roman" w:eastAsia="Calibri" w:hAnsi="Times New Roman" w:cs="Times New Roman"/>
                <w:bCs/>
                <w:sz w:val="24"/>
                <w:szCs w:val="24"/>
              </w:rPr>
            </w:pPr>
            <w:r w:rsidRPr="00DC4740">
              <w:rPr>
                <w:rFonts w:ascii="Times New Roman" w:eastAsia="Calibri" w:hAnsi="Times New Roman" w:cs="Times New Roman"/>
                <w:bCs/>
                <w:sz w:val="24"/>
                <w:szCs w:val="24"/>
              </w:rPr>
              <w:t>-</w:t>
            </w:r>
            <w:r w:rsidR="00D833ED" w:rsidRPr="00DC4740">
              <w:rPr>
                <w:rFonts w:ascii="Times New Roman" w:eastAsia="Calibri" w:hAnsi="Times New Roman" w:cs="Times New Roman"/>
                <w:bCs/>
                <w:sz w:val="24"/>
                <w:szCs w:val="24"/>
              </w:rPr>
              <w:t xml:space="preserve"> </w:t>
            </w:r>
            <w:r w:rsidRPr="00DC4740">
              <w:rPr>
                <w:rFonts w:ascii="Times New Roman" w:eastAsia="Calibri" w:hAnsi="Times New Roman" w:cs="Times New Roman"/>
                <w:bCs/>
                <w:sz w:val="24"/>
                <w:szCs w:val="24"/>
              </w:rPr>
              <w:t xml:space="preserve">menținerea </w:t>
            </w:r>
            <w:r w:rsidR="001449D8" w:rsidRPr="00DC4740">
              <w:rPr>
                <w:rFonts w:ascii="Times New Roman" w:eastAsia="Calibri" w:hAnsi="Times New Roman" w:cs="Times New Roman"/>
                <w:bCs/>
                <w:sz w:val="24"/>
                <w:szCs w:val="24"/>
              </w:rPr>
              <w:t xml:space="preserve">în cuprinsul </w:t>
            </w:r>
            <w:r w:rsidR="001449D8" w:rsidRPr="00DC4740">
              <w:rPr>
                <w:rFonts w:ascii="Times New Roman" w:eastAsia="Calibri" w:hAnsi="Times New Roman" w:cs="Times New Roman"/>
                <w:bCs/>
                <w:i/>
                <w:sz w:val="24"/>
                <w:szCs w:val="24"/>
              </w:rPr>
              <w:t xml:space="preserve">Regulamentului </w:t>
            </w:r>
            <w:r w:rsidR="001449D8" w:rsidRPr="00DC4740">
              <w:rPr>
                <w:rFonts w:ascii="Times New Roman" w:eastAsia="Calibri" w:hAnsi="Times New Roman" w:cs="Times New Roman"/>
                <w:bCs/>
                <w:sz w:val="24"/>
                <w:szCs w:val="24"/>
              </w:rPr>
              <w:t xml:space="preserve">a </w:t>
            </w:r>
            <w:r w:rsidRPr="00DC4740">
              <w:rPr>
                <w:rFonts w:ascii="Times New Roman" w:eastAsia="Calibri" w:hAnsi="Times New Roman" w:cs="Times New Roman"/>
                <w:bCs/>
                <w:sz w:val="24"/>
                <w:szCs w:val="24"/>
              </w:rPr>
              <w:t>referirilor la extra</w:t>
            </w:r>
            <w:r w:rsidR="00B7440B" w:rsidRPr="00DC4740">
              <w:rPr>
                <w:rFonts w:ascii="Times New Roman" w:eastAsia="Calibri" w:hAnsi="Times New Roman" w:cs="Times New Roman"/>
                <w:bCs/>
                <w:sz w:val="24"/>
                <w:szCs w:val="24"/>
              </w:rPr>
              <w:t>s</w:t>
            </w:r>
            <w:r w:rsidRPr="00DC4740">
              <w:rPr>
                <w:rFonts w:ascii="Times New Roman" w:eastAsia="Calibri" w:hAnsi="Times New Roman" w:cs="Times New Roman"/>
                <w:bCs/>
                <w:sz w:val="24"/>
                <w:szCs w:val="24"/>
              </w:rPr>
              <w:t>ele de carte funciară care privesc terenurile.</w:t>
            </w:r>
          </w:p>
          <w:p w14:paraId="46A9D977" w14:textId="77777777" w:rsidR="006A2D12" w:rsidRDefault="006A2D12" w:rsidP="00855CC6">
            <w:pPr>
              <w:spacing w:after="0" w:line="276" w:lineRule="auto"/>
              <w:jc w:val="both"/>
              <w:rPr>
                <w:rFonts w:ascii="Times New Roman" w:eastAsia="Calibri" w:hAnsi="Times New Roman" w:cs="Times New Roman"/>
                <w:sz w:val="24"/>
                <w:szCs w:val="24"/>
              </w:rPr>
            </w:pPr>
          </w:p>
          <w:p w14:paraId="5D14C0D1" w14:textId="77777777" w:rsidR="00855CC6" w:rsidRDefault="00DC4740" w:rsidP="00855CC6">
            <w:pPr>
              <w:tabs>
                <w:tab w:val="left" w:pos="284"/>
              </w:tabs>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Totodată</w:t>
            </w:r>
            <w:r w:rsidR="00B7132D">
              <w:rPr>
                <w:rFonts w:ascii="Times New Roman" w:eastAsia="Calibri" w:hAnsi="Times New Roman" w:cs="Times New Roman"/>
                <w:sz w:val="24"/>
                <w:szCs w:val="24"/>
              </w:rPr>
              <w:t>, prin proiectul de ordin se are în vedere</w:t>
            </w:r>
            <w:r w:rsidR="00855CC6">
              <w:rPr>
                <w:rFonts w:ascii="Times New Roman" w:eastAsia="Calibri" w:hAnsi="Times New Roman" w:cs="Times New Roman"/>
                <w:sz w:val="24"/>
                <w:szCs w:val="24"/>
              </w:rPr>
              <w:t>:</w:t>
            </w:r>
          </w:p>
          <w:p w14:paraId="45C7779C" w14:textId="2F523C55" w:rsidR="00855CC6" w:rsidRDefault="00DC4740" w:rsidP="00855CC6">
            <w:pPr>
              <w:pStyle w:val="ListParagraph"/>
              <w:numPr>
                <w:ilvl w:val="0"/>
                <w:numId w:val="5"/>
              </w:numPr>
              <w:tabs>
                <w:tab w:val="left" w:pos="284"/>
              </w:tabs>
              <w:spacing w:line="276" w:lineRule="auto"/>
              <w:jc w:val="both"/>
              <w:rPr>
                <w:rFonts w:ascii="Times New Roman" w:eastAsia="Calibri" w:hAnsi="Times New Roman" w:cs="Times New Roman"/>
                <w:sz w:val="24"/>
                <w:szCs w:val="24"/>
              </w:rPr>
            </w:pPr>
            <w:r w:rsidRPr="00855CC6">
              <w:rPr>
                <w:rFonts w:ascii="Times New Roman" w:eastAsia="Calibri" w:hAnsi="Times New Roman" w:cs="Times New Roman"/>
                <w:sz w:val="24"/>
                <w:szCs w:val="24"/>
              </w:rPr>
              <w:t xml:space="preserve">instituirea unei norme privind </w:t>
            </w:r>
            <w:r w:rsidR="00855CC6" w:rsidRPr="00855CC6">
              <w:rPr>
                <w:rFonts w:ascii="Times New Roman" w:eastAsia="Calibri" w:hAnsi="Times New Roman" w:cs="Times New Roman"/>
                <w:sz w:val="24"/>
                <w:szCs w:val="24"/>
              </w:rPr>
              <w:t xml:space="preserve">neemiterea de către ANRE a </w:t>
            </w:r>
            <w:proofErr w:type="spellStart"/>
            <w:r w:rsidR="00855CC6" w:rsidRPr="00855CC6">
              <w:rPr>
                <w:rFonts w:ascii="Times New Roman" w:eastAsia="Times New Roman" w:hAnsi="Times New Roman" w:cs="Times New Roman"/>
                <w:sz w:val="24"/>
                <w:szCs w:val="24"/>
                <w:lang w:val="en-US"/>
              </w:rPr>
              <w:t>decizi</w:t>
            </w:r>
            <w:r w:rsidR="00855CC6" w:rsidRPr="00855CC6">
              <w:rPr>
                <w:rFonts w:ascii="Times New Roman" w:eastAsia="Times New Roman" w:hAnsi="Times New Roman" w:cs="Times New Roman"/>
                <w:sz w:val="24"/>
                <w:szCs w:val="24"/>
                <w:lang w:val="en-US"/>
              </w:rPr>
              <w:t>ei</w:t>
            </w:r>
            <w:proofErr w:type="spellEnd"/>
            <w:r w:rsidR="00855CC6" w:rsidRPr="00855CC6">
              <w:rPr>
                <w:rFonts w:ascii="Times New Roman" w:eastAsia="Times New Roman" w:hAnsi="Times New Roman" w:cs="Times New Roman"/>
                <w:sz w:val="24"/>
                <w:szCs w:val="24"/>
                <w:lang w:val="en-US"/>
              </w:rPr>
              <w:t xml:space="preserve"> de </w:t>
            </w:r>
            <w:proofErr w:type="spellStart"/>
            <w:r w:rsidR="00855CC6" w:rsidRPr="00855CC6">
              <w:rPr>
                <w:rFonts w:ascii="Times New Roman" w:eastAsia="Times New Roman" w:hAnsi="Times New Roman" w:cs="Times New Roman"/>
                <w:sz w:val="24"/>
                <w:szCs w:val="24"/>
                <w:lang w:val="en-US"/>
              </w:rPr>
              <w:t>acordare</w:t>
            </w:r>
            <w:proofErr w:type="spellEnd"/>
            <w:r w:rsidR="00855CC6" w:rsidRPr="00855CC6">
              <w:rPr>
                <w:rFonts w:ascii="Times New Roman" w:eastAsia="Times New Roman" w:hAnsi="Times New Roman" w:cs="Times New Roman"/>
                <w:sz w:val="24"/>
                <w:szCs w:val="24"/>
                <w:lang w:val="en-US"/>
              </w:rPr>
              <w:t>/</w:t>
            </w:r>
            <w:proofErr w:type="spellStart"/>
            <w:r w:rsidR="00855CC6" w:rsidRPr="00855CC6">
              <w:rPr>
                <w:rFonts w:ascii="Times New Roman" w:eastAsia="Times New Roman" w:hAnsi="Times New Roman" w:cs="Times New Roman"/>
                <w:sz w:val="24"/>
                <w:szCs w:val="24"/>
                <w:lang w:val="en-US"/>
              </w:rPr>
              <w:t>modificare</w:t>
            </w:r>
            <w:proofErr w:type="spellEnd"/>
            <w:r w:rsidR="00855CC6" w:rsidRPr="00855CC6">
              <w:rPr>
                <w:rFonts w:ascii="Times New Roman" w:eastAsia="Times New Roman" w:hAnsi="Times New Roman" w:cs="Times New Roman"/>
                <w:sz w:val="24"/>
                <w:szCs w:val="24"/>
                <w:lang w:val="en-US"/>
              </w:rPr>
              <w:t xml:space="preserve"> a </w:t>
            </w:r>
            <w:proofErr w:type="spellStart"/>
            <w:r w:rsidR="00855CC6" w:rsidRPr="00855CC6">
              <w:rPr>
                <w:rFonts w:ascii="Times New Roman" w:eastAsia="Times New Roman" w:hAnsi="Times New Roman" w:cs="Times New Roman"/>
                <w:sz w:val="24"/>
                <w:szCs w:val="24"/>
                <w:lang w:val="en-US"/>
              </w:rPr>
              <w:t>licenței</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operatori</w:t>
            </w:r>
            <w:r w:rsidR="00855CC6" w:rsidRPr="00855CC6">
              <w:rPr>
                <w:rFonts w:ascii="Times New Roman" w:eastAsia="Times New Roman" w:hAnsi="Times New Roman" w:cs="Times New Roman"/>
                <w:sz w:val="24"/>
                <w:szCs w:val="24"/>
                <w:lang w:val="en-US"/>
              </w:rPr>
              <w:t>lor</w:t>
            </w:r>
            <w:proofErr w:type="spellEnd"/>
            <w:r w:rsidR="00855CC6" w:rsidRPr="00855CC6">
              <w:rPr>
                <w:rFonts w:ascii="Times New Roman" w:eastAsia="Times New Roman" w:hAnsi="Times New Roman" w:cs="Times New Roman"/>
                <w:sz w:val="24"/>
                <w:szCs w:val="24"/>
                <w:lang w:val="en-US"/>
              </w:rPr>
              <w:t xml:space="preserve"> economici care </w:t>
            </w:r>
            <w:proofErr w:type="spellStart"/>
            <w:r w:rsidR="00855CC6" w:rsidRPr="00855CC6">
              <w:rPr>
                <w:rFonts w:ascii="Times New Roman" w:eastAsia="Times New Roman" w:hAnsi="Times New Roman" w:cs="Times New Roman"/>
                <w:sz w:val="24"/>
                <w:szCs w:val="24"/>
                <w:lang w:val="en-US"/>
              </w:rPr>
              <w:t>dețin</w:t>
            </w:r>
            <w:proofErr w:type="spellEnd"/>
            <w:r w:rsidR="00855CC6" w:rsidRPr="00855CC6">
              <w:rPr>
                <w:rFonts w:ascii="Times New Roman" w:eastAsia="Times New Roman" w:hAnsi="Times New Roman" w:cs="Times New Roman"/>
                <w:sz w:val="24"/>
                <w:szCs w:val="24"/>
                <w:lang w:val="en-US"/>
              </w:rPr>
              <w:t xml:space="preserve"> cu </w:t>
            </w:r>
            <w:proofErr w:type="spellStart"/>
            <w:r w:rsidR="00855CC6" w:rsidRPr="00855CC6">
              <w:rPr>
                <w:rFonts w:ascii="Times New Roman" w:eastAsia="Times New Roman" w:hAnsi="Times New Roman" w:cs="Times New Roman"/>
                <w:sz w:val="24"/>
                <w:szCs w:val="24"/>
                <w:lang w:val="en-US"/>
              </w:rPr>
              <w:t>orice</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titlu</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capacitățile</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energetice</w:t>
            </w:r>
            <w:proofErr w:type="spellEnd"/>
            <w:r w:rsidR="00855CC6" w:rsidRPr="00855CC6">
              <w:rPr>
                <w:rFonts w:ascii="Times New Roman" w:eastAsia="Times New Roman" w:hAnsi="Times New Roman" w:cs="Times New Roman"/>
                <w:sz w:val="24"/>
                <w:szCs w:val="24"/>
                <w:lang w:val="en-US"/>
              </w:rPr>
              <w:t xml:space="preserve"> respective </w:t>
            </w:r>
            <w:proofErr w:type="spellStart"/>
            <w:r w:rsidR="00855CC6" w:rsidRPr="00855CC6">
              <w:rPr>
                <w:rFonts w:ascii="Times New Roman" w:eastAsia="Times New Roman" w:hAnsi="Times New Roman" w:cs="Times New Roman"/>
                <w:sz w:val="24"/>
                <w:szCs w:val="24"/>
                <w:lang w:val="en-US"/>
              </w:rPr>
              <w:t>fără</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să</w:t>
            </w:r>
            <w:proofErr w:type="spellEnd"/>
            <w:r w:rsidR="00855CC6" w:rsidRPr="00855CC6">
              <w:rPr>
                <w:rFonts w:ascii="Times New Roman" w:eastAsia="Times New Roman" w:hAnsi="Times New Roman" w:cs="Times New Roman"/>
                <w:sz w:val="24"/>
                <w:szCs w:val="24"/>
                <w:lang w:val="en-US"/>
              </w:rPr>
              <w:t xml:space="preserve"> fi </w:t>
            </w:r>
            <w:proofErr w:type="spellStart"/>
            <w:r w:rsidR="00855CC6" w:rsidRPr="00855CC6">
              <w:rPr>
                <w:rFonts w:ascii="Times New Roman" w:eastAsia="Times New Roman" w:hAnsi="Times New Roman" w:cs="Times New Roman"/>
                <w:sz w:val="24"/>
                <w:szCs w:val="24"/>
                <w:lang w:val="en-US"/>
              </w:rPr>
              <w:t>obținut</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autorizația</w:t>
            </w:r>
            <w:proofErr w:type="spellEnd"/>
            <w:r w:rsidR="00855CC6" w:rsidRPr="00855CC6">
              <w:rPr>
                <w:rFonts w:ascii="Times New Roman" w:eastAsia="Times New Roman" w:hAnsi="Times New Roman" w:cs="Times New Roman"/>
                <w:sz w:val="24"/>
                <w:szCs w:val="24"/>
                <w:lang w:val="en-US"/>
              </w:rPr>
              <w:t xml:space="preserve"> de </w:t>
            </w:r>
            <w:proofErr w:type="spellStart"/>
            <w:r w:rsidR="00855CC6" w:rsidRPr="00855CC6">
              <w:rPr>
                <w:rFonts w:ascii="Times New Roman" w:eastAsia="Times New Roman" w:hAnsi="Times New Roman" w:cs="Times New Roman"/>
                <w:sz w:val="24"/>
                <w:szCs w:val="24"/>
                <w:lang w:val="en-US"/>
              </w:rPr>
              <w:t>înființare</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prevăzută</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în</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condițiile</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legii</w:t>
            </w:r>
            <w:proofErr w:type="spellEnd"/>
            <w:r w:rsidR="00855CC6" w:rsidRPr="00855CC6">
              <w:rPr>
                <w:rFonts w:ascii="Times New Roman" w:eastAsia="Times New Roman" w:hAnsi="Times New Roman" w:cs="Times New Roman"/>
                <w:sz w:val="24"/>
                <w:szCs w:val="24"/>
                <w:lang w:val="en-US"/>
              </w:rPr>
              <w:t>,</w:t>
            </w:r>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pentru</w:t>
            </w:r>
            <w:proofErr w:type="spellEnd"/>
            <w:r w:rsidR="00855CC6" w:rsidRPr="00855CC6">
              <w:rPr>
                <w:rFonts w:ascii="Times New Roman" w:eastAsia="Times New Roman" w:hAnsi="Times New Roman" w:cs="Times New Roman"/>
                <w:sz w:val="24"/>
                <w:szCs w:val="24"/>
                <w:lang w:val="en-US"/>
              </w:rPr>
              <w:t xml:space="preserve"> o </w:t>
            </w:r>
            <w:proofErr w:type="spellStart"/>
            <w:r w:rsidR="00855CC6" w:rsidRPr="00855CC6">
              <w:rPr>
                <w:rFonts w:ascii="Times New Roman" w:eastAsia="Times New Roman" w:hAnsi="Times New Roman" w:cs="Times New Roman"/>
                <w:sz w:val="24"/>
                <w:szCs w:val="24"/>
                <w:lang w:val="en-US"/>
              </w:rPr>
              <w:t>perioadă</w:t>
            </w:r>
            <w:proofErr w:type="spellEnd"/>
            <w:r w:rsidR="00855CC6" w:rsidRPr="00855CC6">
              <w:rPr>
                <w:rFonts w:ascii="Times New Roman" w:eastAsia="Times New Roman" w:hAnsi="Times New Roman" w:cs="Times New Roman"/>
                <w:sz w:val="24"/>
                <w:szCs w:val="24"/>
                <w:lang w:val="en-US"/>
              </w:rPr>
              <w:t xml:space="preserve"> de 6 </w:t>
            </w:r>
            <w:proofErr w:type="spellStart"/>
            <w:r w:rsidR="00855CC6" w:rsidRPr="00855CC6">
              <w:rPr>
                <w:rFonts w:ascii="Times New Roman" w:eastAsia="Times New Roman" w:hAnsi="Times New Roman" w:cs="Times New Roman"/>
                <w:sz w:val="24"/>
                <w:szCs w:val="24"/>
                <w:lang w:val="en-US"/>
              </w:rPr>
              <w:t>luni</w:t>
            </w:r>
            <w:proofErr w:type="spellEnd"/>
            <w:r w:rsidR="00855CC6" w:rsidRPr="00855CC6">
              <w:rPr>
                <w:rFonts w:ascii="Times New Roman" w:eastAsia="Times New Roman" w:hAnsi="Times New Roman" w:cs="Times New Roman"/>
                <w:sz w:val="24"/>
                <w:szCs w:val="24"/>
                <w:lang w:val="en-US"/>
              </w:rPr>
              <w:t xml:space="preserve"> de la data </w:t>
            </w:r>
            <w:proofErr w:type="spellStart"/>
            <w:r w:rsidRPr="00855CC6">
              <w:rPr>
                <w:rFonts w:ascii="Times New Roman" w:eastAsia="Times New Roman" w:hAnsi="Times New Roman" w:cs="Times New Roman"/>
                <w:sz w:val="24"/>
                <w:szCs w:val="24"/>
                <w:lang w:val="en-US"/>
              </w:rPr>
              <w:t>depunerii</w:t>
            </w:r>
            <w:proofErr w:type="spellEnd"/>
            <w:r w:rsidRPr="00855CC6">
              <w:rPr>
                <w:rFonts w:ascii="Times New Roman" w:eastAsia="Times New Roman" w:hAnsi="Times New Roman" w:cs="Times New Roman"/>
                <w:sz w:val="24"/>
                <w:szCs w:val="24"/>
                <w:lang w:val="en-US"/>
              </w:rPr>
              <w:t xml:space="preserve"> </w:t>
            </w:r>
            <w:proofErr w:type="spellStart"/>
            <w:r w:rsidRPr="00855CC6">
              <w:rPr>
                <w:rFonts w:ascii="Times New Roman" w:eastAsia="Times New Roman" w:hAnsi="Times New Roman" w:cs="Times New Roman"/>
                <w:sz w:val="24"/>
                <w:szCs w:val="24"/>
                <w:lang w:val="en-US"/>
              </w:rPr>
              <w:t>unei</w:t>
            </w:r>
            <w:proofErr w:type="spellEnd"/>
            <w:r w:rsidRPr="00855CC6">
              <w:rPr>
                <w:rFonts w:ascii="Times New Roman" w:eastAsia="Times New Roman" w:hAnsi="Times New Roman" w:cs="Times New Roman"/>
                <w:sz w:val="24"/>
                <w:szCs w:val="24"/>
                <w:lang w:val="en-US"/>
              </w:rPr>
              <w:t xml:space="preserve"> </w:t>
            </w:r>
            <w:proofErr w:type="spellStart"/>
            <w:r w:rsidRPr="00855CC6">
              <w:rPr>
                <w:rFonts w:ascii="Times New Roman" w:eastAsia="Times New Roman" w:hAnsi="Times New Roman" w:cs="Times New Roman"/>
                <w:sz w:val="24"/>
                <w:szCs w:val="24"/>
                <w:lang w:val="en-US"/>
              </w:rPr>
              <w:t>cereri</w:t>
            </w:r>
            <w:proofErr w:type="spellEnd"/>
            <w:r w:rsidRPr="00855CC6">
              <w:rPr>
                <w:rFonts w:ascii="Times New Roman" w:eastAsia="Times New Roman" w:hAnsi="Times New Roman" w:cs="Times New Roman"/>
                <w:sz w:val="24"/>
                <w:szCs w:val="24"/>
                <w:lang w:val="en-US"/>
              </w:rPr>
              <w:t xml:space="preserve"> de </w:t>
            </w:r>
            <w:proofErr w:type="spellStart"/>
            <w:r w:rsidRPr="00855CC6">
              <w:rPr>
                <w:rFonts w:ascii="Times New Roman" w:eastAsia="Times New Roman" w:hAnsi="Times New Roman" w:cs="Times New Roman"/>
                <w:sz w:val="24"/>
                <w:szCs w:val="24"/>
                <w:lang w:val="en-US"/>
              </w:rPr>
              <w:t>acordare</w:t>
            </w:r>
            <w:proofErr w:type="spellEnd"/>
            <w:r w:rsidRPr="00855CC6">
              <w:rPr>
                <w:rFonts w:ascii="Times New Roman" w:eastAsia="Times New Roman" w:hAnsi="Times New Roman" w:cs="Times New Roman"/>
                <w:sz w:val="24"/>
                <w:szCs w:val="24"/>
                <w:lang w:val="en-US"/>
              </w:rPr>
              <w:t xml:space="preserve"> </w:t>
            </w:r>
            <w:proofErr w:type="spellStart"/>
            <w:r w:rsidRPr="00855CC6">
              <w:rPr>
                <w:rFonts w:ascii="Times New Roman" w:eastAsia="Times New Roman" w:hAnsi="Times New Roman" w:cs="Times New Roman"/>
                <w:sz w:val="24"/>
                <w:szCs w:val="24"/>
                <w:lang w:val="en-US"/>
              </w:rPr>
              <w:t>sau</w:t>
            </w:r>
            <w:proofErr w:type="spellEnd"/>
            <w:r w:rsidRPr="00855CC6">
              <w:rPr>
                <w:rFonts w:ascii="Times New Roman" w:eastAsia="Times New Roman" w:hAnsi="Times New Roman" w:cs="Times New Roman"/>
                <w:sz w:val="24"/>
                <w:szCs w:val="24"/>
                <w:lang w:val="en-US"/>
              </w:rPr>
              <w:t xml:space="preserve"> </w:t>
            </w:r>
            <w:proofErr w:type="spellStart"/>
            <w:r w:rsidRPr="00855CC6">
              <w:rPr>
                <w:rFonts w:ascii="Times New Roman" w:eastAsia="Times New Roman" w:hAnsi="Times New Roman" w:cs="Times New Roman"/>
                <w:sz w:val="24"/>
                <w:szCs w:val="24"/>
                <w:lang w:val="en-US"/>
              </w:rPr>
              <w:t>modificare</w:t>
            </w:r>
            <w:proofErr w:type="spellEnd"/>
            <w:r w:rsidRPr="00855CC6">
              <w:rPr>
                <w:rFonts w:ascii="Times New Roman" w:eastAsia="Times New Roman" w:hAnsi="Times New Roman" w:cs="Times New Roman"/>
                <w:sz w:val="24"/>
                <w:szCs w:val="24"/>
                <w:lang w:val="en-US"/>
              </w:rPr>
              <w:t xml:space="preserve"> de </w:t>
            </w:r>
            <w:proofErr w:type="spellStart"/>
            <w:r w:rsidRPr="00855CC6">
              <w:rPr>
                <w:rFonts w:ascii="Times New Roman" w:eastAsia="Times New Roman" w:hAnsi="Times New Roman" w:cs="Times New Roman"/>
                <w:sz w:val="24"/>
                <w:szCs w:val="24"/>
                <w:lang w:val="en-US"/>
              </w:rPr>
              <w:t>licență</w:t>
            </w:r>
            <w:proofErr w:type="spellEnd"/>
            <w:r w:rsidRPr="00855CC6">
              <w:rPr>
                <w:rFonts w:ascii="Times New Roman" w:eastAsia="Times New Roman" w:hAnsi="Times New Roman" w:cs="Times New Roman"/>
                <w:sz w:val="24"/>
                <w:szCs w:val="24"/>
                <w:lang w:val="en-US"/>
              </w:rPr>
              <w:t xml:space="preserve"> </w:t>
            </w:r>
            <w:proofErr w:type="spellStart"/>
            <w:r w:rsidRPr="00855CC6">
              <w:rPr>
                <w:rFonts w:ascii="Times New Roman" w:eastAsia="Times New Roman" w:hAnsi="Times New Roman" w:cs="Times New Roman"/>
                <w:sz w:val="24"/>
                <w:szCs w:val="24"/>
                <w:lang w:val="en-US"/>
              </w:rPr>
              <w:t>prin</w:t>
            </w:r>
            <w:proofErr w:type="spellEnd"/>
            <w:r w:rsidRPr="00855CC6">
              <w:rPr>
                <w:rFonts w:ascii="Times New Roman" w:eastAsia="Times New Roman" w:hAnsi="Times New Roman" w:cs="Times New Roman"/>
                <w:sz w:val="24"/>
                <w:szCs w:val="24"/>
                <w:lang w:val="en-US"/>
              </w:rPr>
              <w:t xml:space="preserve"> </w:t>
            </w:r>
            <w:proofErr w:type="spellStart"/>
            <w:r w:rsidRPr="00855CC6">
              <w:rPr>
                <w:rFonts w:ascii="Times New Roman" w:eastAsia="Times New Roman" w:hAnsi="Times New Roman" w:cs="Times New Roman"/>
                <w:sz w:val="24"/>
                <w:szCs w:val="24"/>
                <w:lang w:val="en-US"/>
              </w:rPr>
              <w:t>includerea</w:t>
            </w:r>
            <w:proofErr w:type="spellEnd"/>
            <w:r w:rsidRPr="00855CC6">
              <w:rPr>
                <w:rFonts w:ascii="Times New Roman" w:eastAsia="Times New Roman" w:hAnsi="Times New Roman" w:cs="Times New Roman"/>
                <w:sz w:val="24"/>
                <w:szCs w:val="24"/>
                <w:lang w:val="en-US"/>
              </w:rPr>
              <w:t xml:space="preserve"> de </w:t>
            </w:r>
            <w:proofErr w:type="spellStart"/>
            <w:r w:rsidRPr="00855CC6">
              <w:rPr>
                <w:rFonts w:ascii="Times New Roman" w:eastAsia="Times New Roman" w:hAnsi="Times New Roman" w:cs="Times New Roman"/>
                <w:sz w:val="24"/>
                <w:szCs w:val="24"/>
                <w:lang w:val="en-US"/>
              </w:rPr>
              <w:t>noi</w:t>
            </w:r>
            <w:proofErr w:type="spellEnd"/>
            <w:r w:rsidRPr="00855CC6">
              <w:rPr>
                <w:rFonts w:ascii="Times New Roman" w:eastAsia="Times New Roman" w:hAnsi="Times New Roman" w:cs="Times New Roman"/>
                <w:sz w:val="24"/>
                <w:szCs w:val="24"/>
                <w:lang w:val="en-US"/>
              </w:rPr>
              <w:t xml:space="preserve"> </w:t>
            </w:r>
            <w:proofErr w:type="spellStart"/>
            <w:r w:rsidRPr="00855CC6">
              <w:rPr>
                <w:rFonts w:ascii="Times New Roman" w:eastAsia="Times New Roman" w:hAnsi="Times New Roman" w:cs="Times New Roman"/>
                <w:sz w:val="24"/>
                <w:szCs w:val="24"/>
                <w:lang w:val="en-US"/>
              </w:rPr>
              <w:t>capacități</w:t>
            </w:r>
            <w:proofErr w:type="spellEnd"/>
            <w:r w:rsidRPr="00855CC6">
              <w:rPr>
                <w:rFonts w:ascii="Times New Roman" w:eastAsia="Times New Roman" w:hAnsi="Times New Roman" w:cs="Times New Roman"/>
                <w:sz w:val="24"/>
                <w:szCs w:val="24"/>
                <w:lang w:val="en-US"/>
              </w:rPr>
              <w:t xml:space="preserve"> </w:t>
            </w:r>
            <w:proofErr w:type="spellStart"/>
            <w:r w:rsidRPr="00855CC6">
              <w:rPr>
                <w:rFonts w:ascii="Times New Roman" w:eastAsia="Times New Roman" w:hAnsi="Times New Roman" w:cs="Times New Roman"/>
                <w:sz w:val="24"/>
                <w:szCs w:val="24"/>
                <w:lang w:val="en-US"/>
              </w:rPr>
              <w:t>energetice</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Această</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măsură</w:t>
            </w:r>
            <w:proofErr w:type="spellEnd"/>
            <w:r w:rsidR="00855CC6" w:rsidRPr="00855CC6">
              <w:rPr>
                <w:rFonts w:ascii="Times New Roman" w:eastAsia="Times New Roman" w:hAnsi="Times New Roman" w:cs="Times New Roman"/>
                <w:sz w:val="24"/>
                <w:szCs w:val="24"/>
                <w:lang w:val="en-US"/>
              </w:rPr>
              <w:t xml:space="preserve"> se </w:t>
            </w:r>
            <w:proofErr w:type="spellStart"/>
            <w:r w:rsidR="00855CC6" w:rsidRPr="00855CC6">
              <w:rPr>
                <w:rFonts w:ascii="Times New Roman" w:eastAsia="Times New Roman" w:hAnsi="Times New Roman" w:cs="Times New Roman"/>
                <w:sz w:val="24"/>
                <w:szCs w:val="24"/>
                <w:lang w:val="en-US"/>
              </w:rPr>
              <w:t>impune</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în</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scopul</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eliminării</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unei</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practici</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neconforme</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prevederilor</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legale</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identificate</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în</w:t>
            </w:r>
            <w:proofErr w:type="spellEnd"/>
            <w:r w:rsidR="00855CC6" w:rsidRPr="00855CC6">
              <w:rPr>
                <w:rFonts w:ascii="Times New Roman" w:eastAsia="Times New Roman" w:hAnsi="Times New Roman" w:cs="Times New Roman"/>
                <w:sz w:val="24"/>
                <w:szCs w:val="24"/>
                <w:lang w:val="en-US"/>
              </w:rPr>
              <w:t xml:space="preserve"> </w:t>
            </w:r>
            <w:proofErr w:type="spellStart"/>
            <w:r w:rsidR="00855CC6" w:rsidRPr="00855CC6">
              <w:rPr>
                <w:rFonts w:ascii="Times New Roman" w:eastAsia="Times New Roman" w:hAnsi="Times New Roman" w:cs="Times New Roman"/>
                <w:sz w:val="24"/>
                <w:szCs w:val="24"/>
                <w:lang w:val="en-US"/>
              </w:rPr>
              <w:t>activitatea</w:t>
            </w:r>
            <w:proofErr w:type="spellEnd"/>
            <w:r w:rsidR="00855CC6" w:rsidRPr="00855CC6">
              <w:rPr>
                <w:rFonts w:ascii="Times New Roman" w:eastAsia="Times New Roman" w:hAnsi="Times New Roman" w:cs="Times New Roman"/>
                <w:sz w:val="24"/>
                <w:szCs w:val="24"/>
                <w:lang w:val="en-US"/>
              </w:rPr>
              <w:t xml:space="preserve"> de </w:t>
            </w:r>
            <w:proofErr w:type="spellStart"/>
            <w:r w:rsidR="00855CC6" w:rsidRPr="00855CC6">
              <w:rPr>
                <w:rFonts w:ascii="Times New Roman" w:eastAsia="Times New Roman" w:hAnsi="Times New Roman" w:cs="Times New Roman"/>
                <w:sz w:val="24"/>
                <w:szCs w:val="24"/>
                <w:lang w:val="en-US"/>
              </w:rPr>
              <w:t>reglementare</w:t>
            </w:r>
            <w:proofErr w:type="spellEnd"/>
            <w:r w:rsidR="00855CC6" w:rsidRPr="00855CC6">
              <w:rPr>
                <w:rFonts w:ascii="Times New Roman" w:eastAsia="Times New Roman" w:hAnsi="Times New Roman" w:cs="Times New Roman"/>
                <w:sz w:val="24"/>
                <w:szCs w:val="24"/>
                <w:lang w:val="en-US"/>
              </w:rPr>
              <w:t xml:space="preserve"> a </w:t>
            </w:r>
            <w:proofErr w:type="spellStart"/>
            <w:r w:rsidR="00855CC6" w:rsidRPr="00855CC6">
              <w:rPr>
                <w:rFonts w:ascii="Times New Roman" w:eastAsia="Times New Roman" w:hAnsi="Times New Roman" w:cs="Times New Roman"/>
                <w:sz w:val="24"/>
                <w:szCs w:val="24"/>
                <w:lang w:val="en-US"/>
              </w:rPr>
              <w:t>autorității</w:t>
            </w:r>
            <w:proofErr w:type="spellEnd"/>
            <w:r w:rsidR="00855CC6" w:rsidRPr="00855CC6">
              <w:rPr>
                <w:rFonts w:ascii="Times New Roman" w:eastAsia="Times New Roman" w:hAnsi="Times New Roman" w:cs="Times New Roman"/>
                <w:sz w:val="24"/>
                <w:szCs w:val="24"/>
                <w:lang w:val="en-US"/>
              </w:rPr>
              <w:t>.</w:t>
            </w:r>
            <w:r w:rsidR="00855CC6">
              <w:rPr>
                <w:rFonts w:ascii="Times New Roman" w:eastAsia="Calibri" w:hAnsi="Times New Roman" w:cs="Times New Roman"/>
                <w:sz w:val="24"/>
                <w:szCs w:val="24"/>
              </w:rPr>
              <w:t xml:space="preserve"> </w:t>
            </w:r>
          </w:p>
          <w:p w14:paraId="145EBD21" w14:textId="0FA39D81" w:rsidR="00B7132D" w:rsidRPr="00855CC6" w:rsidRDefault="00855CC6" w:rsidP="00A66BE5">
            <w:pPr>
              <w:pStyle w:val="ListParagraph"/>
              <w:numPr>
                <w:ilvl w:val="0"/>
                <w:numId w:val="5"/>
              </w:numPr>
              <w:tabs>
                <w:tab w:val="left" w:pos="284"/>
              </w:tabs>
              <w:spacing w:after="0" w:line="276" w:lineRule="auto"/>
              <w:jc w:val="both"/>
              <w:rPr>
                <w:rFonts w:ascii="Times New Roman" w:eastAsia="Calibri" w:hAnsi="Times New Roman" w:cs="Times New Roman"/>
                <w:sz w:val="24"/>
                <w:szCs w:val="24"/>
              </w:rPr>
            </w:pPr>
            <w:r w:rsidRPr="00855CC6">
              <w:rPr>
                <w:rFonts w:ascii="Times New Roman" w:eastAsia="Calibri" w:hAnsi="Times New Roman" w:cs="Times New Roman"/>
                <w:sz w:val="24"/>
                <w:szCs w:val="24"/>
              </w:rPr>
              <w:t>reglementarea unor obligații prin comasarea unor tipuri de documente, în situațiile în care informațiile cuprinse în aceste tipuri de documente, necesare procesului de autorizare/licențiere, pot face obiectul unui singur înscris pus la dispoziția autorității</w:t>
            </w:r>
            <w:r w:rsidRPr="00855CC6">
              <w:rPr>
                <w:rFonts w:ascii="Times New Roman" w:eastAsia="Calibri" w:hAnsi="Times New Roman" w:cs="Times New Roman"/>
                <w:sz w:val="24"/>
                <w:szCs w:val="24"/>
              </w:rPr>
              <w:t>, pentru facilitarea procesului de elaborare a documentației de către solicitanți</w:t>
            </w:r>
            <w:r>
              <w:rPr>
                <w:rFonts w:ascii="Times New Roman" w:eastAsia="Calibri" w:hAnsi="Times New Roman" w:cs="Times New Roman"/>
                <w:sz w:val="24"/>
                <w:szCs w:val="24"/>
              </w:rPr>
              <w:t>.</w:t>
            </w:r>
          </w:p>
          <w:p w14:paraId="3E93C67B" w14:textId="067E346B" w:rsidR="00B77C4F" w:rsidRPr="00E00EAC" w:rsidRDefault="00B77C4F" w:rsidP="00DC4740">
            <w:pPr>
              <w:spacing w:after="0" w:line="276" w:lineRule="auto"/>
              <w:jc w:val="both"/>
              <w:rPr>
                <w:rFonts w:ascii="Times New Roman" w:eastAsia="Times New Roman" w:hAnsi="Times New Roman" w:cs="Times New Roman"/>
                <w:sz w:val="24"/>
                <w:szCs w:val="24"/>
                <w:shd w:val="clear" w:color="auto" w:fill="FFFFFF"/>
                <w:lang w:eastAsia="ro-RO"/>
              </w:rPr>
            </w:pPr>
          </w:p>
        </w:tc>
      </w:tr>
      <w:tr w:rsidR="009C1DD7" w:rsidRPr="00E00EAC" w14:paraId="460D06B5" w14:textId="77777777" w:rsidTr="005C65D7">
        <w:trPr>
          <w:trHeight w:val="319"/>
          <w:jc w:val="center"/>
        </w:trPr>
        <w:tc>
          <w:tcPr>
            <w:tcW w:w="3698" w:type="dxa"/>
            <w:tcBorders>
              <w:top w:val="single" w:sz="4" w:space="0" w:color="auto"/>
              <w:left w:val="single" w:sz="4" w:space="0" w:color="auto"/>
              <w:bottom w:val="single" w:sz="4" w:space="0" w:color="auto"/>
              <w:right w:val="single" w:sz="4" w:space="0" w:color="auto"/>
            </w:tcBorders>
            <w:hideMark/>
          </w:tcPr>
          <w:p w14:paraId="0D4EBC48"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lastRenderedPageBreak/>
              <w:t>5.Alte informații</w:t>
            </w:r>
          </w:p>
        </w:tc>
        <w:tc>
          <w:tcPr>
            <w:tcW w:w="6737" w:type="dxa"/>
            <w:tcBorders>
              <w:top w:val="single" w:sz="4" w:space="0" w:color="auto"/>
              <w:left w:val="single" w:sz="4" w:space="0" w:color="auto"/>
              <w:bottom w:val="single" w:sz="4" w:space="0" w:color="auto"/>
              <w:right w:val="single" w:sz="4" w:space="0" w:color="auto"/>
            </w:tcBorders>
            <w:hideMark/>
          </w:tcPr>
          <w:p w14:paraId="2099C450" w14:textId="77777777" w:rsidR="009C1DD7" w:rsidRPr="00E00EAC" w:rsidRDefault="009C1DD7" w:rsidP="00073DA0">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E00EAC">
              <w:rPr>
                <w:rFonts w:ascii="Times New Roman" w:eastAsia="Times New Roman" w:hAnsi="Times New Roman" w:cs="Times New Roman"/>
                <w:bCs/>
                <w:sz w:val="24"/>
                <w:szCs w:val="24"/>
              </w:rPr>
              <w:t>Nu este cazul</w:t>
            </w:r>
          </w:p>
        </w:tc>
      </w:tr>
    </w:tbl>
    <w:p w14:paraId="7CC718D4" w14:textId="77777777" w:rsidR="008E57A7" w:rsidRPr="00E00EAC" w:rsidRDefault="008E57A7" w:rsidP="00073DA0">
      <w:pPr>
        <w:spacing w:after="0" w:line="240" w:lineRule="auto"/>
        <w:jc w:val="both"/>
        <w:rPr>
          <w:rFonts w:ascii="Times New Roman" w:eastAsia="Times New Roman" w:hAnsi="Times New Roman" w:cs="Times New Roman"/>
          <w:b/>
          <w:sz w:val="24"/>
          <w:szCs w:val="24"/>
        </w:rPr>
      </w:pPr>
    </w:p>
    <w:p w14:paraId="7D107D5D" w14:textId="77777777" w:rsidR="00CA2605" w:rsidRPr="00E00EAC" w:rsidRDefault="00CA2605" w:rsidP="00073DA0">
      <w:pPr>
        <w:spacing w:after="0" w:line="240" w:lineRule="auto"/>
        <w:jc w:val="both"/>
        <w:rPr>
          <w:rFonts w:ascii="Times New Roman" w:eastAsia="Times New Roman" w:hAnsi="Times New Roman" w:cs="Times New Roman"/>
          <w:b/>
          <w:sz w:val="24"/>
          <w:szCs w:val="24"/>
        </w:rPr>
      </w:pPr>
    </w:p>
    <w:p w14:paraId="7CA65ED4" w14:textId="77777777" w:rsidR="009C1DD7" w:rsidRPr="00E00EAC" w:rsidRDefault="009C1DD7" w:rsidP="00073DA0">
      <w:pPr>
        <w:spacing w:after="0" w:line="240" w:lineRule="auto"/>
        <w:jc w:val="both"/>
        <w:rPr>
          <w:rFonts w:ascii="Times New Roman" w:eastAsia="Times New Roman" w:hAnsi="Times New Roman" w:cs="Times New Roman"/>
          <w:b/>
          <w:sz w:val="24"/>
          <w:szCs w:val="24"/>
        </w:rPr>
      </w:pPr>
      <w:r w:rsidRPr="00E00EAC">
        <w:rPr>
          <w:rFonts w:ascii="Times New Roman" w:eastAsia="Times New Roman" w:hAnsi="Times New Roman" w:cs="Times New Roman"/>
          <w:b/>
          <w:sz w:val="24"/>
          <w:szCs w:val="24"/>
        </w:rPr>
        <w:t>Secțiunea a 3-a – Mențiuni privind impactul socio-economic preconizat al proiectului de reglementare</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3544"/>
      </w:tblGrid>
      <w:tr w:rsidR="009C1DD7" w:rsidRPr="00E00EAC" w14:paraId="0ECD403A" w14:textId="77777777" w:rsidTr="00B61792">
        <w:trPr>
          <w:trHeight w:val="431"/>
        </w:trPr>
        <w:tc>
          <w:tcPr>
            <w:tcW w:w="6804" w:type="dxa"/>
            <w:tcBorders>
              <w:top w:val="single" w:sz="4" w:space="0" w:color="auto"/>
              <w:left w:val="single" w:sz="4" w:space="0" w:color="auto"/>
              <w:bottom w:val="single" w:sz="4" w:space="0" w:color="auto"/>
              <w:right w:val="single" w:sz="4" w:space="0" w:color="auto"/>
            </w:tcBorders>
            <w:hideMark/>
          </w:tcPr>
          <w:p w14:paraId="1590E993"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1.Impactul macroeconomic</w:t>
            </w:r>
          </w:p>
          <w:p w14:paraId="735D57EF"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a) impactul asupra pieței de energie în ansamblul ei</w:t>
            </w:r>
          </w:p>
          <w:p w14:paraId="5F035A1E"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b) impactul asupra operatorilor economici</w:t>
            </w:r>
          </w:p>
          <w:p w14:paraId="1EA51920"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c) impactul asupra consumatorilor/</w:t>
            </w:r>
          </w:p>
          <w:p w14:paraId="3EC1AD80"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clienților finali (variații de preț sau altele asemenea)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729EF47" w14:textId="77777777" w:rsidR="009C1DD7" w:rsidRPr="00E00EAC" w:rsidRDefault="001E56DF"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N</w:t>
            </w:r>
            <w:r w:rsidR="009C1DD7" w:rsidRPr="00E00EAC">
              <w:rPr>
                <w:rFonts w:ascii="Times New Roman" w:eastAsia="Times New Roman" w:hAnsi="Times New Roman" w:cs="Times New Roman"/>
                <w:sz w:val="24"/>
                <w:szCs w:val="24"/>
              </w:rPr>
              <w:t>u este cazul</w:t>
            </w:r>
          </w:p>
        </w:tc>
      </w:tr>
      <w:tr w:rsidR="009C1DD7" w:rsidRPr="00E00EAC" w14:paraId="426BC282" w14:textId="77777777" w:rsidTr="00B61792">
        <w:trPr>
          <w:trHeight w:val="418"/>
        </w:trPr>
        <w:tc>
          <w:tcPr>
            <w:tcW w:w="6804" w:type="dxa"/>
            <w:tcBorders>
              <w:top w:val="single" w:sz="4" w:space="0" w:color="auto"/>
              <w:left w:val="single" w:sz="4" w:space="0" w:color="auto"/>
              <w:bottom w:val="single" w:sz="4" w:space="0" w:color="auto"/>
              <w:right w:val="single" w:sz="4" w:space="0" w:color="auto"/>
            </w:tcBorders>
            <w:hideMark/>
          </w:tcPr>
          <w:p w14:paraId="7325A4D8"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2. Impactul asupra mediului concurențial și domeniului ajutoarelor de stat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631E005" w14:textId="77777777" w:rsidR="009C1DD7" w:rsidRPr="00E00EAC" w:rsidRDefault="009C1DD7" w:rsidP="00073DA0">
            <w:pPr>
              <w:spacing w:before="120" w:after="0" w:line="240" w:lineRule="auto"/>
              <w:contextualSpacing/>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Nu este cazul.</w:t>
            </w:r>
          </w:p>
        </w:tc>
      </w:tr>
      <w:tr w:rsidR="009C1DD7" w:rsidRPr="00E00EAC" w14:paraId="2765C6A6" w14:textId="77777777" w:rsidTr="00B61792">
        <w:trPr>
          <w:trHeight w:val="692"/>
        </w:trPr>
        <w:tc>
          <w:tcPr>
            <w:tcW w:w="6804" w:type="dxa"/>
            <w:tcBorders>
              <w:top w:val="single" w:sz="4" w:space="0" w:color="auto"/>
              <w:left w:val="single" w:sz="4" w:space="0" w:color="auto"/>
              <w:bottom w:val="single" w:sz="4" w:space="0" w:color="auto"/>
              <w:right w:val="single" w:sz="4" w:space="0" w:color="auto"/>
            </w:tcBorders>
            <w:hideMark/>
          </w:tcPr>
          <w:p w14:paraId="3B11D2E3"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3. Impact asupra mediului de afaceri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5D42A41" w14:textId="77777777" w:rsidR="009C1DD7" w:rsidRPr="00E00EAC" w:rsidRDefault="009C1DD7" w:rsidP="00073DA0">
            <w:pPr>
              <w:spacing w:before="120" w:after="0" w:line="240" w:lineRule="auto"/>
              <w:contextualSpacing/>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Nu este cazul.</w:t>
            </w:r>
          </w:p>
        </w:tc>
      </w:tr>
      <w:tr w:rsidR="009C1DD7" w:rsidRPr="00E00EAC" w14:paraId="1BD677F9" w14:textId="77777777" w:rsidTr="00B61792">
        <w:tc>
          <w:tcPr>
            <w:tcW w:w="6804" w:type="dxa"/>
            <w:tcBorders>
              <w:top w:val="single" w:sz="4" w:space="0" w:color="auto"/>
              <w:left w:val="single" w:sz="4" w:space="0" w:color="auto"/>
              <w:bottom w:val="single" w:sz="4" w:space="0" w:color="auto"/>
              <w:right w:val="single" w:sz="4" w:space="0" w:color="auto"/>
            </w:tcBorders>
            <w:hideMark/>
          </w:tcPr>
          <w:p w14:paraId="06828947"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4. Implicații sociale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8D91A65"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Nu este cazul.</w:t>
            </w:r>
          </w:p>
        </w:tc>
      </w:tr>
      <w:tr w:rsidR="009C1DD7" w:rsidRPr="00E00EAC" w14:paraId="015F1DCF" w14:textId="77777777" w:rsidTr="00B61792">
        <w:tc>
          <w:tcPr>
            <w:tcW w:w="6804" w:type="dxa"/>
            <w:tcBorders>
              <w:top w:val="single" w:sz="4" w:space="0" w:color="auto"/>
              <w:left w:val="single" w:sz="4" w:space="0" w:color="auto"/>
              <w:bottom w:val="single" w:sz="4" w:space="0" w:color="auto"/>
              <w:right w:val="single" w:sz="4" w:space="0" w:color="auto"/>
            </w:tcBorders>
            <w:hideMark/>
          </w:tcPr>
          <w:p w14:paraId="0DC558C9"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5. Impact asupra mediului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6EBDBE0"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Nu este cazul.</w:t>
            </w:r>
          </w:p>
        </w:tc>
      </w:tr>
      <w:tr w:rsidR="009C1DD7" w:rsidRPr="00E00EAC" w14:paraId="7E70F273" w14:textId="77777777" w:rsidTr="00B61792">
        <w:tc>
          <w:tcPr>
            <w:tcW w:w="6804" w:type="dxa"/>
            <w:tcBorders>
              <w:top w:val="single" w:sz="4" w:space="0" w:color="auto"/>
              <w:left w:val="single" w:sz="4" w:space="0" w:color="auto"/>
              <w:bottom w:val="single" w:sz="4" w:space="0" w:color="auto"/>
              <w:right w:val="single" w:sz="4" w:space="0" w:color="auto"/>
            </w:tcBorders>
            <w:hideMark/>
          </w:tcPr>
          <w:p w14:paraId="39074439"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6. Alte informații</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6D1171F" w14:textId="77777777" w:rsidR="009C1DD7" w:rsidRPr="00E00EAC" w:rsidRDefault="009C1DD7" w:rsidP="00073DA0">
            <w:pPr>
              <w:spacing w:after="0" w:line="240" w:lineRule="auto"/>
              <w:jc w:val="both"/>
              <w:rPr>
                <w:rFonts w:ascii="Times New Roman" w:eastAsia="Times New Roman" w:hAnsi="Times New Roman" w:cs="Times New Roman"/>
                <w:sz w:val="24"/>
                <w:szCs w:val="24"/>
              </w:rPr>
            </w:pPr>
            <w:r w:rsidRPr="00E00EAC">
              <w:rPr>
                <w:rFonts w:ascii="Times New Roman" w:eastAsia="Times New Roman" w:hAnsi="Times New Roman" w:cs="Times New Roman"/>
                <w:sz w:val="24"/>
                <w:szCs w:val="24"/>
              </w:rPr>
              <w:t>Nu este cazul.</w:t>
            </w:r>
          </w:p>
        </w:tc>
      </w:tr>
    </w:tbl>
    <w:p w14:paraId="4E121F16" w14:textId="22AAE037" w:rsidR="001268CA" w:rsidRPr="00E00EAC" w:rsidRDefault="001268CA" w:rsidP="001268CA">
      <w:pPr>
        <w:spacing w:after="0" w:line="240" w:lineRule="auto"/>
        <w:jc w:val="both"/>
        <w:rPr>
          <w:rFonts w:ascii="Times New Roman" w:eastAsia="Times New Roman" w:hAnsi="Times New Roman" w:cs="Times New Roman"/>
          <w:sz w:val="24"/>
          <w:szCs w:val="24"/>
        </w:rPr>
      </w:pPr>
    </w:p>
    <w:p w14:paraId="757456B5" w14:textId="7BB69161" w:rsidR="00504A0B" w:rsidRDefault="00504A0B" w:rsidP="00504A0B">
      <w:pPr>
        <w:spacing w:after="0" w:line="276" w:lineRule="auto"/>
        <w:ind w:left="-540" w:right="-468"/>
        <w:jc w:val="both"/>
        <w:rPr>
          <w:rFonts w:ascii="Times New Roman" w:eastAsia="Times New Roman" w:hAnsi="Times New Roman" w:cs="Times New Roman"/>
          <w:sz w:val="24"/>
          <w:szCs w:val="24"/>
        </w:rPr>
      </w:pPr>
      <w:r w:rsidRPr="00504A0B">
        <w:rPr>
          <w:rFonts w:ascii="Times New Roman" w:eastAsia="Times New Roman" w:hAnsi="Times New Roman" w:cs="Times New Roman"/>
          <w:sz w:val="24"/>
          <w:szCs w:val="24"/>
        </w:rPr>
        <w:t xml:space="preserve">Luând în considerare cele menționate în antecedență și dispozițiile art. 6 alin. (3) coroborate cu cele ale art. 30 alin. (1) lit. c) și alin. (2) din Legea nr. 24/2000 privind normele de tehnică legislativă pentru elaborarea actelor normative, republicată, cu modificările și completările ulterioare, vă supunem spre analiză și aprobare, în vederea publicării în Monitorul Oficial al României, Partea I, proiectul de ordin intitulat </w:t>
      </w:r>
      <w:r w:rsidRPr="00545983">
        <w:rPr>
          <w:rFonts w:ascii="Times New Roman" w:eastAsia="Times New Roman" w:hAnsi="Times New Roman" w:cs="Times New Roman"/>
          <w:i/>
          <w:sz w:val="24"/>
          <w:szCs w:val="24"/>
        </w:rPr>
        <w:t>„</w:t>
      </w:r>
      <w:r w:rsidR="00545983" w:rsidRPr="00545983">
        <w:rPr>
          <w:rFonts w:ascii="Times New Roman" w:eastAsia="Times New Roman" w:hAnsi="Times New Roman" w:cs="Times New Roman"/>
          <w:i/>
          <w:sz w:val="24"/>
          <w:szCs w:val="24"/>
        </w:rPr>
        <w:t>Ordin privind modificarea Regulamentului pentru acordarea licenţelor şi autorizaţiilor în sectorul energiei electrice</w:t>
      </w:r>
      <w:r w:rsidRPr="00545983">
        <w:rPr>
          <w:rFonts w:ascii="Times New Roman" w:eastAsia="Times New Roman" w:hAnsi="Times New Roman" w:cs="Times New Roman"/>
          <w:i/>
          <w:sz w:val="24"/>
          <w:szCs w:val="24"/>
        </w:rPr>
        <w:t>”.</w:t>
      </w:r>
    </w:p>
    <w:p w14:paraId="69B1A170" w14:textId="25F431B9" w:rsidR="00840C37" w:rsidRPr="002B5FAB" w:rsidRDefault="00840C37" w:rsidP="002B5FAB">
      <w:pPr>
        <w:spacing w:after="0" w:line="276" w:lineRule="auto"/>
        <w:ind w:left="-540" w:right="-468"/>
        <w:jc w:val="both"/>
        <w:rPr>
          <w:rFonts w:ascii="Times New Roman" w:eastAsia="Times New Roman" w:hAnsi="Times New Roman" w:cs="Times New Roman"/>
          <w:b/>
          <w:sz w:val="24"/>
          <w:szCs w:val="24"/>
        </w:rPr>
      </w:pPr>
    </w:p>
    <w:sectPr w:rsidR="00840C37" w:rsidRPr="002B5FAB" w:rsidSect="00D50CA1">
      <w:footerReference w:type="default" r:id="rId11"/>
      <w:pgSz w:w="11906" w:h="16838"/>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9124" w14:textId="77777777" w:rsidR="0054230A" w:rsidRDefault="0054230A" w:rsidP="00374A58">
      <w:pPr>
        <w:spacing w:after="0" w:line="240" w:lineRule="auto"/>
      </w:pPr>
      <w:r>
        <w:separator/>
      </w:r>
    </w:p>
  </w:endnote>
  <w:endnote w:type="continuationSeparator" w:id="0">
    <w:p w14:paraId="592A57AD" w14:textId="77777777" w:rsidR="0054230A" w:rsidRDefault="0054230A" w:rsidP="0037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592149"/>
      <w:docPartObj>
        <w:docPartGallery w:val="Page Numbers (Bottom of Page)"/>
        <w:docPartUnique/>
      </w:docPartObj>
    </w:sdtPr>
    <w:sdtEndPr>
      <w:rPr>
        <w:noProof/>
      </w:rPr>
    </w:sdtEndPr>
    <w:sdtContent>
      <w:p w14:paraId="77D7ACD9" w14:textId="77777777" w:rsidR="00374A58" w:rsidRDefault="00374A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0EEAA2" w14:textId="77777777" w:rsidR="00374A58" w:rsidRDefault="00374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B170" w14:textId="77777777" w:rsidR="0054230A" w:rsidRDefault="0054230A" w:rsidP="00374A58">
      <w:pPr>
        <w:spacing w:after="0" w:line="240" w:lineRule="auto"/>
      </w:pPr>
      <w:r>
        <w:separator/>
      </w:r>
    </w:p>
  </w:footnote>
  <w:footnote w:type="continuationSeparator" w:id="0">
    <w:p w14:paraId="3824828B" w14:textId="77777777" w:rsidR="0054230A" w:rsidRDefault="0054230A" w:rsidP="00374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20BE"/>
    <w:multiLevelType w:val="hybridMultilevel"/>
    <w:tmpl w:val="DE1453C8"/>
    <w:lvl w:ilvl="0" w:tplc="CD54A970">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7A2D83"/>
    <w:multiLevelType w:val="hybridMultilevel"/>
    <w:tmpl w:val="D5D4E8C2"/>
    <w:lvl w:ilvl="0" w:tplc="2A7C215A">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D446BA"/>
    <w:multiLevelType w:val="hybridMultilevel"/>
    <w:tmpl w:val="8BA818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F854C2"/>
    <w:multiLevelType w:val="hybridMultilevel"/>
    <w:tmpl w:val="ECE251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0AE3205"/>
    <w:multiLevelType w:val="hybridMultilevel"/>
    <w:tmpl w:val="D4B24C1A"/>
    <w:lvl w:ilvl="0" w:tplc="71C037D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7847596">
    <w:abstractNumId w:val="3"/>
  </w:num>
  <w:num w:numId="2" w16cid:durableId="1700856548">
    <w:abstractNumId w:val="4"/>
  </w:num>
  <w:num w:numId="3" w16cid:durableId="1071083319">
    <w:abstractNumId w:val="0"/>
  </w:num>
  <w:num w:numId="4" w16cid:durableId="1709454258">
    <w:abstractNumId w:val="2"/>
  </w:num>
  <w:num w:numId="5" w16cid:durableId="523206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DD7"/>
    <w:rsid w:val="0000201D"/>
    <w:rsid w:val="00005E86"/>
    <w:rsid w:val="000072B1"/>
    <w:rsid w:val="000103DC"/>
    <w:rsid w:val="0002371E"/>
    <w:rsid w:val="00023939"/>
    <w:rsid w:val="000259D2"/>
    <w:rsid w:val="000261AC"/>
    <w:rsid w:val="00051257"/>
    <w:rsid w:val="00055F0C"/>
    <w:rsid w:val="00070C83"/>
    <w:rsid w:val="000732F2"/>
    <w:rsid w:val="00073DA0"/>
    <w:rsid w:val="00074B42"/>
    <w:rsid w:val="00087CEF"/>
    <w:rsid w:val="00097BBD"/>
    <w:rsid w:val="000A06CF"/>
    <w:rsid w:val="000A5B58"/>
    <w:rsid w:val="000A76BB"/>
    <w:rsid w:val="000D630B"/>
    <w:rsid w:val="000E399A"/>
    <w:rsid w:val="000E7405"/>
    <w:rsid w:val="0010515A"/>
    <w:rsid w:val="00113595"/>
    <w:rsid w:val="001268CA"/>
    <w:rsid w:val="00134456"/>
    <w:rsid w:val="0013541D"/>
    <w:rsid w:val="00136BC2"/>
    <w:rsid w:val="001449D8"/>
    <w:rsid w:val="0015400B"/>
    <w:rsid w:val="00154068"/>
    <w:rsid w:val="00161B2B"/>
    <w:rsid w:val="00171F81"/>
    <w:rsid w:val="001A2DB3"/>
    <w:rsid w:val="001B0B50"/>
    <w:rsid w:val="001B1B87"/>
    <w:rsid w:val="001B28D1"/>
    <w:rsid w:val="001B4056"/>
    <w:rsid w:val="001C22E6"/>
    <w:rsid w:val="001C4E03"/>
    <w:rsid w:val="001C569D"/>
    <w:rsid w:val="001C6370"/>
    <w:rsid w:val="001D0E92"/>
    <w:rsid w:val="001D7F3B"/>
    <w:rsid w:val="001E0BE5"/>
    <w:rsid w:val="001E56DF"/>
    <w:rsid w:val="001E5824"/>
    <w:rsid w:val="001E6CF8"/>
    <w:rsid w:val="001F2513"/>
    <w:rsid w:val="0020215F"/>
    <w:rsid w:val="00202BCB"/>
    <w:rsid w:val="00211003"/>
    <w:rsid w:val="00226483"/>
    <w:rsid w:val="002267A3"/>
    <w:rsid w:val="00232B2C"/>
    <w:rsid w:val="00244545"/>
    <w:rsid w:val="002510CD"/>
    <w:rsid w:val="00253C24"/>
    <w:rsid w:val="00257C2F"/>
    <w:rsid w:val="002621F2"/>
    <w:rsid w:val="00282BE2"/>
    <w:rsid w:val="00283876"/>
    <w:rsid w:val="00284AB8"/>
    <w:rsid w:val="002A4A00"/>
    <w:rsid w:val="002A621E"/>
    <w:rsid w:val="002A6573"/>
    <w:rsid w:val="002B5FAB"/>
    <w:rsid w:val="002D15D8"/>
    <w:rsid w:val="002E3559"/>
    <w:rsid w:val="002E4628"/>
    <w:rsid w:val="002E6E98"/>
    <w:rsid w:val="002F2829"/>
    <w:rsid w:val="002F7AF4"/>
    <w:rsid w:val="0030314B"/>
    <w:rsid w:val="0030485B"/>
    <w:rsid w:val="00304A9F"/>
    <w:rsid w:val="0031160B"/>
    <w:rsid w:val="00314D30"/>
    <w:rsid w:val="00314FEA"/>
    <w:rsid w:val="00322411"/>
    <w:rsid w:val="00323D59"/>
    <w:rsid w:val="00334BCF"/>
    <w:rsid w:val="00351B74"/>
    <w:rsid w:val="003527ED"/>
    <w:rsid w:val="00362915"/>
    <w:rsid w:val="00374A58"/>
    <w:rsid w:val="003A6D01"/>
    <w:rsid w:val="003B521A"/>
    <w:rsid w:val="003C38C0"/>
    <w:rsid w:val="003C7A3A"/>
    <w:rsid w:val="003C7FA7"/>
    <w:rsid w:val="003E4445"/>
    <w:rsid w:val="003E5FD9"/>
    <w:rsid w:val="003E731E"/>
    <w:rsid w:val="003F242B"/>
    <w:rsid w:val="00413C5A"/>
    <w:rsid w:val="00415F8F"/>
    <w:rsid w:val="004258A2"/>
    <w:rsid w:val="00427990"/>
    <w:rsid w:val="00433DB6"/>
    <w:rsid w:val="00455078"/>
    <w:rsid w:val="00456EC6"/>
    <w:rsid w:val="0046271E"/>
    <w:rsid w:val="00462BEF"/>
    <w:rsid w:val="00471EE0"/>
    <w:rsid w:val="0047585F"/>
    <w:rsid w:val="004900A5"/>
    <w:rsid w:val="0049092D"/>
    <w:rsid w:val="004B7FDC"/>
    <w:rsid w:val="004C53CC"/>
    <w:rsid w:val="004D2072"/>
    <w:rsid w:val="004D6137"/>
    <w:rsid w:val="004E2705"/>
    <w:rsid w:val="004F6382"/>
    <w:rsid w:val="00501B72"/>
    <w:rsid w:val="00504A0B"/>
    <w:rsid w:val="00511C9E"/>
    <w:rsid w:val="00513444"/>
    <w:rsid w:val="00513E2B"/>
    <w:rsid w:val="00521CB3"/>
    <w:rsid w:val="00522FC3"/>
    <w:rsid w:val="00533A4A"/>
    <w:rsid w:val="00535BA2"/>
    <w:rsid w:val="005402BE"/>
    <w:rsid w:val="00541FEB"/>
    <w:rsid w:val="00542048"/>
    <w:rsid w:val="0054230A"/>
    <w:rsid w:val="005424F7"/>
    <w:rsid w:val="00542B2D"/>
    <w:rsid w:val="00542C3D"/>
    <w:rsid w:val="00543627"/>
    <w:rsid w:val="00543B1A"/>
    <w:rsid w:val="00545983"/>
    <w:rsid w:val="0054656C"/>
    <w:rsid w:val="00585AE5"/>
    <w:rsid w:val="0058782A"/>
    <w:rsid w:val="005935CF"/>
    <w:rsid w:val="00594215"/>
    <w:rsid w:val="005A2CF9"/>
    <w:rsid w:val="005A5D80"/>
    <w:rsid w:val="005A7139"/>
    <w:rsid w:val="005B2A48"/>
    <w:rsid w:val="005C3C3A"/>
    <w:rsid w:val="005C65D7"/>
    <w:rsid w:val="005D3B54"/>
    <w:rsid w:val="005E0370"/>
    <w:rsid w:val="005E3624"/>
    <w:rsid w:val="005E73C8"/>
    <w:rsid w:val="005F165B"/>
    <w:rsid w:val="005F28AB"/>
    <w:rsid w:val="005F797B"/>
    <w:rsid w:val="00611D04"/>
    <w:rsid w:val="00621D5F"/>
    <w:rsid w:val="00637235"/>
    <w:rsid w:val="00640583"/>
    <w:rsid w:val="0065126E"/>
    <w:rsid w:val="00657E58"/>
    <w:rsid w:val="00664A66"/>
    <w:rsid w:val="00674EB3"/>
    <w:rsid w:val="00684A12"/>
    <w:rsid w:val="0069362C"/>
    <w:rsid w:val="006A1BFC"/>
    <w:rsid w:val="006A2D12"/>
    <w:rsid w:val="006C2568"/>
    <w:rsid w:val="006D10D9"/>
    <w:rsid w:val="006D6BC2"/>
    <w:rsid w:val="006E1FAA"/>
    <w:rsid w:val="006E20D3"/>
    <w:rsid w:val="006E2231"/>
    <w:rsid w:val="006F5BDA"/>
    <w:rsid w:val="00701908"/>
    <w:rsid w:val="007049E9"/>
    <w:rsid w:val="00711A06"/>
    <w:rsid w:val="0071561C"/>
    <w:rsid w:val="00720CBD"/>
    <w:rsid w:val="0072411D"/>
    <w:rsid w:val="00724590"/>
    <w:rsid w:val="00724CEC"/>
    <w:rsid w:val="00743A83"/>
    <w:rsid w:val="007447D5"/>
    <w:rsid w:val="00744D56"/>
    <w:rsid w:val="007662D0"/>
    <w:rsid w:val="00775968"/>
    <w:rsid w:val="00792C0D"/>
    <w:rsid w:val="0079342E"/>
    <w:rsid w:val="007A0015"/>
    <w:rsid w:val="007E0DAC"/>
    <w:rsid w:val="007F0CB9"/>
    <w:rsid w:val="007F1FD7"/>
    <w:rsid w:val="00801032"/>
    <w:rsid w:val="00802E57"/>
    <w:rsid w:val="00812BC2"/>
    <w:rsid w:val="00823977"/>
    <w:rsid w:val="00825200"/>
    <w:rsid w:val="008317D3"/>
    <w:rsid w:val="008335E4"/>
    <w:rsid w:val="00840C37"/>
    <w:rsid w:val="00845AEB"/>
    <w:rsid w:val="00854CA6"/>
    <w:rsid w:val="00855CC6"/>
    <w:rsid w:val="008637A1"/>
    <w:rsid w:val="008705CF"/>
    <w:rsid w:val="0087373E"/>
    <w:rsid w:val="00876049"/>
    <w:rsid w:val="008764FD"/>
    <w:rsid w:val="008767A0"/>
    <w:rsid w:val="00877419"/>
    <w:rsid w:val="00880DA6"/>
    <w:rsid w:val="00894210"/>
    <w:rsid w:val="00897818"/>
    <w:rsid w:val="008A1C65"/>
    <w:rsid w:val="008A3DA5"/>
    <w:rsid w:val="008A5528"/>
    <w:rsid w:val="008A6B32"/>
    <w:rsid w:val="008B00C3"/>
    <w:rsid w:val="008B59B9"/>
    <w:rsid w:val="008C38CF"/>
    <w:rsid w:val="008C463A"/>
    <w:rsid w:val="008C6D76"/>
    <w:rsid w:val="008D44B6"/>
    <w:rsid w:val="008D483E"/>
    <w:rsid w:val="008E4D88"/>
    <w:rsid w:val="008E57A7"/>
    <w:rsid w:val="008F518C"/>
    <w:rsid w:val="00907FBF"/>
    <w:rsid w:val="00922CFB"/>
    <w:rsid w:val="0092410E"/>
    <w:rsid w:val="0093758A"/>
    <w:rsid w:val="00942561"/>
    <w:rsid w:val="00943DC9"/>
    <w:rsid w:val="00947270"/>
    <w:rsid w:val="0095109D"/>
    <w:rsid w:val="00951EC2"/>
    <w:rsid w:val="00963F93"/>
    <w:rsid w:val="00972C89"/>
    <w:rsid w:val="00981A65"/>
    <w:rsid w:val="009860B5"/>
    <w:rsid w:val="0098665A"/>
    <w:rsid w:val="00987C6B"/>
    <w:rsid w:val="009914B4"/>
    <w:rsid w:val="009A1408"/>
    <w:rsid w:val="009B2465"/>
    <w:rsid w:val="009B370C"/>
    <w:rsid w:val="009B39B4"/>
    <w:rsid w:val="009B7C99"/>
    <w:rsid w:val="009C1DD7"/>
    <w:rsid w:val="009C797F"/>
    <w:rsid w:val="009E0EBC"/>
    <w:rsid w:val="009E79C6"/>
    <w:rsid w:val="00A11749"/>
    <w:rsid w:val="00A12261"/>
    <w:rsid w:val="00A20CB6"/>
    <w:rsid w:val="00A333B6"/>
    <w:rsid w:val="00A44E8D"/>
    <w:rsid w:val="00A607C9"/>
    <w:rsid w:val="00A62BFE"/>
    <w:rsid w:val="00A630B7"/>
    <w:rsid w:val="00A6543F"/>
    <w:rsid w:val="00A714A7"/>
    <w:rsid w:val="00A75C10"/>
    <w:rsid w:val="00A809E4"/>
    <w:rsid w:val="00A87017"/>
    <w:rsid w:val="00A96441"/>
    <w:rsid w:val="00A96AD4"/>
    <w:rsid w:val="00AB5860"/>
    <w:rsid w:val="00AC0C12"/>
    <w:rsid w:val="00AC1D87"/>
    <w:rsid w:val="00AC1FDA"/>
    <w:rsid w:val="00AC3AB4"/>
    <w:rsid w:val="00AD1F26"/>
    <w:rsid w:val="00AD3556"/>
    <w:rsid w:val="00AD383B"/>
    <w:rsid w:val="00AD7840"/>
    <w:rsid w:val="00AD7DA7"/>
    <w:rsid w:val="00AE3FCC"/>
    <w:rsid w:val="00AE4F2D"/>
    <w:rsid w:val="00AE5B84"/>
    <w:rsid w:val="00AE6B2B"/>
    <w:rsid w:val="00B055B1"/>
    <w:rsid w:val="00B077FC"/>
    <w:rsid w:val="00B2273E"/>
    <w:rsid w:val="00B231BA"/>
    <w:rsid w:val="00B23F4F"/>
    <w:rsid w:val="00B26906"/>
    <w:rsid w:val="00B374B0"/>
    <w:rsid w:val="00B42DE5"/>
    <w:rsid w:val="00B51166"/>
    <w:rsid w:val="00B540D3"/>
    <w:rsid w:val="00B61792"/>
    <w:rsid w:val="00B639CA"/>
    <w:rsid w:val="00B7132D"/>
    <w:rsid w:val="00B7440B"/>
    <w:rsid w:val="00B77C4F"/>
    <w:rsid w:val="00B92511"/>
    <w:rsid w:val="00B9392F"/>
    <w:rsid w:val="00BA2333"/>
    <w:rsid w:val="00BB5B81"/>
    <w:rsid w:val="00BB77F1"/>
    <w:rsid w:val="00BD2193"/>
    <w:rsid w:val="00BE7224"/>
    <w:rsid w:val="00BE78A5"/>
    <w:rsid w:val="00C14ECB"/>
    <w:rsid w:val="00C220AA"/>
    <w:rsid w:val="00C22A2E"/>
    <w:rsid w:val="00C36C07"/>
    <w:rsid w:val="00C6041B"/>
    <w:rsid w:val="00C73C78"/>
    <w:rsid w:val="00C90830"/>
    <w:rsid w:val="00C93241"/>
    <w:rsid w:val="00CA2605"/>
    <w:rsid w:val="00CB255A"/>
    <w:rsid w:val="00CB27E4"/>
    <w:rsid w:val="00CB2CDE"/>
    <w:rsid w:val="00CB3052"/>
    <w:rsid w:val="00CB5397"/>
    <w:rsid w:val="00CB6A2B"/>
    <w:rsid w:val="00CB7426"/>
    <w:rsid w:val="00CC5C5F"/>
    <w:rsid w:val="00CD3170"/>
    <w:rsid w:val="00CE2F23"/>
    <w:rsid w:val="00CE702C"/>
    <w:rsid w:val="00CE7695"/>
    <w:rsid w:val="00CF131B"/>
    <w:rsid w:val="00D108A2"/>
    <w:rsid w:val="00D20391"/>
    <w:rsid w:val="00D2580F"/>
    <w:rsid w:val="00D460A2"/>
    <w:rsid w:val="00D47BA3"/>
    <w:rsid w:val="00D50CA1"/>
    <w:rsid w:val="00D52FCF"/>
    <w:rsid w:val="00D56B7D"/>
    <w:rsid w:val="00D76532"/>
    <w:rsid w:val="00D8154F"/>
    <w:rsid w:val="00D833ED"/>
    <w:rsid w:val="00DA6908"/>
    <w:rsid w:val="00DB4551"/>
    <w:rsid w:val="00DC4740"/>
    <w:rsid w:val="00DE22BE"/>
    <w:rsid w:val="00DE3412"/>
    <w:rsid w:val="00DE7417"/>
    <w:rsid w:val="00E00EAC"/>
    <w:rsid w:val="00E0520A"/>
    <w:rsid w:val="00E14BAD"/>
    <w:rsid w:val="00E15476"/>
    <w:rsid w:val="00E2018E"/>
    <w:rsid w:val="00E37D25"/>
    <w:rsid w:val="00E5200E"/>
    <w:rsid w:val="00E5222A"/>
    <w:rsid w:val="00E561B5"/>
    <w:rsid w:val="00E60FF8"/>
    <w:rsid w:val="00E641BA"/>
    <w:rsid w:val="00E64FE2"/>
    <w:rsid w:val="00E7339F"/>
    <w:rsid w:val="00E80876"/>
    <w:rsid w:val="00E83955"/>
    <w:rsid w:val="00E84DDF"/>
    <w:rsid w:val="00E87C47"/>
    <w:rsid w:val="00EA59CC"/>
    <w:rsid w:val="00EC07DB"/>
    <w:rsid w:val="00EC41EA"/>
    <w:rsid w:val="00EC4859"/>
    <w:rsid w:val="00EE1FDB"/>
    <w:rsid w:val="00EE44C0"/>
    <w:rsid w:val="00EE648F"/>
    <w:rsid w:val="00EF359B"/>
    <w:rsid w:val="00EF409D"/>
    <w:rsid w:val="00EF4FC3"/>
    <w:rsid w:val="00F023D5"/>
    <w:rsid w:val="00F03B2E"/>
    <w:rsid w:val="00F06423"/>
    <w:rsid w:val="00F13B4F"/>
    <w:rsid w:val="00F343CD"/>
    <w:rsid w:val="00F34876"/>
    <w:rsid w:val="00F46229"/>
    <w:rsid w:val="00F602EC"/>
    <w:rsid w:val="00F62981"/>
    <w:rsid w:val="00F63BB1"/>
    <w:rsid w:val="00F7418D"/>
    <w:rsid w:val="00F76C09"/>
    <w:rsid w:val="00F87CCE"/>
    <w:rsid w:val="00F9574C"/>
    <w:rsid w:val="00FA04AA"/>
    <w:rsid w:val="00FB4889"/>
    <w:rsid w:val="00FB5216"/>
    <w:rsid w:val="00FB7991"/>
    <w:rsid w:val="00FC6669"/>
    <w:rsid w:val="00FD1A1F"/>
    <w:rsid w:val="00FD2E09"/>
    <w:rsid w:val="00FE0FA0"/>
    <w:rsid w:val="00FE68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3AB8"/>
  <w15:chartTrackingRefBased/>
  <w15:docId w15:val="{30A535EE-E1EA-4704-B391-66117D97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A58"/>
  </w:style>
  <w:style w:type="paragraph" w:styleId="Footer">
    <w:name w:val="footer"/>
    <w:basedOn w:val="Normal"/>
    <w:link w:val="FooterChar"/>
    <w:uiPriority w:val="99"/>
    <w:unhideWhenUsed/>
    <w:rsid w:val="00374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A58"/>
  </w:style>
  <w:style w:type="paragraph" w:styleId="NormalWeb">
    <w:name w:val="Normal (Web)"/>
    <w:basedOn w:val="Normal"/>
    <w:uiPriority w:val="99"/>
    <w:unhideWhenUsed/>
    <w:rsid w:val="00AE5B84"/>
    <w:pPr>
      <w:spacing w:after="200" w:line="276" w:lineRule="auto"/>
    </w:pPr>
    <w:rPr>
      <w:rFonts w:ascii="Times New Roman" w:hAnsi="Times New Roman" w:cs="Times New Roman"/>
      <w:sz w:val="24"/>
      <w:szCs w:val="24"/>
      <w:lang w:val="en-US"/>
    </w:rPr>
  </w:style>
  <w:style w:type="table" w:styleId="TableGrid">
    <w:name w:val="Table Grid"/>
    <w:basedOn w:val="TableNormal"/>
    <w:uiPriority w:val="39"/>
    <w:rsid w:val="00126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CA6"/>
    <w:pPr>
      <w:ind w:left="720"/>
      <w:contextualSpacing/>
    </w:pPr>
  </w:style>
  <w:style w:type="character" w:customStyle="1" w:styleId="slitbdy">
    <w:name w:val="s_lit_bdy"/>
    <w:rsid w:val="00253C24"/>
    <w:rPr>
      <w:rFonts w:ascii="Verdana" w:hAnsi="Verdana" w:hint="default"/>
      <w:b w:val="0"/>
      <w:bCs w:val="0"/>
      <w:color w:val="000000"/>
      <w:sz w:val="20"/>
      <w:szCs w:val="20"/>
      <w:shd w:val="clear" w:color="auto" w:fill="FFFFFF"/>
    </w:rPr>
  </w:style>
  <w:style w:type="character" w:customStyle="1" w:styleId="slitttl1">
    <w:name w:val="s_lit_ttl1"/>
    <w:rsid w:val="000732F2"/>
    <w:rPr>
      <w:rFonts w:ascii="Verdana" w:hAnsi="Verdana" w:hint="default"/>
      <w:b/>
      <w:bCs/>
      <w:vanish/>
      <w:webHidden w:val="0"/>
      <w:color w:val="8B0000"/>
      <w:sz w:val="20"/>
      <w:szCs w:val="20"/>
      <w:shd w:val="clear" w:color="auto" w:fill="FFFFFF"/>
      <w:specVanish/>
    </w:rPr>
  </w:style>
  <w:style w:type="paragraph" w:styleId="Revision">
    <w:name w:val="Revision"/>
    <w:hidden/>
    <w:uiPriority w:val="99"/>
    <w:semiHidden/>
    <w:rsid w:val="00AC0C12"/>
    <w:pPr>
      <w:spacing w:after="0" w:line="240" w:lineRule="auto"/>
    </w:pPr>
  </w:style>
  <w:style w:type="character" w:styleId="Hyperlink">
    <w:name w:val="Hyperlink"/>
    <w:basedOn w:val="DefaultParagraphFont"/>
    <w:uiPriority w:val="99"/>
    <w:semiHidden/>
    <w:unhideWhenUsed/>
    <w:rsid w:val="00AC0C12"/>
    <w:rPr>
      <w:color w:val="0000FF"/>
      <w:u w:val="single"/>
    </w:rPr>
  </w:style>
  <w:style w:type="paragraph" w:customStyle="1" w:styleId="oj-doc-ti">
    <w:name w:val="oj-doc-ti"/>
    <w:basedOn w:val="Normal"/>
    <w:rsid w:val="00AC0C1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basedOn w:val="DefaultParagraphFont"/>
    <w:uiPriority w:val="99"/>
    <w:semiHidden/>
    <w:unhideWhenUsed/>
    <w:rsid w:val="00C6041B"/>
    <w:rPr>
      <w:sz w:val="16"/>
      <w:szCs w:val="16"/>
    </w:rPr>
  </w:style>
  <w:style w:type="paragraph" w:styleId="CommentText">
    <w:name w:val="annotation text"/>
    <w:basedOn w:val="Normal"/>
    <w:link w:val="CommentTextChar"/>
    <w:uiPriority w:val="99"/>
    <w:unhideWhenUsed/>
    <w:rsid w:val="00C6041B"/>
    <w:pPr>
      <w:spacing w:line="240" w:lineRule="auto"/>
    </w:pPr>
    <w:rPr>
      <w:sz w:val="20"/>
      <w:szCs w:val="20"/>
    </w:rPr>
  </w:style>
  <w:style w:type="character" w:customStyle="1" w:styleId="CommentTextChar">
    <w:name w:val="Comment Text Char"/>
    <w:basedOn w:val="DefaultParagraphFont"/>
    <w:link w:val="CommentText"/>
    <w:uiPriority w:val="99"/>
    <w:rsid w:val="00C6041B"/>
    <w:rPr>
      <w:sz w:val="20"/>
      <w:szCs w:val="20"/>
    </w:rPr>
  </w:style>
  <w:style w:type="paragraph" w:styleId="CommentSubject">
    <w:name w:val="annotation subject"/>
    <w:basedOn w:val="CommentText"/>
    <w:next w:val="CommentText"/>
    <w:link w:val="CommentSubjectChar"/>
    <w:uiPriority w:val="99"/>
    <w:semiHidden/>
    <w:unhideWhenUsed/>
    <w:rsid w:val="00C6041B"/>
    <w:rPr>
      <w:b/>
      <w:bCs/>
    </w:rPr>
  </w:style>
  <w:style w:type="character" w:customStyle="1" w:styleId="CommentSubjectChar">
    <w:name w:val="Comment Subject Char"/>
    <w:basedOn w:val="CommentTextChar"/>
    <w:link w:val="CommentSubject"/>
    <w:uiPriority w:val="99"/>
    <w:semiHidden/>
    <w:rsid w:val="00C6041B"/>
    <w:rPr>
      <w:b/>
      <w:bCs/>
      <w:sz w:val="20"/>
      <w:szCs w:val="20"/>
    </w:rPr>
  </w:style>
  <w:style w:type="paragraph" w:styleId="BalloonText">
    <w:name w:val="Balloon Text"/>
    <w:basedOn w:val="Normal"/>
    <w:link w:val="BalloonTextChar"/>
    <w:uiPriority w:val="99"/>
    <w:semiHidden/>
    <w:unhideWhenUsed/>
    <w:rsid w:val="00A33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491">
      <w:bodyDiv w:val="1"/>
      <w:marLeft w:val="0"/>
      <w:marRight w:val="0"/>
      <w:marTop w:val="0"/>
      <w:marBottom w:val="0"/>
      <w:divBdr>
        <w:top w:val="none" w:sz="0" w:space="0" w:color="auto"/>
        <w:left w:val="none" w:sz="0" w:space="0" w:color="auto"/>
        <w:bottom w:val="none" w:sz="0" w:space="0" w:color="auto"/>
        <w:right w:val="none" w:sz="0" w:space="0" w:color="auto"/>
      </w:divBdr>
    </w:div>
    <w:div w:id="545332993">
      <w:bodyDiv w:val="1"/>
      <w:marLeft w:val="0"/>
      <w:marRight w:val="0"/>
      <w:marTop w:val="0"/>
      <w:marBottom w:val="0"/>
      <w:divBdr>
        <w:top w:val="none" w:sz="0" w:space="0" w:color="auto"/>
        <w:left w:val="none" w:sz="0" w:space="0" w:color="auto"/>
        <w:bottom w:val="none" w:sz="0" w:space="0" w:color="auto"/>
        <w:right w:val="none" w:sz="0" w:space="0" w:color="auto"/>
      </w:divBdr>
    </w:div>
    <w:div w:id="615527262">
      <w:bodyDiv w:val="1"/>
      <w:marLeft w:val="0"/>
      <w:marRight w:val="0"/>
      <w:marTop w:val="0"/>
      <w:marBottom w:val="0"/>
      <w:divBdr>
        <w:top w:val="none" w:sz="0" w:space="0" w:color="auto"/>
        <w:left w:val="none" w:sz="0" w:space="0" w:color="auto"/>
        <w:bottom w:val="none" w:sz="0" w:space="0" w:color="auto"/>
        <w:right w:val="none" w:sz="0" w:space="0" w:color="auto"/>
      </w:divBdr>
      <w:divsChild>
        <w:div w:id="2025941297">
          <w:marLeft w:val="0"/>
          <w:marRight w:val="0"/>
          <w:marTop w:val="0"/>
          <w:marBottom w:val="0"/>
          <w:divBdr>
            <w:top w:val="none" w:sz="0" w:space="0" w:color="auto"/>
            <w:left w:val="none" w:sz="0" w:space="0" w:color="auto"/>
            <w:bottom w:val="none" w:sz="0" w:space="0" w:color="auto"/>
            <w:right w:val="none" w:sz="0" w:space="0" w:color="auto"/>
          </w:divBdr>
        </w:div>
      </w:divsChild>
    </w:div>
    <w:div w:id="923686611">
      <w:bodyDiv w:val="1"/>
      <w:marLeft w:val="0"/>
      <w:marRight w:val="0"/>
      <w:marTop w:val="0"/>
      <w:marBottom w:val="0"/>
      <w:divBdr>
        <w:top w:val="none" w:sz="0" w:space="0" w:color="auto"/>
        <w:left w:val="none" w:sz="0" w:space="0" w:color="auto"/>
        <w:bottom w:val="none" w:sz="0" w:space="0" w:color="auto"/>
        <w:right w:val="none" w:sz="0" w:space="0" w:color="auto"/>
      </w:divBdr>
    </w:div>
    <w:div w:id="988481147">
      <w:bodyDiv w:val="1"/>
      <w:marLeft w:val="0"/>
      <w:marRight w:val="0"/>
      <w:marTop w:val="0"/>
      <w:marBottom w:val="0"/>
      <w:divBdr>
        <w:top w:val="none" w:sz="0" w:space="0" w:color="auto"/>
        <w:left w:val="none" w:sz="0" w:space="0" w:color="auto"/>
        <w:bottom w:val="none" w:sz="0" w:space="0" w:color="auto"/>
        <w:right w:val="none" w:sz="0" w:space="0" w:color="auto"/>
      </w:divBdr>
    </w:div>
    <w:div w:id="161359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egis.ro/eurolegis/ro/index/act/85664/strcautat/cmVndWxhbWVudCA4NjkvMjAyMg==/tipc/0/paragraf/1/ordinecuv/0/fmarc/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legis.ro/eurolegis/ro/index/act/85664/strcautat/cmVndWxhbWVudCA4NjkvMjAyMg==/tipc/0/paragraf/1/ordinecuv/0/fmarc/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legis.ro/eurolegis/ro/index/act/85664/strcautat/cmVndWxhbWVudCA4NjkvMjAyMg==/tipc/0/paragraf/1/ordinecuv/0/fmarc/1" TargetMode="External"/><Relationship Id="rId4" Type="http://schemas.openxmlformats.org/officeDocument/2006/relationships/webSettings" Target="webSettings.xml"/><Relationship Id="rId9" Type="http://schemas.openxmlformats.org/officeDocument/2006/relationships/hyperlink" Target="https://www.ilegis.ro/eurolegis/ro/index/act/85664/strcautat/cmVndWxhbWVudCA4NjkvMjAyMg==/tipc/0/paragraf/1/ordinecuv/0/fmar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STANCIULESCU</dc:creator>
  <cp:keywords/>
  <dc:description/>
  <cp:lastModifiedBy>Adriana Maria Nemtoiu</cp:lastModifiedBy>
  <cp:revision>3</cp:revision>
  <cp:lastPrinted>2025-05-20T13:57:00Z</cp:lastPrinted>
  <dcterms:created xsi:type="dcterms:W3CDTF">2025-05-20T19:22:00Z</dcterms:created>
  <dcterms:modified xsi:type="dcterms:W3CDTF">2025-05-20T19:23:00Z</dcterms:modified>
</cp:coreProperties>
</file>