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8F4A" w14:textId="77777777" w:rsidR="009A321B" w:rsidRPr="00915A76" w:rsidRDefault="009A321B" w:rsidP="006D5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191CC" w14:textId="77777777" w:rsidR="00500397" w:rsidRPr="00915A76" w:rsidRDefault="00500397" w:rsidP="00500397">
      <w:pPr>
        <w:pStyle w:val="NormalWeb"/>
        <w:jc w:val="center"/>
        <w:rPr>
          <w:rStyle w:val="Strong"/>
        </w:rPr>
      </w:pPr>
      <w:r w:rsidRPr="00915A76">
        <w:rPr>
          <w:rStyle w:val="Strong"/>
        </w:rPr>
        <w:t>COMUNICAT DE PRESĂ</w:t>
      </w:r>
    </w:p>
    <w:p w14:paraId="5A7C04B3" w14:textId="1C333D50" w:rsidR="00915A76" w:rsidRPr="000A3484" w:rsidRDefault="00500397" w:rsidP="00915A76">
      <w:pPr>
        <w:pStyle w:val="NormalWeb"/>
        <w:jc w:val="center"/>
        <w:rPr>
          <w:lang w:val="ro-RO"/>
        </w:rPr>
      </w:pPr>
      <w:r w:rsidRPr="000A3484">
        <w:rPr>
          <w:rStyle w:val="Strong"/>
          <w:lang w:val="ro-RO"/>
        </w:rPr>
        <w:t>ANRE lansează o campanie națională de informare pentru consumatorii de energie electrică</w:t>
      </w:r>
      <w:r w:rsidRPr="000A3484">
        <w:rPr>
          <w:lang w:val="ro-RO"/>
        </w:rPr>
        <w:br/>
      </w:r>
    </w:p>
    <w:p w14:paraId="4E056C74" w14:textId="6485978B" w:rsidR="00915A76" w:rsidRPr="000A3484" w:rsidRDefault="00915A76" w:rsidP="00915A76">
      <w:pPr>
        <w:pStyle w:val="NormalWeb"/>
        <w:jc w:val="both"/>
        <w:rPr>
          <w:lang w:val="ro-RO"/>
        </w:rPr>
      </w:pPr>
      <w:r w:rsidRPr="000A3484">
        <w:rPr>
          <w:b/>
          <w:bCs/>
          <w:lang w:val="ro-RO"/>
        </w:rPr>
        <w:t>București, 1</w:t>
      </w:r>
      <w:r w:rsidR="000008BE">
        <w:rPr>
          <w:b/>
          <w:bCs/>
          <w:lang w:val="ro-RO"/>
        </w:rPr>
        <w:t>1</w:t>
      </w:r>
      <w:r w:rsidRPr="000A3484">
        <w:rPr>
          <w:b/>
          <w:bCs/>
          <w:lang w:val="ro-RO"/>
        </w:rPr>
        <w:t xml:space="preserve"> iunie 2025 -</w:t>
      </w:r>
      <w:r w:rsidRPr="000A3484">
        <w:rPr>
          <w:lang w:val="ro-RO"/>
        </w:rPr>
        <w:t xml:space="preserve"> Autoritatea Națională de Reglementare în domeniul Energiei (ANRE) anunță lansarea unei campanii naționale de informare publică, destinată consumatorilor de energie electrică, în contextul în care, la data de 1 iulie 2025, va înceta schema de plafonare-compensare aplicabilă prețurilor din sectorul energetic.</w:t>
      </w:r>
    </w:p>
    <w:p w14:paraId="4B380F79" w14:textId="227699D7" w:rsidR="00915A76" w:rsidRPr="000A3484" w:rsidRDefault="00915A76" w:rsidP="00915A76">
      <w:pPr>
        <w:pStyle w:val="NormalWeb"/>
        <w:jc w:val="both"/>
        <w:rPr>
          <w:lang w:val="ro-RO"/>
        </w:rPr>
      </w:pPr>
      <w:r w:rsidRPr="000A3484">
        <w:rPr>
          <w:lang w:val="ro-RO"/>
        </w:rPr>
        <w:t>Campania are rolul de a sprijini consumatorii să ia decizii informate, să își exercite dreptul de a-și schimba furnizorul fără costuri suplimentare și să utilizeze în mod eficient instrumentele de comparare a ofertelor disponibile în piață. Aceasta se înscrie în angajamentul ANRE de a garanta o piață concurențială transparentă, funcțională și echitabilă.</w:t>
      </w:r>
    </w:p>
    <w:p w14:paraId="40B671A5" w14:textId="471374DD" w:rsidR="00915A76" w:rsidRPr="000A3484" w:rsidRDefault="00915A76" w:rsidP="000A3484">
      <w:pPr>
        <w:pStyle w:val="NormalWeb"/>
        <w:jc w:val="both"/>
        <w:rPr>
          <w:lang w:val="ro-RO"/>
        </w:rPr>
      </w:pPr>
      <w:r w:rsidRPr="000A3484">
        <w:rPr>
          <w:lang w:val="ro-RO"/>
        </w:rPr>
        <w:t>„</w:t>
      </w:r>
      <w:r w:rsidRPr="000A3484">
        <w:rPr>
          <w:b/>
          <w:bCs/>
          <w:i/>
          <w:iCs/>
          <w:color w:val="000000"/>
          <w:lang w:val="ro-RO"/>
        </w:rPr>
        <w:t xml:space="preserve">Într-o piață liberalizată, protecția consumatorului </w:t>
      </w:r>
      <w:r w:rsidR="008620B0" w:rsidRPr="000A3484">
        <w:rPr>
          <w:b/>
          <w:bCs/>
          <w:i/>
          <w:iCs/>
          <w:color w:val="000000"/>
          <w:lang w:val="ro-RO"/>
        </w:rPr>
        <w:t>de energie</w:t>
      </w:r>
      <w:r w:rsidRPr="000A3484">
        <w:rPr>
          <w:b/>
          <w:bCs/>
          <w:i/>
          <w:iCs/>
          <w:color w:val="000000"/>
          <w:lang w:val="ro-RO"/>
        </w:rPr>
        <w:t xml:space="preserve"> înseamnă accesul la informație clară, comparabilă și utilă. Asta oferim prin această campanie – instrumente concrete pentru alegeri corecte. </w:t>
      </w:r>
      <w:r w:rsidRPr="000A3484">
        <w:rPr>
          <w:b/>
          <w:bCs/>
          <w:i/>
          <w:iCs/>
          <w:lang w:val="ro-RO"/>
        </w:rPr>
        <w:t>Prin această campanie, ANRE își asumă nu doar rolul de reglementator, ci și pe cel de facilitator al încrederii între cetățean și piaț</w:t>
      </w:r>
      <w:r w:rsidR="008620B0" w:rsidRPr="000A3484">
        <w:rPr>
          <w:b/>
          <w:bCs/>
          <w:i/>
          <w:iCs/>
          <w:lang w:val="ro-RO"/>
        </w:rPr>
        <w:t>a de energie</w:t>
      </w:r>
      <w:r w:rsidRPr="000A3484">
        <w:rPr>
          <w:b/>
          <w:bCs/>
          <w:i/>
          <w:iCs/>
          <w:lang w:val="ro-RO"/>
        </w:rPr>
        <w:t>, încredere care a fost profund afectată și care trebuie reclădită</w:t>
      </w:r>
      <w:r w:rsidRPr="000A3484">
        <w:rPr>
          <w:lang w:val="ro-RO"/>
        </w:rPr>
        <w:t>”, a declarat George-Sergiu Niculescu, președintele ANRE.</w:t>
      </w:r>
    </w:p>
    <w:p w14:paraId="323294DE" w14:textId="3AF87FAF" w:rsidR="00915A76" w:rsidRPr="000A3484" w:rsidRDefault="00915A76" w:rsidP="000A3484">
      <w:pPr>
        <w:pStyle w:val="NormalWeb"/>
        <w:jc w:val="both"/>
        <w:rPr>
          <w:b/>
          <w:bCs/>
          <w:lang w:val="ro-RO"/>
        </w:rPr>
      </w:pPr>
      <w:r w:rsidRPr="000A3484">
        <w:rPr>
          <w:b/>
          <w:bCs/>
          <w:lang w:val="ro-RO"/>
        </w:rPr>
        <w:t>Mesaje clare, ton empatic, format accesibil</w:t>
      </w:r>
    </w:p>
    <w:p w14:paraId="55F92F9B" w14:textId="77777777" w:rsidR="00915A76" w:rsidRPr="000A3484" w:rsidRDefault="00915A76" w:rsidP="000A3484">
      <w:pPr>
        <w:pStyle w:val="NormalWeb"/>
        <w:jc w:val="both"/>
        <w:rPr>
          <w:color w:val="000000"/>
          <w:lang w:val="ro-RO"/>
        </w:rPr>
      </w:pPr>
      <w:r w:rsidRPr="000A3484">
        <w:rPr>
          <w:color w:val="000000"/>
          <w:lang w:val="ro-RO"/>
        </w:rPr>
        <w:t>Campania se derulează în regim non-comercial și include difuzarea a două spoturi video și două spoturi radio. Materialele au fost concepute pentru a ajunge la publicuri variate – de la consumatorul activ din mediul urban, familiarizat cu piața concurențială, până la consumatorul vulnerabil sau ezitant, care are nevoie de informație clară și încredere în proces.</w:t>
      </w:r>
    </w:p>
    <w:p w14:paraId="53A43216" w14:textId="77777777" w:rsidR="00915A76" w:rsidRPr="000A3484" w:rsidRDefault="00915A76" w:rsidP="000A3484">
      <w:pPr>
        <w:pStyle w:val="NormalWeb"/>
        <w:numPr>
          <w:ilvl w:val="0"/>
          <w:numId w:val="22"/>
        </w:numPr>
        <w:jc w:val="both"/>
        <w:rPr>
          <w:color w:val="000000"/>
          <w:lang w:val="ro-RO"/>
        </w:rPr>
      </w:pPr>
      <w:r w:rsidRPr="000A3484">
        <w:rPr>
          <w:rStyle w:val="Strong"/>
          <w:color w:val="000000"/>
          <w:lang w:val="ro-RO"/>
        </w:rPr>
        <w:t>Primul spot video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color w:val="000000"/>
          <w:lang w:val="ro-RO"/>
        </w:rPr>
        <w:t>are un ton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rStyle w:val="Strong"/>
          <w:color w:val="000000"/>
          <w:lang w:val="ro-RO"/>
        </w:rPr>
        <w:t>informativ și liniștitor</w:t>
      </w:r>
      <w:r w:rsidRPr="000A3484">
        <w:rPr>
          <w:color w:val="000000"/>
          <w:lang w:val="ro-RO"/>
        </w:rPr>
        <w:t>, cu accent pe siguranța procesului de alegere și pe dreptul legal de a schimba furnizorul.</w:t>
      </w:r>
    </w:p>
    <w:p w14:paraId="5D225B98" w14:textId="77777777" w:rsidR="00915A76" w:rsidRPr="000A3484" w:rsidRDefault="00915A76" w:rsidP="000A3484">
      <w:pPr>
        <w:pStyle w:val="NormalWeb"/>
        <w:numPr>
          <w:ilvl w:val="0"/>
          <w:numId w:val="22"/>
        </w:numPr>
        <w:jc w:val="both"/>
        <w:rPr>
          <w:color w:val="000000"/>
          <w:lang w:val="ro-RO"/>
        </w:rPr>
      </w:pPr>
      <w:r w:rsidRPr="000A3484">
        <w:rPr>
          <w:rStyle w:val="Strong"/>
          <w:color w:val="000000"/>
          <w:lang w:val="ro-RO"/>
        </w:rPr>
        <w:t>Al doilea spot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color w:val="000000"/>
          <w:lang w:val="ro-RO"/>
        </w:rPr>
        <w:t>este mai dinamic, adresându-se consumatorilor mai familiarizați cu piața și care caută control și predictibilitate.</w:t>
      </w:r>
    </w:p>
    <w:p w14:paraId="0A20BBC0" w14:textId="77777777" w:rsidR="00915A76" w:rsidRPr="000A3484" w:rsidRDefault="00915A76" w:rsidP="000A3484">
      <w:pPr>
        <w:pStyle w:val="NormalWeb"/>
        <w:jc w:val="both"/>
        <w:rPr>
          <w:color w:val="000000"/>
          <w:lang w:val="ro-RO"/>
        </w:rPr>
      </w:pPr>
      <w:r w:rsidRPr="000A3484">
        <w:rPr>
          <w:color w:val="000000"/>
          <w:lang w:val="ro-RO"/>
        </w:rPr>
        <w:t>Ambele promovează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rStyle w:val="Strong"/>
          <w:color w:val="000000"/>
          <w:lang w:val="ro-RO"/>
        </w:rPr>
        <w:t>comparatorul oficial de oferte ANRE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color w:val="000000"/>
          <w:lang w:val="ro-RO"/>
        </w:rPr>
        <w:t>și transmit mesajul esențial:</w:t>
      </w:r>
      <w:r w:rsidRPr="000A3484">
        <w:rPr>
          <w:rStyle w:val="apple-converted-space"/>
          <w:color w:val="000000"/>
          <w:lang w:val="ro-RO"/>
        </w:rPr>
        <w:t> </w:t>
      </w:r>
      <w:r w:rsidRPr="000A3484">
        <w:rPr>
          <w:rStyle w:val="Emphasis"/>
          <w:color w:val="000000"/>
          <w:lang w:val="ro-RO"/>
        </w:rPr>
        <w:t>ai dreptul să alegi, fără costuri, rapid și informat.</w:t>
      </w:r>
    </w:p>
    <w:p w14:paraId="6844FF3D" w14:textId="4AB8A1B0" w:rsidR="00915A76" w:rsidRPr="000A3484" w:rsidRDefault="00915A76" w:rsidP="000A3484">
      <w:pPr>
        <w:pStyle w:val="NormalWeb"/>
        <w:jc w:val="both"/>
        <w:rPr>
          <w:b/>
          <w:bCs/>
          <w:lang w:val="ro-RO"/>
        </w:rPr>
      </w:pPr>
      <w:r w:rsidRPr="000A3484">
        <w:rPr>
          <w:b/>
          <w:bCs/>
          <w:lang w:val="ro-RO"/>
        </w:rPr>
        <w:t>Campanie aprobată de CNA</w:t>
      </w:r>
    </w:p>
    <w:p w14:paraId="3A00BFB8" w14:textId="281FAA1E" w:rsidR="00915A76" w:rsidRPr="000A3484" w:rsidRDefault="00915A76" w:rsidP="000A3484">
      <w:pPr>
        <w:pStyle w:val="NormalWeb"/>
        <w:jc w:val="both"/>
        <w:rPr>
          <w:lang w:val="ro-RO"/>
        </w:rPr>
      </w:pPr>
      <w:r w:rsidRPr="000A3484">
        <w:rPr>
          <w:lang w:val="ro-RO"/>
        </w:rPr>
        <w:t xml:space="preserve">Campania se desfășoară cu sprijinul CNA și în conformitate cu obligațiile legale ale ANRE prevăzute de Legea nr. 123/2012 privind energia electrică și gazele naturale. </w:t>
      </w:r>
    </w:p>
    <w:p w14:paraId="417BB597" w14:textId="0A19C3F8" w:rsidR="00915A76" w:rsidRPr="000A3484" w:rsidRDefault="00915A76" w:rsidP="000A3484">
      <w:pPr>
        <w:pStyle w:val="NormalWeb"/>
        <w:jc w:val="both"/>
        <w:rPr>
          <w:lang w:val="ro-RO"/>
        </w:rPr>
      </w:pPr>
      <w:r w:rsidRPr="000A3484">
        <w:rPr>
          <w:lang w:val="ro-RO"/>
        </w:rPr>
        <w:t>În ședința publică din 3 iunie 2025, Consiliul Național al Audiovizualului (CNA) a analizat solicitarea ANRE privind campania de informare și a transmis o recomandare oficială către posturile de radio și televiziune, naționale, regionale și locale, de a sprijini difuzarea spoturilor audio-video pe o perioadă de 6 luni.</w:t>
      </w:r>
    </w:p>
    <w:p w14:paraId="0CB6D5FA" w14:textId="41F241B0" w:rsidR="00915A76" w:rsidRPr="000A3484" w:rsidRDefault="00915A76" w:rsidP="000A3484">
      <w:pPr>
        <w:pStyle w:val="NormalWeb"/>
        <w:jc w:val="both"/>
        <w:rPr>
          <w:lang w:val="ro-RO"/>
        </w:rPr>
      </w:pPr>
      <w:r w:rsidRPr="000A3484">
        <w:rPr>
          <w:lang w:val="ro-RO"/>
        </w:rPr>
        <w:lastRenderedPageBreak/>
        <w:t>CNA a subliniat importanța conținutului informativ al materialelor, care vizează conștientizarea consumatorilor finali în ceea ce privește compararea prețurilor din piață și schimbarea rapidă și fără costuri a furnizorului, în contextul revenirii pieței la mecanismele concurențiale.</w:t>
      </w:r>
    </w:p>
    <w:p w14:paraId="12F58D0C" w14:textId="61CDF7D2" w:rsidR="00915A76" w:rsidRPr="000A3484" w:rsidRDefault="00915A76" w:rsidP="000A3484">
      <w:pPr>
        <w:pStyle w:val="NormalWeb"/>
        <w:jc w:val="both"/>
        <w:rPr>
          <w:b/>
          <w:bCs/>
          <w:lang w:val="ro-RO"/>
        </w:rPr>
      </w:pPr>
      <w:r w:rsidRPr="000A3484">
        <w:rPr>
          <w:b/>
          <w:bCs/>
          <w:lang w:val="ro-RO"/>
        </w:rPr>
        <w:t>ANRE, partener activ al consumatorilor</w:t>
      </w:r>
    </w:p>
    <w:p w14:paraId="7130D3BB" w14:textId="4E69F2F2" w:rsidR="00915A76" w:rsidRPr="000A3484" w:rsidRDefault="00915A76" w:rsidP="000A3484">
      <w:pPr>
        <w:pStyle w:val="NormalWeb"/>
        <w:jc w:val="both"/>
        <w:rPr>
          <w:b/>
          <w:bCs/>
          <w:lang w:val="ro-RO"/>
        </w:rPr>
      </w:pPr>
      <w:r w:rsidRPr="000A3484">
        <w:rPr>
          <w:b/>
          <w:bCs/>
          <w:lang w:val="ro-RO"/>
        </w:rPr>
        <w:t>ANRE își reafirmă misiunea de a proteja consumatorul final</w:t>
      </w:r>
      <w:r w:rsidR="008620B0" w:rsidRPr="000A3484">
        <w:rPr>
          <w:b/>
          <w:bCs/>
          <w:lang w:val="ro-RO"/>
        </w:rPr>
        <w:t xml:space="preserve"> de energie</w:t>
      </w:r>
      <w:r w:rsidRPr="000A3484">
        <w:rPr>
          <w:b/>
          <w:bCs/>
          <w:lang w:val="ro-RO"/>
        </w:rPr>
        <w:t>, de a încuraja participarea activă în piață și de a susține echilibrul dintre interesele utilizatorilor și funcționarea eficientă a pieței. În fața unei etape importante pentru liberalizarea pieței, campania ANRE vine să ofere claritate, încredere și sprijin.</w:t>
      </w:r>
    </w:p>
    <w:p w14:paraId="454BF642" w14:textId="77777777" w:rsidR="005279ED" w:rsidRPr="000A3484" w:rsidRDefault="00915A76" w:rsidP="000A3484">
      <w:pPr>
        <w:pStyle w:val="NormalWeb"/>
        <w:jc w:val="both"/>
        <w:rPr>
          <w:lang w:val="ro-RO"/>
        </w:rPr>
      </w:pPr>
      <w:r w:rsidRPr="000A3484">
        <w:rPr>
          <w:lang w:val="ro-RO"/>
        </w:rPr>
        <w:t xml:space="preserve">Spoturile pot fi vizualizate pe: </w:t>
      </w:r>
    </w:p>
    <w:p w14:paraId="67F429B8" w14:textId="2C28E94E" w:rsidR="00915A76" w:rsidRPr="000A3484" w:rsidRDefault="005279ED" w:rsidP="000A3484">
      <w:pPr>
        <w:pStyle w:val="NormalWeb"/>
        <w:numPr>
          <w:ilvl w:val="0"/>
          <w:numId w:val="23"/>
        </w:numPr>
        <w:jc w:val="both"/>
        <w:rPr>
          <w:lang w:val="ro-RO"/>
        </w:rPr>
      </w:pPr>
      <w:r w:rsidRPr="000A3484">
        <w:rPr>
          <w:lang w:val="ro-RO"/>
        </w:rPr>
        <w:t>C</w:t>
      </w:r>
      <w:r w:rsidR="00915A76" w:rsidRPr="000A3484">
        <w:rPr>
          <w:lang w:val="ro-RO"/>
        </w:rPr>
        <w:t xml:space="preserve">analul oficial YouTube ANRE: </w:t>
      </w:r>
      <w:hyperlink r:id="rId7" w:history="1">
        <w:r w:rsidR="00A04859" w:rsidRPr="009C762B">
          <w:rPr>
            <w:rStyle w:val="Hyperlink"/>
            <w:lang w:val="ro-RO"/>
          </w:rPr>
          <w:t>https://www.youtube.com/@anre3806</w:t>
        </w:r>
      </w:hyperlink>
      <w:r w:rsidR="00A04859">
        <w:rPr>
          <w:lang w:val="ro-RO"/>
        </w:rPr>
        <w:t xml:space="preserve"> </w:t>
      </w:r>
    </w:p>
    <w:p w14:paraId="1DDA99DC" w14:textId="789C6D58" w:rsidR="005279ED" w:rsidRPr="000A3484" w:rsidRDefault="005279ED" w:rsidP="000A3484">
      <w:pPr>
        <w:pStyle w:val="NormalWeb"/>
        <w:numPr>
          <w:ilvl w:val="0"/>
          <w:numId w:val="23"/>
        </w:numPr>
        <w:jc w:val="both"/>
        <w:rPr>
          <w:lang w:val="ro-RO"/>
        </w:rPr>
      </w:pPr>
      <w:r w:rsidRPr="000A3484">
        <w:rPr>
          <w:lang w:val="ro-RO"/>
        </w:rPr>
        <w:t xml:space="preserve">Pagina oficială de Facebook ANRE: </w:t>
      </w:r>
      <w:hyperlink r:id="rId8" w:history="1">
        <w:r w:rsidR="00A04859" w:rsidRPr="009C762B">
          <w:rPr>
            <w:rStyle w:val="Hyperlink"/>
            <w:lang w:val="ro-RO"/>
          </w:rPr>
          <w:t>https://www.facebook.com/anreromania/</w:t>
        </w:r>
      </w:hyperlink>
      <w:r w:rsidR="00A04859">
        <w:rPr>
          <w:lang w:val="ro-RO"/>
        </w:rPr>
        <w:t xml:space="preserve"> </w:t>
      </w:r>
    </w:p>
    <w:p w14:paraId="6A95424B" w14:textId="2B8B450E" w:rsidR="005279ED" w:rsidRPr="000A3484" w:rsidRDefault="005279ED" w:rsidP="000A3484">
      <w:pPr>
        <w:pStyle w:val="NormalWeb"/>
        <w:numPr>
          <w:ilvl w:val="0"/>
          <w:numId w:val="23"/>
        </w:numPr>
        <w:jc w:val="both"/>
        <w:rPr>
          <w:lang w:val="ro-RO"/>
        </w:rPr>
      </w:pPr>
      <w:r w:rsidRPr="000A3484">
        <w:rPr>
          <w:lang w:val="ro-RO"/>
        </w:rPr>
        <w:t xml:space="preserve">Pagina de internet a ANRE: </w:t>
      </w:r>
      <w:hyperlink r:id="rId9" w:history="1">
        <w:r w:rsidR="00A04859" w:rsidRPr="009C762B">
          <w:rPr>
            <w:rStyle w:val="Hyperlink"/>
            <w:lang w:val="ro-RO"/>
          </w:rPr>
          <w:t>https://anre.ro/</w:t>
        </w:r>
      </w:hyperlink>
      <w:r w:rsidR="00A04859">
        <w:rPr>
          <w:lang w:val="ro-RO"/>
        </w:rPr>
        <w:t xml:space="preserve"> </w:t>
      </w:r>
    </w:p>
    <w:p w14:paraId="61A125A2" w14:textId="77777777" w:rsidR="00EC425E" w:rsidRPr="000A3484" w:rsidRDefault="00EC425E" w:rsidP="000A3484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i/>
          <w:color w:val="212934"/>
          <w:spacing w:val="4"/>
          <w:lang w:val="ro-RO"/>
        </w:rPr>
      </w:pPr>
      <w:r w:rsidRPr="000A3484">
        <w:rPr>
          <w:rStyle w:val="Emphasis"/>
          <w:b/>
          <w:i w:val="0"/>
          <w:color w:val="212934"/>
          <w:spacing w:val="4"/>
          <w:lang w:val="ro-RO"/>
        </w:rPr>
        <w:t>Direcția relații internaționale, comunicare și soluționare plângeri</w:t>
      </w:r>
    </w:p>
    <w:p w14:paraId="299F09AA" w14:textId="2F080D1A" w:rsidR="001073B3" w:rsidRPr="000A3484" w:rsidRDefault="00500397" w:rsidP="000A3484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i/>
          <w:color w:val="212934"/>
          <w:spacing w:val="4"/>
          <w:lang w:val="ro-RO"/>
        </w:rPr>
      </w:pPr>
      <w:r w:rsidRPr="000A3484">
        <w:rPr>
          <w:rStyle w:val="Emphasis"/>
          <w:b/>
          <w:i w:val="0"/>
          <w:color w:val="212934"/>
          <w:spacing w:val="4"/>
          <w:lang w:val="ro-RO"/>
        </w:rPr>
        <w:t>1</w:t>
      </w:r>
      <w:r w:rsidR="000008BE">
        <w:rPr>
          <w:rStyle w:val="Emphasis"/>
          <w:b/>
          <w:i w:val="0"/>
          <w:color w:val="212934"/>
          <w:spacing w:val="4"/>
          <w:lang w:val="ro-RO"/>
        </w:rPr>
        <w:t>1</w:t>
      </w:r>
      <w:r w:rsidR="00EC425E" w:rsidRPr="000A3484">
        <w:rPr>
          <w:rStyle w:val="Emphasis"/>
          <w:b/>
          <w:i w:val="0"/>
          <w:color w:val="212934"/>
          <w:spacing w:val="4"/>
          <w:lang w:val="ro-RO"/>
        </w:rPr>
        <w:t>.0</w:t>
      </w:r>
      <w:r w:rsidR="006D5361" w:rsidRPr="000A3484">
        <w:rPr>
          <w:rStyle w:val="Emphasis"/>
          <w:b/>
          <w:i w:val="0"/>
          <w:color w:val="212934"/>
          <w:spacing w:val="4"/>
          <w:lang w:val="ro-RO"/>
        </w:rPr>
        <w:t>6</w:t>
      </w:r>
      <w:r w:rsidR="00EC425E" w:rsidRPr="000A3484">
        <w:rPr>
          <w:rStyle w:val="Emphasis"/>
          <w:b/>
          <w:i w:val="0"/>
          <w:color w:val="212934"/>
          <w:spacing w:val="4"/>
          <w:lang w:val="ro-RO"/>
        </w:rPr>
        <w:t>.2025</w:t>
      </w:r>
    </w:p>
    <w:sectPr w:rsidR="001073B3" w:rsidRPr="000A3484" w:rsidSect="003427FA">
      <w:footerReference w:type="default" r:id="rId10"/>
      <w:headerReference w:type="first" r:id="rId11"/>
      <w:footerReference w:type="first" r:id="rId12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0353" w14:textId="77777777" w:rsidR="00435E29" w:rsidRDefault="00435E29" w:rsidP="003B4C37">
      <w:pPr>
        <w:spacing w:after="0" w:line="240" w:lineRule="auto"/>
      </w:pPr>
      <w:r>
        <w:separator/>
      </w:r>
    </w:p>
  </w:endnote>
  <w:endnote w:type="continuationSeparator" w:id="0">
    <w:p w14:paraId="4822A7F8" w14:textId="77777777" w:rsidR="00435E29" w:rsidRDefault="00435E29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7061" w14:textId="77777777" w:rsidR="00435E29" w:rsidRDefault="00435E29" w:rsidP="003B4C37">
      <w:pPr>
        <w:spacing w:after="0" w:line="240" w:lineRule="auto"/>
      </w:pPr>
      <w:r>
        <w:separator/>
      </w:r>
    </w:p>
  </w:footnote>
  <w:footnote w:type="continuationSeparator" w:id="0">
    <w:p w14:paraId="63FB3127" w14:textId="77777777" w:rsidR="00435E29" w:rsidRDefault="00435E29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86082">
    <w:abstractNumId w:val="18"/>
  </w:num>
  <w:num w:numId="2" w16cid:durableId="2106686132">
    <w:abstractNumId w:val="12"/>
  </w:num>
  <w:num w:numId="3" w16cid:durableId="1246693632">
    <w:abstractNumId w:val="9"/>
  </w:num>
  <w:num w:numId="4" w16cid:durableId="118450290">
    <w:abstractNumId w:val="19"/>
  </w:num>
  <w:num w:numId="5" w16cid:durableId="621809953">
    <w:abstractNumId w:val="3"/>
  </w:num>
  <w:num w:numId="6" w16cid:durableId="1074089610">
    <w:abstractNumId w:val="14"/>
  </w:num>
  <w:num w:numId="7" w16cid:durableId="857817964">
    <w:abstractNumId w:val="7"/>
  </w:num>
  <w:num w:numId="8" w16cid:durableId="616839903">
    <w:abstractNumId w:val="4"/>
  </w:num>
  <w:num w:numId="9" w16cid:durableId="1468012379">
    <w:abstractNumId w:val="5"/>
  </w:num>
  <w:num w:numId="10" w16cid:durableId="568465881">
    <w:abstractNumId w:val="6"/>
  </w:num>
  <w:num w:numId="11" w16cid:durableId="628122097">
    <w:abstractNumId w:val="15"/>
  </w:num>
  <w:num w:numId="12" w16cid:durableId="57871855">
    <w:abstractNumId w:val="11"/>
  </w:num>
  <w:num w:numId="13" w16cid:durableId="1656758287">
    <w:abstractNumId w:val="10"/>
  </w:num>
  <w:num w:numId="14" w16cid:durableId="1346790966">
    <w:abstractNumId w:val="0"/>
  </w:num>
  <w:num w:numId="15" w16cid:durableId="2095395716">
    <w:abstractNumId w:val="16"/>
  </w:num>
  <w:num w:numId="16" w16cid:durableId="601189010">
    <w:abstractNumId w:val="22"/>
  </w:num>
  <w:num w:numId="17" w16cid:durableId="1305506997">
    <w:abstractNumId w:val="8"/>
  </w:num>
  <w:num w:numId="18" w16cid:durableId="850413216">
    <w:abstractNumId w:val="20"/>
  </w:num>
  <w:num w:numId="19" w16cid:durableId="1652248463">
    <w:abstractNumId w:val="13"/>
  </w:num>
  <w:num w:numId="20" w16cid:durableId="532771824">
    <w:abstractNumId w:val="2"/>
  </w:num>
  <w:num w:numId="21" w16cid:durableId="881938423">
    <w:abstractNumId w:val="21"/>
  </w:num>
  <w:num w:numId="22" w16cid:durableId="586154682">
    <w:abstractNumId w:val="1"/>
  </w:num>
  <w:num w:numId="23" w16cid:durableId="674069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4383C"/>
    <w:rsid w:val="000770B3"/>
    <w:rsid w:val="00084A83"/>
    <w:rsid w:val="00090741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738A"/>
    <w:rsid w:val="00293F32"/>
    <w:rsid w:val="002A66A8"/>
    <w:rsid w:val="002A6DA5"/>
    <w:rsid w:val="002B3467"/>
    <w:rsid w:val="002C2346"/>
    <w:rsid w:val="002D7393"/>
    <w:rsid w:val="002E3CE4"/>
    <w:rsid w:val="00313EBA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78E8"/>
    <w:rsid w:val="00405B8C"/>
    <w:rsid w:val="004119A7"/>
    <w:rsid w:val="0042783B"/>
    <w:rsid w:val="00435E29"/>
    <w:rsid w:val="00437C42"/>
    <w:rsid w:val="0044444A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40FD2"/>
    <w:rsid w:val="00544B0D"/>
    <w:rsid w:val="00557BC0"/>
    <w:rsid w:val="0056190F"/>
    <w:rsid w:val="00561D6D"/>
    <w:rsid w:val="00562F71"/>
    <w:rsid w:val="00572DF7"/>
    <w:rsid w:val="00574929"/>
    <w:rsid w:val="00587BE2"/>
    <w:rsid w:val="005D0E57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A1460"/>
    <w:rsid w:val="006B51FC"/>
    <w:rsid w:val="006B7CD0"/>
    <w:rsid w:val="006C1CB9"/>
    <w:rsid w:val="006D4F08"/>
    <w:rsid w:val="006D5361"/>
    <w:rsid w:val="006E6A98"/>
    <w:rsid w:val="00711364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45749"/>
    <w:rsid w:val="00847506"/>
    <w:rsid w:val="0085060E"/>
    <w:rsid w:val="008620B0"/>
    <w:rsid w:val="0087454D"/>
    <w:rsid w:val="0088430C"/>
    <w:rsid w:val="0088656E"/>
    <w:rsid w:val="008A4DDE"/>
    <w:rsid w:val="008D7198"/>
    <w:rsid w:val="008F401E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7D43"/>
    <w:rsid w:val="00C2096C"/>
    <w:rsid w:val="00C41C0C"/>
    <w:rsid w:val="00C428F5"/>
    <w:rsid w:val="00C85F0F"/>
    <w:rsid w:val="00CD269C"/>
    <w:rsid w:val="00CD67A9"/>
    <w:rsid w:val="00CF0587"/>
    <w:rsid w:val="00CF2E2C"/>
    <w:rsid w:val="00CF7DC2"/>
    <w:rsid w:val="00D005D5"/>
    <w:rsid w:val="00D133FD"/>
    <w:rsid w:val="00D37EC9"/>
    <w:rsid w:val="00D6263E"/>
    <w:rsid w:val="00D64C0C"/>
    <w:rsid w:val="00D72DAB"/>
    <w:rsid w:val="00D75725"/>
    <w:rsid w:val="00D76985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F36DB"/>
    <w:rsid w:val="00EF44A3"/>
    <w:rsid w:val="00F00275"/>
    <w:rsid w:val="00F34184"/>
    <w:rsid w:val="00F404C1"/>
    <w:rsid w:val="00F41654"/>
    <w:rsid w:val="00F80B77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nreroman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anre380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nre.r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3147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2023-09-04T08:01:00Z</cp:lastPrinted>
  <dcterms:created xsi:type="dcterms:W3CDTF">2025-06-10T15:53:00Z</dcterms:created>
  <dcterms:modified xsi:type="dcterms:W3CDTF">2025-06-11T05:10:00Z</dcterms:modified>
</cp:coreProperties>
</file>