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D8F4A" w14:textId="77777777" w:rsidR="009A321B" w:rsidRDefault="009A321B" w:rsidP="006D5361">
      <w:pPr>
        <w:jc w:val="center"/>
        <w:rPr>
          <w:rFonts w:ascii="Times New Roman" w:hAnsi="Times New Roman" w:cs="Times New Roman"/>
          <w:b/>
          <w:sz w:val="24"/>
          <w:szCs w:val="24"/>
        </w:rPr>
      </w:pPr>
    </w:p>
    <w:p w14:paraId="57CD1491" w14:textId="6A17EC9F" w:rsidR="00EC425E" w:rsidRDefault="00EC425E" w:rsidP="006D5361">
      <w:pPr>
        <w:jc w:val="center"/>
        <w:rPr>
          <w:rFonts w:ascii="Times New Roman" w:hAnsi="Times New Roman" w:cs="Times New Roman"/>
          <w:b/>
          <w:sz w:val="24"/>
          <w:szCs w:val="24"/>
        </w:rPr>
      </w:pPr>
      <w:bookmarkStart w:id="0" w:name="_GoBack"/>
      <w:bookmarkEnd w:id="0"/>
      <w:r w:rsidRPr="006D5361">
        <w:rPr>
          <w:rFonts w:ascii="Times New Roman" w:hAnsi="Times New Roman" w:cs="Times New Roman"/>
          <w:b/>
          <w:sz w:val="24"/>
          <w:szCs w:val="24"/>
        </w:rPr>
        <w:t>COMUNICAT DE PRESĂ</w:t>
      </w:r>
    </w:p>
    <w:p w14:paraId="1122FC5B" w14:textId="77777777" w:rsidR="00EA2E26" w:rsidRPr="00532B88" w:rsidRDefault="00EA2E26" w:rsidP="00EA2E26">
      <w:pPr>
        <w:jc w:val="both"/>
        <w:rPr>
          <w:rFonts w:ascii="Times New Roman" w:hAnsi="Times New Roman" w:cs="Times New Roman"/>
          <w:sz w:val="24"/>
          <w:szCs w:val="24"/>
        </w:rPr>
      </w:pPr>
      <w:r w:rsidRPr="00532B88">
        <w:rPr>
          <w:rFonts w:ascii="Times New Roman" w:hAnsi="Times New Roman" w:cs="Times New Roman"/>
          <w:sz w:val="24"/>
          <w:szCs w:val="24"/>
        </w:rPr>
        <w:t>ANRE a luat act de cele două comunicate publicate de Asociația Prosumatorilor și a Comunităților de Energie (APCE), în care Transelectrica este acuzată că ar încasa „</w:t>
      </w:r>
      <w:r w:rsidRPr="009961E4">
        <w:rPr>
          <w:rFonts w:ascii="Times New Roman" w:hAnsi="Times New Roman" w:cs="Times New Roman"/>
          <w:i/>
          <w:iCs/>
          <w:sz w:val="24"/>
          <w:szCs w:val="24"/>
        </w:rPr>
        <w:t>18 milioane de euro pe nedrept</w:t>
      </w:r>
      <w:r w:rsidRPr="00532B88">
        <w:rPr>
          <w:rFonts w:ascii="Times New Roman" w:hAnsi="Times New Roman" w:cs="Times New Roman"/>
          <w:sz w:val="24"/>
          <w:szCs w:val="24"/>
        </w:rPr>
        <w:t>”, iar ANRE că „</w:t>
      </w:r>
      <w:r w:rsidRPr="009961E4">
        <w:rPr>
          <w:rFonts w:ascii="Times New Roman" w:hAnsi="Times New Roman" w:cs="Times New Roman"/>
          <w:i/>
          <w:iCs/>
          <w:sz w:val="24"/>
          <w:szCs w:val="24"/>
        </w:rPr>
        <w:t>tace</w:t>
      </w:r>
      <w:r w:rsidRPr="00532B88">
        <w:rPr>
          <w:rFonts w:ascii="Times New Roman" w:hAnsi="Times New Roman" w:cs="Times New Roman"/>
          <w:sz w:val="24"/>
          <w:szCs w:val="24"/>
        </w:rPr>
        <w:t xml:space="preserve">” în fața unei </w:t>
      </w:r>
      <w:r w:rsidRPr="009961E4">
        <w:rPr>
          <w:rFonts w:ascii="Times New Roman" w:hAnsi="Times New Roman" w:cs="Times New Roman"/>
          <w:b/>
          <w:bCs/>
          <w:sz w:val="24"/>
          <w:szCs w:val="24"/>
          <w:u w:val="single"/>
        </w:rPr>
        <w:t>presupuse</w:t>
      </w:r>
      <w:r w:rsidRPr="00532B88">
        <w:rPr>
          <w:rFonts w:ascii="Times New Roman" w:hAnsi="Times New Roman" w:cs="Times New Roman"/>
          <w:sz w:val="24"/>
          <w:szCs w:val="24"/>
        </w:rPr>
        <w:t xml:space="preserve"> „</w:t>
      </w:r>
      <w:r w:rsidRPr="009961E4">
        <w:rPr>
          <w:rFonts w:ascii="Times New Roman" w:hAnsi="Times New Roman" w:cs="Times New Roman"/>
          <w:i/>
          <w:iCs/>
          <w:sz w:val="24"/>
          <w:szCs w:val="24"/>
        </w:rPr>
        <w:t>anomalii de sistem</w:t>
      </w:r>
      <w:r w:rsidRPr="00532B88">
        <w:rPr>
          <w:rFonts w:ascii="Times New Roman" w:hAnsi="Times New Roman" w:cs="Times New Roman"/>
          <w:sz w:val="24"/>
          <w:szCs w:val="24"/>
        </w:rPr>
        <w:t>”.</w:t>
      </w:r>
    </w:p>
    <w:p w14:paraId="0637EDC7" w14:textId="151FED20" w:rsidR="00EA2E26" w:rsidRPr="00532B88" w:rsidRDefault="00EA2E26" w:rsidP="00EA2E26">
      <w:pPr>
        <w:jc w:val="both"/>
        <w:rPr>
          <w:rFonts w:ascii="Times New Roman" w:hAnsi="Times New Roman" w:cs="Times New Roman"/>
          <w:sz w:val="24"/>
          <w:szCs w:val="24"/>
        </w:rPr>
      </w:pPr>
      <w:r w:rsidRPr="00532B88">
        <w:rPr>
          <w:rFonts w:ascii="Times New Roman" w:hAnsi="Times New Roman" w:cs="Times New Roman"/>
          <w:sz w:val="24"/>
          <w:szCs w:val="24"/>
        </w:rPr>
        <w:t xml:space="preserve">Pentru corectitudine, trebuie clarificat un aspect esențial: ANRE nu a păstrat tăcerea pentru că APCE ar avea dreptate, ci pentru că nu considerăm oportun să legitimăm, prin reacții pripite, afirmații nefundamentate și </w:t>
      </w:r>
      <w:r w:rsidR="00D6263E" w:rsidRPr="00D6263E">
        <w:rPr>
          <w:rFonts w:ascii="Times New Roman" w:hAnsi="Times New Roman" w:cs="Times New Roman"/>
          <w:sz w:val="24"/>
          <w:szCs w:val="24"/>
        </w:rPr>
        <w:t>calcule făcute pe colțul mesei</w:t>
      </w:r>
      <w:r w:rsidRPr="00532B88">
        <w:rPr>
          <w:rFonts w:ascii="Times New Roman" w:hAnsi="Times New Roman" w:cs="Times New Roman"/>
          <w:sz w:val="24"/>
          <w:szCs w:val="24"/>
        </w:rPr>
        <w:t>.</w:t>
      </w:r>
    </w:p>
    <w:p w14:paraId="2AA9AB8C" w14:textId="7BBAD7A9" w:rsidR="00EA2E26" w:rsidRPr="00532B88" w:rsidRDefault="00EA2E26" w:rsidP="00EA2E26">
      <w:pPr>
        <w:jc w:val="both"/>
        <w:rPr>
          <w:rFonts w:ascii="Times New Roman" w:hAnsi="Times New Roman" w:cs="Times New Roman"/>
          <w:sz w:val="24"/>
          <w:szCs w:val="24"/>
        </w:rPr>
      </w:pPr>
      <w:r w:rsidRPr="00532B88">
        <w:rPr>
          <w:rFonts w:ascii="Times New Roman" w:hAnsi="Times New Roman" w:cs="Times New Roman"/>
          <w:sz w:val="24"/>
          <w:szCs w:val="24"/>
        </w:rPr>
        <w:t xml:space="preserve">Însă, </w:t>
      </w:r>
      <w:r w:rsidR="00D6263E">
        <w:rPr>
          <w:rFonts w:ascii="Times New Roman" w:hAnsi="Times New Roman" w:cs="Times New Roman"/>
          <w:sz w:val="24"/>
          <w:szCs w:val="24"/>
        </w:rPr>
        <w:t>pentru că</w:t>
      </w:r>
      <w:r w:rsidRPr="00532B88">
        <w:rPr>
          <w:rFonts w:ascii="Times New Roman" w:hAnsi="Times New Roman" w:cs="Times New Roman"/>
          <w:sz w:val="24"/>
          <w:szCs w:val="24"/>
        </w:rPr>
        <w:t xml:space="preserve"> subiectul a fost </w:t>
      </w:r>
      <w:r w:rsidR="00D6263E">
        <w:rPr>
          <w:rFonts w:ascii="Times New Roman" w:hAnsi="Times New Roman" w:cs="Times New Roman"/>
          <w:sz w:val="24"/>
          <w:szCs w:val="24"/>
        </w:rPr>
        <w:t>rostogolit</w:t>
      </w:r>
      <w:r w:rsidRPr="00532B88">
        <w:rPr>
          <w:rFonts w:ascii="Times New Roman" w:hAnsi="Times New Roman" w:cs="Times New Roman"/>
          <w:sz w:val="24"/>
          <w:szCs w:val="24"/>
        </w:rPr>
        <w:t xml:space="preserve"> în spațiul public, considerăm necesar să </w:t>
      </w:r>
      <w:r w:rsidR="00D6263E">
        <w:rPr>
          <w:rFonts w:ascii="Times New Roman" w:hAnsi="Times New Roman" w:cs="Times New Roman"/>
          <w:sz w:val="24"/>
          <w:szCs w:val="24"/>
        </w:rPr>
        <w:t>aducem</w:t>
      </w:r>
      <w:r w:rsidRPr="00532B88">
        <w:rPr>
          <w:rFonts w:ascii="Times New Roman" w:hAnsi="Times New Roman" w:cs="Times New Roman"/>
          <w:sz w:val="24"/>
          <w:szCs w:val="24"/>
        </w:rPr>
        <w:t xml:space="preserve"> următoarele </w:t>
      </w:r>
      <w:r w:rsidR="00D6263E">
        <w:rPr>
          <w:rFonts w:ascii="Times New Roman" w:hAnsi="Times New Roman" w:cs="Times New Roman"/>
          <w:sz w:val="24"/>
          <w:szCs w:val="24"/>
        </w:rPr>
        <w:t>clarificări</w:t>
      </w:r>
      <w:r w:rsidRPr="00532B88">
        <w:rPr>
          <w:rFonts w:ascii="Times New Roman" w:hAnsi="Times New Roman" w:cs="Times New Roman"/>
          <w:sz w:val="24"/>
          <w:szCs w:val="24"/>
        </w:rPr>
        <w:t>:</w:t>
      </w:r>
    </w:p>
    <w:p w14:paraId="4A26D730" w14:textId="77777777" w:rsidR="00EA2E26" w:rsidRPr="00532B88" w:rsidRDefault="00EA2E26" w:rsidP="00EA2E26">
      <w:pPr>
        <w:jc w:val="both"/>
        <w:rPr>
          <w:rFonts w:ascii="Times New Roman" w:hAnsi="Times New Roman" w:cs="Times New Roman"/>
          <w:b/>
          <w:sz w:val="24"/>
          <w:szCs w:val="24"/>
        </w:rPr>
      </w:pPr>
      <w:r w:rsidRPr="00532B88">
        <w:rPr>
          <w:rFonts w:ascii="Times New Roman" w:hAnsi="Times New Roman" w:cs="Times New Roman"/>
          <w:b/>
          <w:sz w:val="24"/>
          <w:szCs w:val="24"/>
        </w:rPr>
        <w:t>1. Transelectrica nu încasează sume necuvenite.</w:t>
      </w:r>
    </w:p>
    <w:p w14:paraId="4F1A2CE8" w14:textId="540011DE" w:rsidR="00EA2E26" w:rsidRPr="00532B88" w:rsidRDefault="00EA2E26" w:rsidP="00EA2E26">
      <w:pPr>
        <w:jc w:val="both"/>
        <w:rPr>
          <w:rFonts w:ascii="Times New Roman" w:hAnsi="Times New Roman" w:cs="Times New Roman"/>
          <w:sz w:val="24"/>
          <w:szCs w:val="24"/>
        </w:rPr>
      </w:pPr>
      <w:r w:rsidRPr="00532B88">
        <w:rPr>
          <w:rFonts w:ascii="Times New Roman" w:hAnsi="Times New Roman" w:cs="Times New Roman"/>
          <w:sz w:val="24"/>
          <w:szCs w:val="24"/>
        </w:rPr>
        <w:t xml:space="preserve">Nu există venituri obținute „pe nedrept”. Toate veniturile Transelectrica sunt stabilite de ANRE prin metodologii clare, transparente și conforme cu legislația în vigoare. Aceste sume acoperă exclusiv costurile aferente funcționării și operării operatorului de transport și sistem din România. Nici mai mult, nici mai puțin. Așadar, acuzația potrivit căreia Transelectrica </w:t>
      </w:r>
      <w:r w:rsidR="00D6263E" w:rsidRPr="00D6263E">
        <w:rPr>
          <w:rFonts w:ascii="Times New Roman" w:hAnsi="Times New Roman" w:cs="Times New Roman"/>
          <w:sz w:val="24"/>
          <w:szCs w:val="24"/>
        </w:rPr>
        <w:t xml:space="preserve">„a încasat pe nedrept” </w:t>
      </w:r>
      <w:r w:rsidRPr="00532B88">
        <w:rPr>
          <w:rFonts w:ascii="Times New Roman" w:hAnsi="Times New Roman" w:cs="Times New Roman"/>
          <w:sz w:val="24"/>
          <w:szCs w:val="24"/>
        </w:rPr>
        <w:t>este complet nefondată</w:t>
      </w:r>
      <w:r w:rsidR="00D6263E">
        <w:rPr>
          <w:rFonts w:ascii="Times New Roman" w:hAnsi="Times New Roman" w:cs="Times New Roman"/>
          <w:sz w:val="24"/>
          <w:szCs w:val="24"/>
        </w:rPr>
        <w:t>. Detalii tehnice</w:t>
      </w:r>
      <w:r>
        <w:rPr>
          <w:rFonts w:ascii="Times New Roman" w:hAnsi="Times New Roman" w:cs="Times New Roman"/>
          <w:sz w:val="24"/>
          <w:szCs w:val="24"/>
        </w:rPr>
        <w:t xml:space="preserve"> </w:t>
      </w:r>
      <w:r w:rsidR="00D6263E">
        <w:rPr>
          <w:rFonts w:ascii="Times New Roman" w:hAnsi="Times New Roman" w:cs="Times New Roman"/>
          <w:sz w:val="24"/>
          <w:szCs w:val="24"/>
        </w:rPr>
        <w:t>se regăses</w:t>
      </w:r>
      <w:r w:rsidR="009961E4">
        <w:rPr>
          <w:rFonts w:ascii="Times New Roman" w:hAnsi="Times New Roman" w:cs="Times New Roman"/>
          <w:sz w:val="24"/>
          <w:szCs w:val="24"/>
        </w:rPr>
        <w:t>c</w:t>
      </w:r>
      <w:r>
        <w:rPr>
          <w:rFonts w:ascii="Times New Roman" w:hAnsi="Times New Roman" w:cs="Times New Roman"/>
          <w:sz w:val="24"/>
          <w:szCs w:val="24"/>
        </w:rPr>
        <w:t xml:space="preserve"> în comunicatul Transelectrica din data de 2 iunie 2025.</w:t>
      </w:r>
      <w:r w:rsidR="009961E4" w:rsidRPr="009961E4">
        <w:t xml:space="preserve"> </w:t>
      </w:r>
      <w:hyperlink r:id="rId7" w:history="1">
        <w:r w:rsidR="009961E4" w:rsidRPr="003634A6">
          <w:rPr>
            <w:rStyle w:val="Hyperlink"/>
            <w:rFonts w:ascii="Times New Roman" w:hAnsi="Times New Roman" w:cs="Times New Roman"/>
            <w:sz w:val="24"/>
            <w:szCs w:val="24"/>
          </w:rPr>
          <w:t>https://web.transelectrica.ro/noutati/noutati/575_2025.06.02_15-13-12.pdf</w:t>
        </w:r>
      </w:hyperlink>
      <w:r w:rsidR="009961E4">
        <w:rPr>
          <w:rFonts w:ascii="Times New Roman" w:hAnsi="Times New Roman" w:cs="Times New Roman"/>
          <w:sz w:val="24"/>
          <w:szCs w:val="24"/>
        </w:rPr>
        <w:t xml:space="preserve"> </w:t>
      </w:r>
      <w:r w:rsidR="00D6263E">
        <w:rPr>
          <w:rFonts w:ascii="Times New Roman" w:hAnsi="Times New Roman" w:cs="Times New Roman"/>
          <w:sz w:val="24"/>
          <w:szCs w:val="24"/>
        </w:rPr>
        <w:t xml:space="preserve"> </w:t>
      </w:r>
    </w:p>
    <w:p w14:paraId="3A39A7FC" w14:textId="77777777" w:rsidR="00EA2E26" w:rsidRPr="00532B88" w:rsidRDefault="00EA2E26" w:rsidP="00EA2E26">
      <w:pPr>
        <w:jc w:val="both"/>
        <w:rPr>
          <w:rFonts w:ascii="Times New Roman" w:hAnsi="Times New Roman" w:cs="Times New Roman"/>
          <w:b/>
          <w:sz w:val="24"/>
          <w:szCs w:val="24"/>
        </w:rPr>
      </w:pPr>
      <w:r w:rsidRPr="00532B88">
        <w:rPr>
          <w:rFonts w:ascii="Times New Roman" w:hAnsi="Times New Roman" w:cs="Times New Roman"/>
          <w:b/>
          <w:sz w:val="24"/>
          <w:szCs w:val="24"/>
        </w:rPr>
        <w:t>2. Rețeaua de transport nu funcționează pe principiul „plătești doar dacă o folosești direct”.</w:t>
      </w:r>
    </w:p>
    <w:p w14:paraId="50EE3102" w14:textId="2E02EEB5" w:rsidR="00EA2E26" w:rsidRPr="00532B88" w:rsidRDefault="00EA2E26" w:rsidP="00EA2E26">
      <w:pPr>
        <w:jc w:val="both"/>
        <w:rPr>
          <w:rFonts w:ascii="Times New Roman" w:hAnsi="Times New Roman" w:cs="Times New Roman"/>
          <w:sz w:val="24"/>
          <w:szCs w:val="24"/>
        </w:rPr>
      </w:pPr>
      <w:r w:rsidRPr="00532B88">
        <w:rPr>
          <w:rFonts w:ascii="Times New Roman" w:hAnsi="Times New Roman" w:cs="Times New Roman"/>
          <w:sz w:val="24"/>
          <w:szCs w:val="24"/>
        </w:rPr>
        <w:t xml:space="preserve">Afirmațiile APCE reflectă, din nou, o abordare superficială și lipsită de rigoare profesională. Sistemul energetic nu poate fi comparat cu un taxi care pornește </w:t>
      </w:r>
      <w:r w:rsidR="00D6263E">
        <w:rPr>
          <w:rFonts w:ascii="Times New Roman" w:hAnsi="Times New Roman" w:cs="Times New Roman"/>
          <w:sz w:val="24"/>
          <w:szCs w:val="24"/>
        </w:rPr>
        <w:t>aparatul de taxat d</w:t>
      </w:r>
      <w:r w:rsidRPr="00532B88">
        <w:rPr>
          <w:rFonts w:ascii="Times New Roman" w:hAnsi="Times New Roman" w:cs="Times New Roman"/>
          <w:sz w:val="24"/>
          <w:szCs w:val="24"/>
        </w:rPr>
        <w:t>oar când clientul se urcă. Siguranța Sistemului Energetic Național depinde de echilibrarea continuă a întregii rețele – un efort complex și esențial realizat de specialiștii Transelectrica. Chiar dacă acest serviciu nu este vizibil pentru toți consumatorii, el există și este indispensabil.</w:t>
      </w:r>
    </w:p>
    <w:p w14:paraId="5CDAF7FC" w14:textId="77777777" w:rsidR="00EA2E26" w:rsidRPr="00532B88" w:rsidRDefault="00EA2E26" w:rsidP="00EA2E26">
      <w:pPr>
        <w:jc w:val="both"/>
        <w:rPr>
          <w:rFonts w:ascii="Times New Roman" w:hAnsi="Times New Roman" w:cs="Times New Roman"/>
          <w:b/>
          <w:sz w:val="24"/>
          <w:szCs w:val="24"/>
        </w:rPr>
      </w:pPr>
      <w:r w:rsidRPr="00532B88">
        <w:rPr>
          <w:rFonts w:ascii="Times New Roman" w:hAnsi="Times New Roman" w:cs="Times New Roman"/>
          <w:b/>
          <w:sz w:val="24"/>
          <w:szCs w:val="24"/>
        </w:rPr>
        <w:t>3. Ce înseamnă „să nu plătească prosumatorii”?</w:t>
      </w:r>
    </w:p>
    <w:p w14:paraId="57686BB7" w14:textId="6FF62649" w:rsidR="00EA2E26" w:rsidRPr="00532B88" w:rsidRDefault="00EA2E26" w:rsidP="00EA2E26">
      <w:pPr>
        <w:jc w:val="both"/>
        <w:rPr>
          <w:rFonts w:ascii="Times New Roman" w:hAnsi="Times New Roman" w:cs="Times New Roman"/>
          <w:sz w:val="24"/>
          <w:szCs w:val="24"/>
        </w:rPr>
      </w:pPr>
      <w:r w:rsidRPr="00532B88">
        <w:rPr>
          <w:rFonts w:ascii="Times New Roman" w:hAnsi="Times New Roman" w:cs="Times New Roman"/>
          <w:sz w:val="24"/>
          <w:szCs w:val="24"/>
        </w:rPr>
        <w:t xml:space="preserve">Înseamnă că povara financiară va fi transferată către </w:t>
      </w:r>
      <w:r w:rsidR="009961E4">
        <w:rPr>
          <w:rFonts w:ascii="Times New Roman" w:hAnsi="Times New Roman" w:cs="Times New Roman"/>
          <w:sz w:val="24"/>
          <w:szCs w:val="24"/>
        </w:rPr>
        <w:t>ceilalţi</w:t>
      </w:r>
      <w:r w:rsidRPr="00532B88">
        <w:rPr>
          <w:rFonts w:ascii="Times New Roman" w:hAnsi="Times New Roman" w:cs="Times New Roman"/>
          <w:sz w:val="24"/>
          <w:szCs w:val="24"/>
        </w:rPr>
        <w:t xml:space="preserve"> consumatori – companii, instituții publice, spitale, școli și gospodării. Eliminarea unei categorii de la contribuție nu înlătură costul, ci </w:t>
      </w:r>
      <w:r w:rsidR="009961E4">
        <w:rPr>
          <w:rFonts w:ascii="Times New Roman" w:hAnsi="Times New Roman" w:cs="Times New Roman"/>
          <w:sz w:val="24"/>
          <w:szCs w:val="24"/>
        </w:rPr>
        <w:t>se împarte celorlalţi</w:t>
      </w:r>
      <w:r w:rsidRPr="00532B88">
        <w:rPr>
          <w:rFonts w:ascii="Times New Roman" w:hAnsi="Times New Roman" w:cs="Times New Roman"/>
          <w:sz w:val="24"/>
          <w:szCs w:val="24"/>
        </w:rPr>
        <w:t xml:space="preserve">. </w:t>
      </w:r>
    </w:p>
    <w:p w14:paraId="5BF93E45" w14:textId="5127BB33" w:rsidR="00EA2E26" w:rsidRPr="00532B88" w:rsidRDefault="00EA2E26" w:rsidP="00EA2E26">
      <w:pPr>
        <w:jc w:val="both"/>
        <w:rPr>
          <w:rFonts w:ascii="Times New Roman" w:hAnsi="Times New Roman" w:cs="Times New Roman"/>
          <w:b/>
          <w:sz w:val="24"/>
          <w:szCs w:val="24"/>
        </w:rPr>
      </w:pPr>
      <w:r w:rsidRPr="00532B88">
        <w:rPr>
          <w:rFonts w:ascii="Times New Roman" w:hAnsi="Times New Roman" w:cs="Times New Roman"/>
          <w:b/>
          <w:sz w:val="24"/>
          <w:szCs w:val="24"/>
        </w:rPr>
        <w:t>4. ANRE susține dezvoltarea prosumatorilor – dar nu prin populism</w:t>
      </w:r>
      <w:r w:rsidR="009961E4">
        <w:rPr>
          <w:rFonts w:ascii="Times New Roman" w:hAnsi="Times New Roman" w:cs="Times New Roman"/>
          <w:b/>
          <w:sz w:val="24"/>
          <w:szCs w:val="24"/>
        </w:rPr>
        <w:t>e</w:t>
      </w:r>
      <w:r w:rsidRPr="00532B88">
        <w:rPr>
          <w:rFonts w:ascii="Times New Roman" w:hAnsi="Times New Roman" w:cs="Times New Roman"/>
          <w:b/>
          <w:sz w:val="24"/>
          <w:szCs w:val="24"/>
        </w:rPr>
        <w:t>.</w:t>
      </w:r>
    </w:p>
    <w:p w14:paraId="03D6C166" w14:textId="77777777" w:rsidR="00EA2E26" w:rsidRPr="00532B88" w:rsidRDefault="00EA2E26" w:rsidP="00EA2E26">
      <w:pPr>
        <w:jc w:val="both"/>
        <w:rPr>
          <w:rFonts w:ascii="Times New Roman" w:hAnsi="Times New Roman" w:cs="Times New Roman"/>
          <w:sz w:val="24"/>
          <w:szCs w:val="24"/>
        </w:rPr>
      </w:pPr>
      <w:r w:rsidRPr="00532B88">
        <w:rPr>
          <w:rFonts w:ascii="Times New Roman" w:hAnsi="Times New Roman" w:cs="Times New Roman"/>
          <w:sz w:val="24"/>
          <w:szCs w:val="24"/>
        </w:rPr>
        <w:t xml:space="preserve">Creșterea semnificativă a numărului de prosumatori în România reprezintă un succes. ANRE a contribuit activ la acest rezultat, prin simplificarea reglementărilor, promovarea unor facilități și crearea unui cadru de dezvoltare. Însă transformarea fiecărei facturi într-un pretext de </w:t>
      </w:r>
      <w:r>
        <w:rPr>
          <w:rFonts w:ascii="Times New Roman" w:hAnsi="Times New Roman" w:cs="Times New Roman"/>
          <w:sz w:val="24"/>
          <w:szCs w:val="24"/>
        </w:rPr>
        <w:t xml:space="preserve">dispută </w:t>
      </w:r>
      <w:r w:rsidRPr="00532B88">
        <w:rPr>
          <w:rFonts w:ascii="Times New Roman" w:hAnsi="Times New Roman" w:cs="Times New Roman"/>
          <w:sz w:val="24"/>
          <w:szCs w:val="24"/>
        </w:rPr>
        <w:t>și a fiecărui tarif într-o „conspirație” nu contribuie la progresul sectorului energetic și nici la informarea corectă a publicului.</w:t>
      </w:r>
    </w:p>
    <w:p w14:paraId="60C621D9" w14:textId="77777777" w:rsidR="00EA2E26" w:rsidRPr="00532B88" w:rsidRDefault="00EA2E26" w:rsidP="00EA2E26">
      <w:pPr>
        <w:jc w:val="both"/>
        <w:rPr>
          <w:rFonts w:ascii="Times New Roman" w:hAnsi="Times New Roman" w:cs="Times New Roman"/>
          <w:sz w:val="24"/>
          <w:szCs w:val="24"/>
        </w:rPr>
      </w:pPr>
      <w:r w:rsidRPr="00532B88">
        <w:rPr>
          <w:rFonts w:ascii="Times New Roman" w:hAnsi="Times New Roman" w:cs="Times New Roman"/>
          <w:sz w:val="24"/>
          <w:szCs w:val="24"/>
        </w:rPr>
        <w:t>În concluzie:</w:t>
      </w:r>
    </w:p>
    <w:p w14:paraId="2C0D59B9" w14:textId="77777777" w:rsidR="00EA2E26" w:rsidRPr="009961E4" w:rsidRDefault="00EA2E26" w:rsidP="00EA2E26">
      <w:pPr>
        <w:jc w:val="both"/>
        <w:rPr>
          <w:rFonts w:ascii="Times New Roman" w:hAnsi="Times New Roman" w:cs="Times New Roman"/>
          <w:b/>
          <w:bCs/>
          <w:sz w:val="24"/>
          <w:szCs w:val="24"/>
          <w:u w:val="single"/>
        </w:rPr>
      </w:pPr>
      <w:r w:rsidRPr="009961E4">
        <w:rPr>
          <w:rFonts w:ascii="Times New Roman" w:hAnsi="Times New Roman" w:cs="Times New Roman"/>
          <w:b/>
          <w:bCs/>
          <w:sz w:val="24"/>
          <w:szCs w:val="24"/>
          <w:u w:val="single"/>
        </w:rPr>
        <w:t>ANRE nu tace. ANRE reglementează corect și conform legii!</w:t>
      </w:r>
    </w:p>
    <w:p w14:paraId="7FAE6D39" w14:textId="36402E38" w:rsidR="00EC425E" w:rsidRPr="006D5361" w:rsidRDefault="00EC425E" w:rsidP="006D5361">
      <w:pPr>
        <w:jc w:val="both"/>
        <w:rPr>
          <w:rFonts w:ascii="Times New Roman" w:hAnsi="Times New Roman" w:cs="Times New Roman"/>
          <w:sz w:val="24"/>
          <w:szCs w:val="24"/>
        </w:rPr>
      </w:pPr>
    </w:p>
    <w:p w14:paraId="61A125A2" w14:textId="77777777" w:rsidR="00EC425E" w:rsidRPr="006D5361" w:rsidRDefault="00EC425E" w:rsidP="006D5361">
      <w:pPr>
        <w:pStyle w:val="NormalWeb"/>
        <w:shd w:val="clear" w:color="auto" w:fill="FFFFFF"/>
        <w:spacing w:before="0" w:beforeAutospacing="0" w:after="300" w:afterAutospacing="0"/>
        <w:jc w:val="both"/>
        <w:rPr>
          <w:b/>
          <w:i/>
          <w:color w:val="212934"/>
          <w:spacing w:val="4"/>
        </w:rPr>
      </w:pPr>
      <w:proofErr w:type="spellStart"/>
      <w:r w:rsidRPr="006D5361">
        <w:rPr>
          <w:rStyle w:val="Emphasis"/>
          <w:b/>
          <w:i w:val="0"/>
          <w:color w:val="212934"/>
          <w:spacing w:val="4"/>
        </w:rPr>
        <w:t>Direcția</w:t>
      </w:r>
      <w:proofErr w:type="spellEnd"/>
      <w:r w:rsidRPr="006D5361">
        <w:rPr>
          <w:rStyle w:val="Emphasis"/>
          <w:b/>
          <w:i w:val="0"/>
          <w:color w:val="212934"/>
          <w:spacing w:val="4"/>
        </w:rPr>
        <w:t xml:space="preserve"> </w:t>
      </w:r>
      <w:proofErr w:type="spellStart"/>
      <w:r w:rsidRPr="006D5361">
        <w:rPr>
          <w:rStyle w:val="Emphasis"/>
          <w:b/>
          <w:i w:val="0"/>
          <w:color w:val="212934"/>
          <w:spacing w:val="4"/>
        </w:rPr>
        <w:t>relații</w:t>
      </w:r>
      <w:proofErr w:type="spellEnd"/>
      <w:r w:rsidRPr="006D5361">
        <w:rPr>
          <w:rStyle w:val="Emphasis"/>
          <w:b/>
          <w:i w:val="0"/>
          <w:color w:val="212934"/>
          <w:spacing w:val="4"/>
        </w:rPr>
        <w:t xml:space="preserve"> </w:t>
      </w:r>
      <w:proofErr w:type="spellStart"/>
      <w:r w:rsidRPr="006D5361">
        <w:rPr>
          <w:rStyle w:val="Emphasis"/>
          <w:b/>
          <w:i w:val="0"/>
          <w:color w:val="212934"/>
          <w:spacing w:val="4"/>
        </w:rPr>
        <w:t>internaționale</w:t>
      </w:r>
      <w:proofErr w:type="spellEnd"/>
      <w:r w:rsidRPr="006D5361">
        <w:rPr>
          <w:rStyle w:val="Emphasis"/>
          <w:b/>
          <w:i w:val="0"/>
          <w:color w:val="212934"/>
          <w:spacing w:val="4"/>
        </w:rPr>
        <w:t xml:space="preserve">, </w:t>
      </w:r>
      <w:proofErr w:type="spellStart"/>
      <w:r w:rsidRPr="006D5361">
        <w:rPr>
          <w:rStyle w:val="Emphasis"/>
          <w:b/>
          <w:i w:val="0"/>
          <w:color w:val="212934"/>
          <w:spacing w:val="4"/>
        </w:rPr>
        <w:t>comunicare</w:t>
      </w:r>
      <w:proofErr w:type="spellEnd"/>
      <w:r w:rsidRPr="006D5361">
        <w:rPr>
          <w:rStyle w:val="Emphasis"/>
          <w:b/>
          <w:i w:val="0"/>
          <w:color w:val="212934"/>
          <w:spacing w:val="4"/>
        </w:rPr>
        <w:t xml:space="preserve"> </w:t>
      </w:r>
      <w:proofErr w:type="spellStart"/>
      <w:r w:rsidRPr="006D5361">
        <w:rPr>
          <w:rStyle w:val="Emphasis"/>
          <w:b/>
          <w:i w:val="0"/>
          <w:color w:val="212934"/>
          <w:spacing w:val="4"/>
        </w:rPr>
        <w:t>și</w:t>
      </w:r>
      <w:proofErr w:type="spellEnd"/>
      <w:r w:rsidRPr="006D5361">
        <w:rPr>
          <w:rStyle w:val="Emphasis"/>
          <w:b/>
          <w:i w:val="0"/>
          <w:color w:val="212934"/>
          <w:spacing w:val="4"/>
        </w:rPr>
        <w:t xml:space="preserve"> </w:t>
      </w:r>
      <w:proofErr w:type="spellStart"/>
      <w:r w:rsidRPr="006D5361">
        <w:rPr>
          <w:rStyle w:val="Emphasis"/>
          <w:b/>
          <w:i w:val="0"/>
          <w:color w:val="212934"/>
          <w:spacing w:val="4"/>
        </w:rPr>
        <w:t>soluționare</w:t>
      </w:r>
      <w:proofErr w:type="spellEnd"/>
      <w:r w:rsidRPr="006D5361">
        <w:rPr>
          <w:rStyle w:val="Emphasis"/>
          <w:b/>
          <w:i w:val="0"/>
          <w:color w:val="212934"/>
          <w:spacing w:val="4"/>
        </w:rPr>
        <w:t xml:space="preserve"> </w:t>
      </w:r>
      <w:proofErr w:type="spellStart"/>
      <w:r w:rsidRPr="006D5361">
        <w:rPr>
          <w:rStyle w:val="Emphasis"/>
          <w:b/>
          <w:i w:val="0"/>
          <w:color w:val="212934"/>
          <w:spacing w:val="4"/>
        </w:rPr>
        <w:t>plângeri</w:t>
      </w:r>
      <w:proofErr w:type="spellEnd"/>
    </w:p>
    <w:p w14:paraId="299F09AA" w14:textId="52E87584" w:rsidR="001073B3" w:rsidRPr="006D5361" w:rsidRDefault="006D5361" w:rsidP="006D5361">
      <w:pPr>
        <w:pStyle w:val="NormalWeb"/>
        <w:shd w:val="clear" w:color="auto" w:fill="FFFFFF"/>
        <w:spacing w:before="0" w:beforeAutospacing="0" w:after="300" w:afterAutospacing="0"/>
        <w:jc w:val="both"/>
        <w:rPr>
          <w:b/>
          <w:i/>
          <w:color w:val="212934"/>
          <w:spacing w:val="4"/>
        </w:rPr>
      </w:pPr>
      <w:r w:rsidRPr="006D5361">
        <w:rPr>
          <w:rStyle w:val="Emphasis"/>
          <w:b/>
          <w:i w:val="0"/>
          <w:color w:val="212934"/>
          <w:spacing w:val="4"/>
        </w:rPr>
        <w:t>04</w:t>
      </w:r>
      <w:r w:rsidR="00EC425E" w:rsidRPr="006D5361">
        <w:rPr>
          <w:rStyle w:val="Emphasis"/>
          <w:b/>
          <w:i w:val="0"/>
          <w:color w:val="212934"/>
          <w:spacing w:val="4"/>
        </w:rPr>
        <w:t>.0</w:t>
      </w:r>
      <w:r w:rsidRPr="006D5361">
        <w:rPr>
          <w:rStyle w:val="Emphasis"/>
          <w:b/>
          <w:i w:val="0"/>
          <w:color w:val="212934"/>
          <w:spacing w:val="4"/>
        </w:rPr>
        <w:t>6</w:t>
      </w:r>
      <w:r w:rsidR="00EC425E" w:rsidRPr="006D5361">
        <w:rPr>
          <w:rStyle w:val="Emphasis"/>
          <w:b/>
          <w:i w:val="0"/>
          <w:color w:val="212934"/>
          <w:spacing w:val="4"/>
        </w:rPr>
        <w:t>.2025</w:t>
      </w:r>
    </w:p>
    <w:sectPr w:rsidR="001073B3" w:rsidRPr="006D5361" w:rsidSect="003427FA">
      <w:footerReference w:type="default" r:id="rId8"/>
      <w:headerReference w:type="first" r:id="rId9"/>
      <w:footerReference w:type="first" r:id="rId10"/>
      <w:pgSz w:w="11906" w:h="16838" w:code="9"/>
      <w:pgMar w:top="1418" w:right="849" w:bottom="1276" w:left="1134" w:header="28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67B37" w14:textId="77777777" w:rsidR="007C7406" w:rsidRDefault="007C7406" w:rsidP="003B4C37">
      <w:pPr>
        <w:spacing w:after="0" w:line="240" w:lineRule="auto"/>
      </w:pPr>
      <w:r>
        <w:separator/>
      </w:r>
    </w:p>
  </w:endnote>
  <w:endnote w:type="continuationSeparator" w:id="0">
    <w:p w14:paraId="4923EE56" w14:textId="77777777" w:rsidR="007C7406" w:rsidRDefault="007C7406" w:rsidP="003B4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8072404"/>
      <w:docPartObj>
        <w:docPartGallery w:val="Page Numbers (Bottom of Page)"/>
        <w:docPartUnique/>
      </w:docPartObj>
    </w:sdtPr>
    <w:sdtEndPr>
      <w:rPr>
        <w:noProof/>
      </w:rPr>
    </w:sdtEndPr>
    <w:sdtContent>
      <w:p w14:paraId="6E85AF7E" w14:textId="77777777" w:rsidR="00561D6D" w:rsidRDefault="00561D6D">
        <w:pPr>
          <w:pStyle w:val="Footer"/>
          <w:jc w:val="center"/>
        </w:pPr>
        <w:r>
          <w:fldChar w:fldCharType="begin"/>
        </w:r>
        <w:r>
          <w:instrText xml:space="preserve"> PAGE   \* MERGEFORMAT </w:instrText>
        </w:r>
        <w:r>
          <w:fldChar w:fldCharType="separate"/>
        </w:r>
        <w:r w:rsidR="00E43B64">
          <w:rPr>
            <w:noProof/>
          </w:rPr>
          <w:t>2</w:t>
        </w:r>
        <w:r>
          <w:rPr>
            <w:noProof/>
          </w:rPr>
          <w:fldChar w:fldCharType="end"/>
        </w:r>
      </w:p>
    </w:sdtContent>
  </w:sdt>
  <w:p w14:paraId="19AA60F9" w14:textId="77777777" w:rsidR="00561D6D" w:rsidRDefault="00561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8F04D" w14:textId="77777777" w:rsidR="003B4C37" w:rsidRPr="00A63C0A" w:rsidRDefault="003B4C37" w:rsidP="00561D6D">
    <w:pPr>
      <w:tabs>
        <w:tab w:val="left" w:pos="2475"/>
        <w:tab w:val="center" w:pos="5031"/>
      </w:tabs>
      <w:spacing w:after="40" w:line="240" w:lineRule="auto"/>
      <w:jc w:val="center"/>
      <w:rPr>
        <w:rFonts w:ascii="Arial" w:hAnsi="Arial" w:cs="Arial"/>
        <w:sz w:val="16"/>
      </w:rPr>
    </w:pPr>
    <w:r w:rsidRPr="00A63C0A">
      <w:rPr>
        <w:rFonts w:ascii="Arial" w:hAnsi="Arial" w:cs="Arial"/>
        <w:sz w:val="16"/>
      </w:rPr>
      <w:t>Str. Constantin Nacu, nr. 3, Sector 2, Bucureşti, Cod poştal: 020995</w:t>
    </w:r>
  </w:p>
  <w:p w14:paraId="3A079550" w14:textId="77777777" w:rsidR="003B4C37" w:rsidRPr="00160D1D" w:rsidRDefault="00F80B77" w:rsidP="00F80B77">
    <w:pPr>
      <w:tabs>
        <w:tab w:val="center" w:pos="4864"/>
        <w:tab w:val="left" w:pos="8235"/>
      </w:tabs>
      <w:spacing w:after="40" w:line="240" w:lineRule="auto"/>
      <w:rPr>
        <w:rFonts w:ascii="Arial" w:hAnsi="Arial" w:cs="Arial"/>
        <w:sz w:val="16"/>
      </w:rPr>
    </w:pPr>
    <w:r>
      <w:rPr>
        <w:rFonts w:ascii="Arial" w:hAnsi="Arial" w:cs="Arial"/>
        <w:sz w:val="16"/>
      </w:rPr>
      <w:tab/>
    </w:r>
    <w:r w:rsidR="003B4C37" w:rsidRPr="00A63C0A">
      <w:rPr>
        <w:rFonts w:ascii="Arial" w:hAnsi="Arial" w:cs="Arial"/>
        <w:sz w:val="16"/>
      </w:rPr>
      <w:t>Tel: (021) 327 8100. Fax: (021) 312 4365. E-mail: anre@anre.ro. Web: www.anre.ro</w:t>
    </w:r>
    <w:r>
      <w:rPr>
        <w:rFonts w:ascii="Arial" w:hAnsi="Arial" w:cs="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D215C" w14:textId="77777777" w:rsidR="007C7406" w:rsidRDefault="007C7406" w:rsidP="003B4C37">
      <w:pPr>
        <w:spacing w:after="0" w:line="240" w:lineRule="auto"/>
      </w:pPr>
      <w:r>
        <w:separator/>
      </w:r>
    </w:p>
  </w:footnote>
  <w:footnote w:type="continuationSeparator" w:id="0">
    <w:p w14:paraId="76EDF7DF" w14:textId="77777777" w:rsidR="007C7406" w:rsidRDefault="007C7406" w:rsidP="003B4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C865A" w14:textId="77777777" w:rsidR="003B4C37" w:rsidRDefault="0027738A" w:rsidP="00561D6D">
    <w:pPr>
      <w:pStyle w:val="Header"/>
      <w:tabs>
        <w:tab w:val="clear" w:pos="9026"/>
        <w:tab w:val="right" w:pos="7349"/>
      </w:tabs>
    </w:pPr>
    <w:r>
      <w:rPr>
        <w:noProof/>
        <w:lang w:val="en-US"/>
      </w:rPr>
      <w:drawing>
        <wp:anchor distT="0" distB="0" distL="114300" distR="114300" simplePos="0" relativeHeight="251661312" behindDoc="1" locked="0" layoutInCell="1" allowOverlap="1" wp14:anchorId="3A33E2B8" wp14:editId="738D7EE3">
          <wp:simplePos x="0" y="0"/>
          <wp:positionH relativeFrom="column">
            <wp:posOffset>5800090</wp:posOffset>
          </wp:positionH>
          <wp:positionV relativeFrom="paragraph">
            <wp:posOffset>7620</wp:posOffset>
          </wp:positionV>
          <wp:extent cx="467995" cy="676275"/>
          <wp:effectExtent l="0" t="0" r="8255" b="9525"/>
          <wp:wrapTight wrapText="bothSides">
            <wp:wrapPolygon edited="0">
              <wp:start x="0" y="0"/>
              <wp:lineTo x="0" y="19470"/>
              <wp:lineTo x="7034" y="21296"/>
              <wp:lineTo x="14068" y="21296"/>
              <wp:lineTo x="21102" y="19470"/>
              <wp:lineTo x="2110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at_of_arms_of_Romania.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995" cy="676275"/>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9264" behindDoc="0" locked="0" layoutInCell="1" allowOverlap="1" wp14:anchorId="1649C6B3" wp14:editId="27587ACD">
              <wp:simplePos x="0" y="0"/>
              <wp:positionH relativeFrom="margin">
                <wp:posOffset>652145</wp:posOffset>
              </wp:positionH>
              <wp:positionV relativeFrom="paragraph">
                <wp:posOffset>153035</wp:posOffset>
              </wp:positionV>
              <wp:extent cx="5191125" cy="561975"/>
              <wp:effectExtent l="0" t="0" r="0" b="0"/>
              <wp:wrapNone/>
              <wp:docPr id="1" name="Text Box 1"/>
              <wp:cNvGraphicFramePr/>
              <a:graphic xmlns:a="http://schemas.openxmlformats.org/drawingml/2006/main">
                <a:graphicData uri="http://schemas.microsoft.com/office/word/2010/wordprocessingShape">
                  <wps:wsp>
                    <wps:cNvSpPr txBox="1"/>
                    <wps:spPr>
                      <a:xfrm>
                        <a:off x="0" y="0"/>
                        <a:ext cx="5191125"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0A8092" w14:textId="77777777" w:rsidR="003B4C37" w:rsidRPr="00A70B44" w:rsidRDefault="003B4C37" w:rsidP="003B4C37">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6AD00858" w14:textId="1C8D267A" w:rsidR="00AF71FE" w:rsidRPr="004B1447" w:rsidRDefault="004D2EC1" w:rsidP="003B4C37">
                          <w:pPr>
                            <w:spacing w:after="0" w:line="240" w:lineRule="auto"/>
                            <w:jc w:val="center"/>
                            <w:rPr>
                              <w:rFonts w:ascii="Arial" w:hAnsi="Arial" w:cs="Arial"/>
                              <w:sz w:val="20"/>
                            </w:rPr>
                          </w:pPr>
                          <w:r w:rsidRPr="004D2EC1">
                            <w:rPr>
                              <w:rFonts w:ascii="Arial" w:hAnsi="Arial" w:cs="Arial"/>
                              <w:sz w:val="20"/>
                            </w:rPr>
                            <w:t>Direcţia Relaţii Internaţionale, Comunicare şi Soluţionare Plângeri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649C6B3" id="_x0000_t202" coordsize="21600,21600" o:spt="202" path="m,l,21600r21600,l21600,xe">
              <v:stroke joinstyle="miter"/>
              <v:path gradientshapeok="t" o:connecttype="rect"/>
            </v:shapetype>
            <v:shape id="Text Box 1" o:spid="_x0000_s1026" type="#_x0000_t202" style="position:absolute;margin-left:51.35pt;margin-top:12.05pt;width:408.75pt;height:4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" filled="f" stroked="f" strokeweight=".5pt">
              <v:textbox>
                <w:txbxContent>
                  <w:p w14:paraId="720A8092" w14:textId="77777777" w:rsidR="003B4C37" w:rsidRPr="00A70B44" w:rsidRDefault="003B4C37" w:rsidP="003B4C37">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6AD00858" w14:textId="1C8D267A" w:rsidR="00AF71FE" w:rsidRPr="004B1447" w:rsidRDefault="004D2EC1" w:rsidP="003B4C37">
                    <w:pPr>
                      <w:spacing w:after="0" w:line="240" w:lineRule="auto"/>
                      <w:jc w:val="center"/>
                      <w:rPr>
                        <w:rFonts w:ascii="Arial" w:hAnsi="Arial" w:cs="Arial"/>
                        <w:sz w:val="20"/>
                      </w:rPr>
                    </w:pPr>
                    <w:r w:rsidRPr="004D2EC1">
                      <w:rPr>
                        <w:rFonts w:ascii="Arial" w:hAnsi="Arial" w:cs="Arial"/>
                        <w:sz w:val="20"/>
                      </w:rPr>
                      <w:t>Direcţia Relaţii Internaţionale, Comunicare şi Soluţionare Plângeri</w:t>
                    </w:r>
                  </w:p>
                </w:txbxContent>
              </v:textbox>
              <w10:wrap anchorx="margin"/>
            </v:shape>
          </w:pict>
        </mc:Fallback>
      </mc:AlternateContent>
    </w:r>
    <w:r w:rsidR="00561D6D">
      <w:rPr>
        <w:noProof/>
        <w:lang w:val="en-US"/>
      </w:rPr>
      <w:drawing>
        <wp:inline distT="0" distB="0" distL="0" distR="0" wp14:anchorId="086BBFAD" wp14:editId="28A501FA">
          <wp:extent cx="834887" cy="66993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ANRE - SIMBOL FINAL FINAL-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45074" cy="678108"/>
                  </a:xfrm>
                  <a:prstGeom prst="rect">
                    <a:avLst/>
                  </a:prstGeom>
                </pic:spPr>
              </pic:pic>
            </a:graphicData>
          </a:graphic>
        </wp:inline>
      </w:drawing>
    </w:r>
    <w:r w:rsidR="003B4C37" w:rsidRPr="006521DE">
      <w:rPr>
        <w:noProof/>
        <w:lang w:val="en-GB" w:eastAsia="en-GB"/>
      </w:rPr>
      <w:t xml:space="preserve"> </w:t>
    </w:r>
    <w:r w:rsidR="003B4C37">
      <w:t xml:space="preserve">                                                                                                                                                                </w:t>
    </w:r>
  </w:p>
  <w:p w14:paraId="335B2E58" w14:textId="77777777" w:rsidR="003B4C37" w:rsidRDefault="0027738A">
    <w:pPr>
      <w:pStyle w:val="Header"/>
    </w:pPr>
    <w:r>
      <w:rPr>
        <w:noProof/>
        <w:lang w:val="en-US"/>
      </w:rPr>
      <mc:AlternateContent>
        <mc:Choice Requires="wps">
          <w:drawing>
            <wp:anchor distT="0" distB="0" distL="114300" distR="114300" simplePos="0" relativeHeight="251660288" behindDoc="0" locked="0" layoutInCell="1" allowOverlap="1" wp14:anchorId="5D499B27" wp14:editId="6BD1FE02">
              <wp:simplePos x="0" y="0"/>
              <wp:positionH relativeFrom="margin">
                <wp:posOffset>1905</wp:posOffset>
              </wp:positionH>
              <wp:positionV relativeFrom="paragraph">
                <wp:posOffset>50165</wp:posOffset>
              </wp:positionV>
              <wp:extent cx="626400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626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DFB2DE6" id="Straight Connector 2"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3.95pt" to="4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" strokecolor="black [3213]"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12804"/>
    <w:multiLevelType w:val="hybridMultilevel"/>
    <w:tmpl w:val="1032B458"/>
    <w:lvl w:ilvl="0" w:tplc="9F563B8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E69725E"/>
    <w:multiLevelType w:val="hybridMultilevel"/>
    <w:tmpl w:val="A3EE722A"/>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0EBD1B61"/>
    <w:multiLevelType w:val="hybridMultilevel"/>
    <w:tmpl w:val="3FA4E0BE"/>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3" w15:restartNumberingAfterBreak="0">
    <w:nsid w:val="11B5707C"/>
    <w:multiLevelType w:val="hybridMultilevel"/>
    <w:tmpl w:val="309EAA3E"/>
    <w:lvl w:ilvl="0" w:tplc="99582E28">
      <w:start w:val="4"/>
      <w:numFmt w:val="bullet"/>
      <w:lvlText w:val="-"/>
      <w:lvlJc w:val="left"/>
      <w:pPr>
        <w:ind w:left="708" w:hanging="360"/>
      </w:pPr>
      <w:rPr>
        <w:rFonts w:ascii="Times New Roman" w:eastAsiaTheme="minorHAnsi" w:hAnsi="Times New Roman" w:cs="Times New Roman" w:hint="default"/>
      </w:rPr>
    </w:lvl>
    <w:lvl w:ilvl="1" w:tplc="8E54CBD0">
      <w:start w:val="1"/>
      <w:numFmt w:val="bullet"/>
      <w:lvlText w:val="o"/>
      <w:lvlJc w:val="left"/>
      <w:pPr>
        <w:ind w:left="1428" w:hanging="360"/>
      </w:pPr>
      <w:rPr>
        <w:rFonts w:ascii="Times New Roman" w:hAnsi="Times New Roman" w:cs="Times New Roman" w:hint="default"/>
      </w:rPr>
    </w:lvl>
    <w:lvl w:ilvl="2" w:tplc="04180005" w:tentative="1">
      <w:start w:val="1"/>
      <w:numFmt w:val="bullet"/>
      <w:lvlText w:val=""/>
      <w:lvlJc w:val="left"/>
      <w:pPr>
        <w:ind w:left="2148" w:hanging="360"/>
      </w:pPr>
      <w:rPr>
        <w:rFonts w:ascii="Wingdings" w:hAnsi="Wingdings" w:hint="default"/>
      </w:rPr>
    </w:lvl>
    <w:lvl w:ilvl="3" w:tplc="04180001" w:tentative="1">
      <w:start w:val="1"/>
      <w:numFmt w:val="bullet"/>
      <w:lvlText w:val=""/>
      <w:lvlJc w:val="left"/>
      <w:pPr>
        <w:ind w:left="2868" w:hanging="360"/>
      </w:pPr>
      <w:rPr>
        <w:rFonts w:ascii="Symbol" w:hAnsi="Symbol" w:hint="default"/>
      </w:rPr>
    </w:lvl>
    <w:lvl w:ilvl="4" w:tplc="04180003" w:tentative="1">
      <w:start w:val="1"/>
      <w:numFmt w:val="bullet"/>
      <w:lvlText w:val="o"/>
      <w:lvlJc w:val="left"/>
      <w:pPr>
        <w:ind w:left="3588" w:hanging="360"/>
      </w:pPr>
      <w:rPr>
        <w:rFonts w:ascii="Courier New" w:hAnsi="Courier New" w:cs="Courier New" w:hint="default"/>
      </w:rPr>
    </w:lvl>
    <w:lvl w:ilvl="5" w:tplc="04180005" w:tentative="1">
      <w:start w:val="1"/>
      <w:numFmt w:val="bullet"/>
      <w:lvlText w:val=""/>
      <w:lvlJc w:val="left"/>
      <w:pPr>
        <w:ind w:left="4308" w:hanging="360"/>
      </w:pPr>
      <w:rPr>
        <w:rFonts w:ascii="Wingdings" w:hAnsi="Wingdings" w:hint="default"/>
      </w:rPr>
    </w:lvl>
    <w:lvl w:ilvl="6" w:tplc="04180001" w:tentative="1">
      <w:start w:val="1"/>
      <w:numFmt w:val="bullet"/>
      <w:lvlText w:val=""/>
      <w:lvlJc w:val="left"/>
      <w:pPr>
        <w:ind w:left="5028" w:hanging="360"/>
      </w:pPr>
      <w:rPr>
        <w:rFonts w:ascii="Symbol" w:hAnsi="Symbol" w:hint="default"/>
      </w:rPr>
    </w:lvl>
    <w:lvl w:ilvl="7" w:tplc="04180003" w:tentative="1">
      <w:start w:val="1"/>
      <w:numFmt w:val="bullet"/>
      <w:lvlText w:val="o"/>
      <w:lvlJc w:val="left"/>
      <w:pPr>
        <w:ind w:left="5748" w:hanging="360"/>
      </w:pPr>
      <w:rPr>
        <w:rFonts w:ascii="Courier New" w:hAnsi="Courier New" w:cs="Courier New" w:hint="default"/>
      </w:rPr>
    </w:lvl>
    <w:lvl w:ilvl="8" w:tplc="04180005" w:tentative="1">
      <w:start w:val="1"/>
      <w:numFmt w:val="bullet"/>
      <w:lvlText w:val=""/>
      <w:lvlJc w:val="left"/>
      <w:pPr>
        <w:ind w:left="6468" w:hanging="360"/>
      </w:pPr>
      <w:rPr>
        <w:rFonts w:ascii="Wingdings" w:hAnsi="Wingdings" w:hint="default"/>
      </w:rPr>
    </w:lvl>
  </w:abstractNum>
  <w:abstractNum w:abstractNumId="4" w15:restartNumberingAfterBreak="0">
    <w:nsid w:val="1A0D0A37"/>
    <w:multiLevelType w:val="hybridMultilevel"/>
    <w:tmpl w:val="464C3C54"/>
    <w:lvl w:ilvl="0" w:tplc="1194A384">
      <w:start w:val="1"/>
      <w:numFmt w:val="bullet"/>
      <w:lvlText w:val="-"/>
      <w:lvlJc w:val="left"/>
      <w:pPr>
        <w:ind w:left="720" w:hanging="360"/>
      </w:pPr>
      <w:rPr>
        <w:rFonts w:ascii="Times New Roman" w:eastAsiaTheme="minorHAns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D811EBE"/>
    <w:multiLevelType w:val="hybridMultilevel"/>
    <w:tmpl w:val="18CA769A"/>
    <w:lvl w:ilvl="0" w:tplc="E042F5DE">
      <w:start w:val="1"/>
      <w:numFmt w:val="bullet"/>
      <w:lvlText w:val="-"/>
      <w:lvlJc w:val="left"/>
      <w:pPr>
        <w:ind w:left="927" w:hanging="360"/>
      </w:pPr>
      <w:rPr>
        <w:rFonts w:ascii="Courier New" w:hAnsi="Courier New"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22B3763D"/>
    <w:multiLevelType w:val="hybridMultilevel"/>
    <w:tmpl w:val="AA9EF262"/>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295A0B2B"/>
    <w:multiLevelType w:val="hybridMultilevel"/>
    <w:tmpl w:val="2626DD84"/>
    <w:lvl w:ilvl="0" w:tplc="5B66D760">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175E80"/>
    <w:multiLevelType w:val="hybridMultilevel"/>
    <w:tmpl w:val="E9FE34F0"/>
    <w:lvl w:ilvl="0" w:tplc="BBE6E960">
      <w:start w:val="1"/>
      <w:numFmt w:val="decimal"/>
      <w:lvlText w:val="Art. %1. - "/>
      <w:lvlJc w:val="left"/>
      <w:pPr>
        <w:ind w:left="1778" w:hanging="360"/>
      </w:pPr>
      <w:rPr>
        <w:rFonts w:ascii="Times New Roman" w:hAnsi="Times New Roman" w:hint="default"/>
        <w:b/>
        <w:i w:val="0"/>
        <w:sz w:val="24"/>
      </w:rPr>
    </w:lvl>
    <w:lvl w:ilvl="1" w:tplc="4C20B858">
      <w:start w:val="1"/>
      <w:numFmt w:val="lowerLetter"/>
      <w:lvlText w:val="%2)"/>
      <w:lvlJc w:val="left"/>
      <w:pPr>
        <w:ind w:left="786" w:hanging="360"/>
      </w:pPr>
      <w:rPr>
        <w:rFonts w:hint="default"/>
      </w:rPr>
    </w:lvl>
    <w:lvl w:ilvl="2" w:tplc="0418001B">
      <w:start w:val="1"/>
      <w:numFmt w:val="lowerRoman"/>
      <w:lvlText w:val="%3."/>
      <w:lvlJc w:val="right"/>
      <w:pPr>
        <w:ind w:left="2218" w:hanging="180"/>
      </w:pPr>
    </w:lvl>
    <w:lvl w:ilvl="3" w:tplc="0418000F" w:tentative="1">
      <w:start w:val="1"/>
      <w:numFmt w:val="decimal"/>
      <w:lvlText w:val="%4."/>
      <w:lvlJc w:val="left"/>
      <w:pPr>
        <w:ind w:left="2938" w:hanging="360"/>
      </w:pPr>
    </w:lvl>
    <w:lvl w:ilvl="4" w:tplc="04180019" w:tentative="1">
      <w:start w:val="1"/>
      <w:numFmt w:val="lowerLetter"/>
      <w:lvlText w:val="%5."/>
      <w:lvlJc w:val="left"/>
      <w:pPr>
        <w:ind w:left="3658" w:hanging="360"/>
      </w:pPr>
    </w:lvl>
    <w:lvl w:ilvl="5" w:tplc="0418001B" w:tentative="1">
      <w:start w:val="1"/>
      <w:numFmt w:val="lowerRoman"/>
      <w:lvlText w:val="%6."/>
      <w:lvlJc w:val="right"/>
      <w:pPr>
        <w:ind w:left="4378" w:hanging="180"/>
      </w:pPr>
    </w:lvl>
    <w:lvl w:ilvl="6" w:tplc="0418000F" w:tentative="1">
      <w:start w:val="1"/>
      <w:numFmt w:val="decimal"/>
      <w:lvlText w:val="%7."/>
      <w:lvlJc w:val="left"/>
      <w:pPr>
        <w:ind w:left="5098" w:hanging="360"/>
      </w:pPr>
    </w:lvl>
    <w:lvl w:ilvl="7" w:tplc="04180019" w:tentative="1">
      <w:start w:val="1"/>
      <w:numFmt w:val="lowerLetter"/>
      <w:lvlText w:val="%8."/>
      <w:lvlJc w:val="left"/>
      <w:pPr>
        <w:ind w:left="5818" w:hanging="360"/>
      </w:pPr>
    </w:lvl>
    <w:lvl w:ilvl="8" w:tplc="0418001B" w:tentative="1">
      <w:start w:val="1"/>
      <w:numFmt w:val="lowerRoman"/>
      <w:lvlText w:val="%9."/>
      <w:lvlJc w:val="right"/>
      <w:pPr>
        <w:ind w:left="6538" w:hanging="180"/>
      </w:pPr>
    </w:lvl>
  </w:abstractNum>
  <w:abstractNum w:abstractNumId="9" w15:restartNumberingAfterBreak="0">
    <w:nsid w:val="3CE43865"/>
    <w:multiLevelType w:val="hybridMultilevel"/>
    <w:tmpl w:val="DD40A506"/>
    <w:lvl w:ilvl="0" w:tplc="08090017">
      <w:start w:val="1"/>
      <w:numFmt w:val="low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0" w15:restartNumberingAfterBreak="0">
    <w:nsid w:val="4001385D"/>
    <w:multiLevelType w:val="hybridMultilevel"/>
    <w:tmpl w:val="A784180E"/>
    <w:lvl w:ilvl="0" w:tplc="08090017">
      <w:start w:val="1"/>
      <w:numFmt w:val="lowerLetter"/>
      <w:lvlText w:val="%1)"/>
      <w:lvlJc w:val="left"/>
      <w:pPr>
        <w:ind w:left="786"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431E21A3"/>
    <w:multiLevelType w:val="hybridMultilevel"/>
    <w:tmpl w:val="DF1245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106816"/>
    <w:multiLevelType w:val="hybridMultilevel"/>
    <w:tmpl w:val="B6E61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7907FE"/>
    <w:multiLevelType w:val="hybridMultilevel"/>
    <w:tmpl w:val="7E7CD260"/>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14" w15:restartNumberingAfterBreak="0">
    <w:nsid w:val="53843A2F"/>
    <w:multiLevelType w:val="hybridMultilevel"/>
    <w:tmpl w:val="13A03102"/>
    <w:lvl w:ilvl="0" w:tplc="E042F5DE">
      <w:start w:val="1"/>
      <w:numFmt w:val="bullet"/>
      <w:lvlText w:val="-"/>
      <w:lvlJc w:val="left"/>
      <w:pPr>
        <w:ind w:left="1287" w:hanging="360"/>
      </w:pPr>
      <w:rPr>
        <w:rFonts w:ascii="Courier New" w:hAnsi="Courier New" w:hint="default"/>
      </w:rPr>
    </w:lvl>
    <w:lvl w:ilvl="1" w:tplc="08090017">
      <w:start w:val="1"/>
      <w:numFmt w:val="lowerLetter"/>
      <w:lvlText w:val="%2)"/>
      <w:lvlJc w:val="left"/>
      <w:pPr>
        <w:ind w:left="2007" w:hanging="360"/>
      </w:pPr>
      <w:rPr>
        <w:rFonts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623E302F"/>
    <w:multiLevelType w:val="hybridMultilevel"/>
    <w:tmpl w:val="A77CCC14"/>
    <w:lvl w:ilvl="0" w:tplc="7FF20D2C">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943381"/>
    <w:multiLevelType w:val="hybridMultilevel"/>
    <w:tmpl w:val="A1AEFEB8"/>
    <w:lvl w:ilvl="0" w:tplc="BA30655A">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2126E4E"/>
    <w:multiLevelType w:val="hybridMultilevel"/>
    <w:tmpl w:val="D01C3FBC"/>
    <w:lvl w:ilvl="0" w:tplc="1B469FF4">
      <w:start w:val="6"/>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59F1647"/>
    <w:multiLevelType w:val="hybridMultilevel"/>
    <w:tmpl w:val="CBB6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33552D"/>
    <w:multiLevelType w:val="hybridMultilevel"/>
    <w:tmpl w:val="F9D4E640"/>
    <w:lvl w:ilvl="0" w:tplc="A9409D8E">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0" w15:restartNumberingAfterBreak="0">
    <w:nsid w:val="7DAE4F99"/>
    <w:multiLevelType w:val="multilevel"/>
    <w:tmpl w:val="D8B4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1"/>
  </w:num>
  <w:num w:numId="3">
    <w:abstractNumId w:val="8"/>
  </w:num>
  <w:num w:numId="4">
    <w:abstractNumId w:val="17"/>
  </w:num>
  <w:num w:numId="5">
    <w:abstractNumId w:val="2"/>
  </w:num>
  <w:num w:numId="6">
    <w:abstractNumId w:val="13"/>
  </w:num>
  <w:num w:numId="7">
    <w:abstractNumId w:val="6"/>
  </w:num>
  <w:num w:numId="8">
    <w:abstractNumId w:val="3"/>
  </w:num>
  <w:num w:numId="9">
    <w:abstractNumId w:val="4"/>
  </w:num>
  <w:num w:numId="10">
    <w:abstractNumId w:val="5"/>
  </w:num>
  <w:num w:numId="11">
    <w:abstractNumId w:val="14"/>
  </w:num>
  <w:num w:numId="12">
    <w:abstractNumId w:val="10"/>
  </w:num>
  <w:num w:numId="13">
    <w:abstractNumId w:val="9"/>
  </w:num>
  <w:num w:numId="14">
    <w:abstractNumId w:val="0"/>
  </w:num>
  <w:num w:numId="15">
    <w:abstractNumId w:val="15"/>
  </w:num>
  <w:num w:numId="16">
    <w:abstractNumId w:val="20"/>
  </w:num>
  <w:num w:numId="17">
    <w:abstractNumId w:val="7"/>
  </w:num>
  <w:num w:numId="18">
    <w:abstractNumId w:val="18"/>
  </w:num>
  <w:num w:numId="19">
    <w:abstractNumId w:val="12"/>
  </w:num>
  <w:num w:numId="20">
    <w:abstractNumId w:val="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37"/>
    <w:rsid w:val="0004383C"/>
    <w:rsid w:val="000770B3"/>
    <w:rsid w:val="00084A83"/>
    <w:rsid w:val="00090741"/>
    <w:rsid w:val="000C0560"/>
    <w:rsid w:val="000C3334"/>
    <w:rsid w:val="000D4689"/>
    <w:rsid w:val="000D7AE0"/>
    <w:rsid w:val="000E316D"/>
    <w:rsid w:val="000F246C"/>
    <w:rsid w:val="000F3DF1"/>
    <w:rsid w:val="001073B3"/>
    <w:rsid w:val="00110294"/>
    <w:rsid w:val="00110BD8"/>
    <w:rsid w:val="00123A54"/>
    <w:rsid w:val="00125D85"/>
    <w:rsid w:val="00140718"/>
    <w:rsid w:val="00160D1D"/>
    <w:rsid w:val="0016112A"/>
    <w:rsid w:val="00166619"/>
    <w:rsid w:val="00172D21"/>
    <w:rsid w:val="00174E62"/>
    <w:rsid w:val="001A1DA0"/>
    <w:rsid w:val="001B48AD"/>
    <w:rsid w:val="001B58B7"/>
    <w:rsid w:val="001C00D5"/>
    <w:rsid w:val="001C4CA1"/>
    <w:rsid w:val="001D1F76"/>
    <w:rsid w:val="001E13AF"/>
    <w:rsid w:val="0023637F"/>
    <w:rsid w:val="00247DA8"/>
    <w:rsid w:val="0027738A"/>
    <w:rsid w:val="00293F32"/>
    <w:rsid w:val="002A66A8"/>
    <w:rsid w:val="002A6DA5"/>
    <w:rsid w:val="002B3467"/>
    <w:rsid w:val="002C2346"/>
    <w:rsid w:val="002D7393"/>
    <w:rsid w:val="002E3CE4"/>
    <w:rsid w:val="00313EBA"/>
    <w:rsid w:val="00341BDF"/>
    <w:rsid w:val="003427FA"/>
    <w:rsid w:val="003543C8"/>
    <w:rsid w:val="00364C45"/>
    <w:rsid w:val="00364E3A"/>
    <w:rsid w:val="0037458E"/>
    <w:rsid w:val="0038084D"/>
    <w:rsid w:val="00395BF4"/>
    <w:rsid w:val="003A0854"/>
    <w:rsid w:val="003A2FF3"/>
    <w:rsid w:val="003B26B9"/>
    <w:rsid w:val="003B4C37"/>
    <w:rsid w:val="003C78E8"/>
    <w:rsid w:val="00405B8C"/>
    <w:rsid w:val="004119A7"/>
    <w:rsid w:val="0042783B"/>
    <w:rsid w:val="00437C42"/>
    <w:rsid w:val="0044444A"/>
    <w:rsid w:val="00481FB4"/>
    <w:rsid w:val="004B55AA"/>
    <w:rsid w:val="004C4C23"/>
    <w:rsid w:val="004D2EC1"/>
    <w:rsid w:val="004D364D"/>
    <w:rsid w:val="004D4AE6"/>
    <w:rsid w:val="004E2A22"/>
    <w:rsid w:val="004E5631"/>
    <w:rsid w:val="0051759B"/>
    <w:rsid w:val="00520268"/>
    <w:rsid w:val="0052287D"/>
    <w:rsid w:val="005261D6"/>
    <w:rsid w:val="00540FD2"/>
    <w:rsid w:val="00544B0D"/>
    <w:rsid w:val="00557BC0"/>
    <w:rsid w:val="0056190F"/>
    <w:rsid w:val="00561D6D"/>
    <w:rsid w:val="00562F71"/>
    <w:rsid w:val="00572DF7"/>
    <w:rsid w:val="00574929"/>
    <w:rsid w:val="00587BE2"/>
    <w:rsid w:val="005D0E57"/>
    <w:rsid w:val="005E003D"/>
    <w:rsid w:val="005E3B03"/>
    <w:rsid w:val="005E64BD"/>
    <w:rsid w:val="00607D44"/>
    <w:rsid w:val="00620875"/>
    <w:rsid w:val="0062605E"/>
    <w:rsid w:val="00642271"/>
    <w:rsid w:val="00645DA4"/>
    <w:rsid w:val="0066785A"/>
    <w:rsid w:val="00677CF9"/>
    <w:rsid w:val="006A1460"/>
    <w:rsid w:val="006B51FC"/>
    <w:rsid w:val="006B7CD0"/>
    <w:rsid w:val="006C1CB9"/>
    <w:rsid w:val="006D4F08"/>
    <w:rsid w:val="006D5361"/>
    <w:rsid w:val="006E6A98"/>
    <w:rsid w:val="00717D6D"/>
    <w:rsid w:val="00742998"/>
    <w:rsid w:val="0076099F"/>
    <w:rsid w:val="007825E2"/>
    <w:rsid w:val="00787AA2"/>
    <w:rsid w:val="00795361"/>
    <w:rsid w:val="007A3C37"/>
    <w:rsid w:val="007A7115"/>
    <w:rsid w:val="007A78E2"/>
    <w:rsid w:val="007C7406"/>
    <w:rsid w:val="007D1F9B"/>
    <w:rsid w:val="007D4CCF"/>
    <w:rsid w:val="007E1A9D"/>
    <w:rsid w:val="007F1C78"/>
    <w:rsid w:val="00822101"/>
    <w:rsid w:val="00825359"/>
    <w:rsid w:val="0082578E"/>
    <w:rsid w:val="00835EE2"/>
    <w:rsid w:val="00845749"/>
    <w:rsid w:val="00847506"/>
    <w:rsid w:val="0085060E"/>
    <w:rsid w:val="0087454D"/>
    <w:rsid w:val="0088430C"/>
    <w:rsid w:val="008A4DDE"/>
    <w:rsid w:val="008D7198"/>
    <w:rsid w:val="008F401E"/>
    <w:rsid w:val="008F6221"/>
    <w:rsid w:val="00904AAE"/>
    <w:rsid w:val="009103E0"/>
    <w:rsid w:val="00917CB4"/>
    <w:rsid w:val="009267F6"/>
    <w:rsid w:val="00934921"/>
    <w:rsid w:val="00936332"/>
    <w:rsid w:val="009432ED"/>
    <w:rsid w:val="009601B9"/>
    <w:rsid w:val="00962771"/>
    <w:rsid w:val="009961E4"/>
    <w:rsid w:val="00997D09"/>
    <w:rsid w:val="009A321B"/>
    <w:rsid w:val="009B5806"/>
    <w:rsid w:val="009C5B10"/>
    <w:rsid w:val="00A12310"/>
    <w:rsid w:val="00A26582"/>
    <w:rsid w:val="00A270B1"/>
    <w:rsid w:val="00A277E7"/>
    <w:rsid w:val="00A27ADC"/>
    <w:rsid w:val="00A53F29"/>
    <w:rsid w:val="00A60696"/>
    <w:rsid w:val="00A672EA"/>
    <w:rsid w:val="00A67B3D"/>
    <w:rsid w:val="00A72D14"/>
    <w:rsid w:val="00AB62C4"/>
    <w:rsid w:val="00AD154F"/>
    <w:rsid w:val="00AE22CA"/>
    <w:rsid w:val="00AE6F05"/>
    <w:rsid w:val="00AF2BC1"/>
    <w:rsid w:val="00AF71FE"/>
    <w:rsid w:val="00B03DBB"/>
    <w:rsid w:val="00B06834"/>
    <w:rsid w:val="00B50AEF"/>
    <w:rsid w:val="00B5576A"/>
    <w:rsid w:val="00B57094"/>
    <w:rsid w:val="00B57B95"/>
    <w:rsid w:val="00B63563"/>
    <w:rsid w:val="00B74F33"/>
    <w:rsid w:val="00B81C1F"/>
    <w:rsid w:val="00BA14C9"/>
    <w:rsid w:val="00BA17F0"/>
    <w:rsid w:val="00BC0B70"/>
    <w:rsid w:val="00BD4091"/>
    <w:rsid w:val="00BF2C67"/>
    <w:rsid w:val="00C042DC"/>
    <w:rsid w:val="00C059F2"/>
    <w:rsid w:val="00C17D43"/>
    <w:rsid w:val="00C2096C"/>
    <w:rsid w:val="00C41C0C"/>
    <w:rsid w:val="00C428F5"/>
    <w:rsid w:val="00C85F0F"/>
    <w:rsid w:val="00CD269C"/>
    <w:rsid w:val="00CF0587"/>
    <w:rsid w:val="00CF2E2C"/>
    <w:rsid w:val="00CF7DC2"/>
    <w:rsid w:val="00D005D5"/>
    <w:rsid w:val="00D133FD"/>
    <w:rsid w:val="00D37EC9"/>
    <w:rsid w:val="00D6263E"/>
    <w:rsid w:val="00D72DAB"/>
    <w:rsid w:val="00D75725"/>
    <w:rsid w:val="00D76985"/>
    <w:rsid w:val="00DE40C1"/>
    <w:rsid w:val="00DE7A98"/>
    <w:rsid w:val="00DF7952"/>
    <w:rsid w:val="00E03D51"/>
    <w:rsid w:val="00E160B3"/>
    <w:rsid w:val="00E16640"/>
    <w:rsid w:val="00E43B64"/>
    <w:rsid w:val="00E56C1A"/>
    <w:rsid w:val="00E66BF7"/>
    <w:rsid w:val="00E7037E"/>
    <w:rsid w:val="00EA2E26"/>
    <w:rsid w:val="00EA4BD5"/>
    <w:rsid w:val="00EC425E"/>
    <w:rsid w:val="00ED1E6B"/>
    <w:rsid w:val="00ED494E"/>
    <w:rsid w:val="00EE398F"/>
    <w:rsid w:val="00EF36DB"/>
    <w:rsid w:val="00EF44A3"/>
    <w:rsid w:val="00F00275"/>
    <w:rsid w:val="00F34184"/>
    <w:rsid w:val="00F404C1"/>
    <w:rsid w:val="00F80B77"/>
    <w:rsid w:val="00FA0A1E"/>
    <w:rsid w:val="00FA1D08"/>
    <w:rsid w:val="00FD521F"/>
    <w:rsid w:val="00FD57C1"/>
    <w:rsid w:val="00FF67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10C9D"/>
  <w15:chartTrackingRefBased/>
  <w15:docId w15:val="{2F70570F-F88A-4172-B1FA-555B294F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7ADC"/>
    <w:pPr>
      <w:spacing w:line="256" w:lineRule="auto"/>
    </w:pPr>
    <w:rPr>
      <w:lang w:val="ro-RO"/>
    </w:rPr>
  </w:style>
  <w:style w:type="paragraph" w:styleId="Heading1">
    <w:name w:val="heading 1"/>
    <w:basedOn w:val="Normal"/>
    <w:next w:val="Normal"/>
    <w:link w:val="Heading1Char"/>
    <w:uiPriority w:val="99"/>
    <w:qFormat/>
    <w:rsid w:val="007D1F9B"/>
    <w:pPr>
      <w:keepNext/>
      <w:spacing w:before="240" w:after="60" w:line="240" w:lineRule="auto"/>
      <w:outlineLvl w:val="0"/>
    </w:pPr>
    <w:rPr>
      <w:rFonts w:ascii="Cambria" w:eastAsia="Times New Roman" w:hAnsi="Cambria" w:cs="Cambria"/>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C37"/>
    <w:rPr>
      <w:lang w:val="ro-RO"/>
    </w:rPr>
  </w:style>
  <w:style w:type="paragraph" w:styleId="Footer">
    <w:name w:val="footer"/>
    <w:basedOn w:val="Normal"/>
    <w:link w:val="FooterChar"/>
    <w:uiPriority w:val="99"/>
    <w:unhideWhenUsed/>
    <w:rsid w:val="003B4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C37"/>
    <w:rPr>
      <w:lang w:val="ro-RO"/>
    </w:rPr>
  </w:style>
  <w:style w:type="paragraph" w:styleId="BalloonText">
    <w:name w:val="Balloon Text"/>
    <w:basedOn w:val="Normal"/>
    <w:link w:val="BalloonTextChar"/>
    <w:uiPriority w:val="99"/>
    <w:semiHidden/>
    <w:unhideWhenUsed/>
    <w:rsid w:val="00160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D1D"/>
    <w:rPr>
      <w:rFonts w:ascii="Segoe UI" w:hAnsi="Segoe UI" w:cs="Segoe UI"/>
      <w:sz w:val="18"/>
      <w:szCs w:val="18"/>
      <w:lang w:val="ro-RO"/>
    </w:rPr>
  </w:style>
  <w:style w:type="character" w:customStyle="1" w:styleId="Heading1Char">
    <w:name w:val="Heading 1 Char"/>
    <w:basedOn w:val="DefaultParagraphFont"/>
    <w:link w:val="Heading1"/>
    <w:uiPriority w:val="99"/>
    <w:rsid w:val="007D1F9B"/>
    <w:rPr>
      <w:rFonts w:ascii="Cambria" w:eastAsia="Times New Roman" w:hAnsi="Cambria" w:cs="Cambria"/>
      <w:b/>
      <w:bCs/>
      <w:kern w:val="32"/>
      <w:sz w:val="32"/>
      <w:szCs w:val="32"/>
      <w:lang w:val="en-US"/>
    </w:rPr>
  </w:style>
  <w:style w:type="paragraph" w:customStyle="1" w:styleId="Default">
    <w:name w:val="Default"/>
    <w:rsid w:val="0042783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D7AE0"/>
    <w:pPr>
      <w:spacing w:line="259" w:lineRule="auto"/>
      <w:ind w:left="720"/>
      <w:contextualSpacing/>
    </w:pPr>
  </w:style>
  <w:style w:type="character" w:customStyle="1" w:styleId="nranre">
    <w:name w:val="nr_anre"/>
    <w:basedOn w:val="DefaultParagraphFont"/>
    <w:rsid w:val="00A27ADC"/>
  </w:style>
  <w:style w:type="paragraph" w:styleId="NoSpacing">
    <w:name w:val="No Spacing"/>
    <w:uiPriority w:val="1"/>
    <w:qFormat/>
    <w:rsid w:val="00A27ADC"/>
    <w:pPr>
      <w:spacing w:after="0" w:line="240" w:lineRule="auto"/>
    </w:pPr>
    <w:rPr>
      <w:lang w:val="ro-RO"/>
    </w:rPr>
  </w:style>
  <w:style w:type="paragraph" w:styleId="NormalWeb">
    <w:name w:val="Normal (Web)"/>
    <w:basedOn w:val="Normal"/>
    <w:uiPriority w:val="99"/>
    <w:unhideWhenUsed/>
    <w:rsid w:val="00EC425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EC425E"/>
    <w:rPr>
      <w:i/>
      <w:iCs/>
    </w:rPr>
  </w:style>
  <w:style w:type="character" w:styleId="Hyperlink">
    <w:name w:val="Hyperlink"/>
    <w:basedOn w:val="DefaultParagraphFont"/>
    <w:uiPriority w:val="99"/>
    <w:unhideWhenUsed/>
    <w:rsid w:val="009961E4"/>
    <w:rPr>
      <w:color w:val="0000FF"/>
      <w:u w:val="single"/>
    </w:rPr>
  </w:style>
  <w:style w:type="character" w:styleId="UnresolvedMention">
    <w:name w:val="Unresolved Mention"/>
    <w:basedOn w:val="DefaultParagraphFont"/>
    <w:uiPriority w:val="99"/>
    <w:semiHidden/>
    <w:unhideWhenUsed/>
    <w:rsid w:val="009961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852138">
      <w:bodyDiv w:val="1"/>
      <w:marLeft w:val="0"/>
      <w:marRight w:val="0"/>
      <w:marTop w:val="0"/>
      <w:marBottom w:val="0"/>
      <w:divBdr>
        <w:top w:val="none" w:sz="0" w:space="0" w:color="auto"/>
        <w:left w:val="none" w:sz="0" w:space="0" w:color="auto"/>
        <w:bottom w:val="none" w:sz="0" w:space="0" w:color="auto"/>
        <w:right w:val="none" w:sz="0" w:space="0" w:color="auto"/>
      </w:divBdr>
    </w:div>
    <w:div w:id="691343533">
      <w:bodyDiv w:val="1"/>
      <w:marLeft w:val="0"/>
      <w:marRight w:val="0"/>
      <w:marTop w:val="0"/>
      <w:marBottom w:val="0"/>
      <w:divBdr>
        <w:top w:val="none" w:sz="0" w:space="0" w:color="auto"/>
        <w:left w:val="none" w:sz="0" w:space="0" w:color="auto"/>
        <w:bottom w:val="none" w:sz="0" w:space="0" w:color="auto"/>
        <w:right w:val="none" w:sz="0" w:space="0" w:color="auto"/>
      </w:divBdr>
    </w:div>
    <w:div w:id="1118449024">
      <w:bodyDiv w:val="1"/>
      <w:marLeft w:val="0"/>
      <w:marRight w:val="0"/>
      <w:marTop w:val="0"/>
      <w:marBottom w:val="0"/>
      <w:divBdr>
        <w:top w:val="none" w:sz="0" w:space="0" w:color="auto"/>
        <w:left w:val="none" w:sz="0" w:space="0" w:color="auto"/>
        <w:bottom w:val="none" w:sz="0" w:space="0" w:color="auto"/>
        <w:right w:val="none" w:sz="0" w:space="0" w:color="auto"/>
      </w:divBdr>
    </w:div>
    <w:div w:id="1588540799">
      <w:bodyDiv w:val="1"/>
      <w:marLeft w:val="0"/>
      <w:marRight w:val="0"/>
      <w:marTop w:val="0"/>
      <w:marBottom w:val="0"/>
      <w:divBdr>
        <w:top w:val="none" w:sz="0" w:space="0" w:color="auto"/>
        <w:left w:val="none" w:sz="0" w:space="0" w:color="auto"/>
        <w:bottom w:val="none" w:sz="0" w:space="0" w:color="auto"/>
        <w:right w:val="none" w:sz="0" w:space="0" w:color="auto"/>
      </w:divBdr>
    </w:div>
    <w:div w:id="1867907435">
      <w:bodyDiv w:val="1"/>
      <w:marLeft w:val="0"/>
      <w:marRight w:val="0"/>
      <w:marTop w:val="0"/>
      <w:marBottom w:val="0"/>
      <w:divBdr>
        <w:top w:val="none" w:sz="0" w:space="0" w:color="auto"/>
        <w:left w:val="none" w:sz="0" w:space="0" w:color="auto"/>
        <w:bottom w:val="none" w:sz="0" w:space="0" w:color="auto"/>
        <w:right w:val="none" w:sz="0" w:space="0" w:color="auto"/>
      </w:divBdr>
    </w:div>
    <w:div w:id="212202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eb.transelectrica.ro/noutati/noutati/575_2025.06.02_15-13-12.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425</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ANRE</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2023-09-04T08:01:00Z</cp:lastPrinted>
  <dcterms:created xsi:type="dcterms:W3CDTF">2025-06-04T11:56:00Z</dcterms:created>
  <dcterms:modified xsi:type="dcterms:W3CDTF">2025-06-04T12:01:00Z</dcterms:modified>
</cp:coreProperties>
</file>