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C65F" w14:textId="33C22E7C" w:rsidR="005B6E2F" w:rsidRPr="00F167C8" w:rsidRDefault="005B6E2F" w:rsidP="005B6E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C7CDA" w:rsidRPr="00F167C8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rdin</w:t>
      </w:r>
    </w:p>
    <w:p w14:paraId="2812F2E5" w14:textId="20C47167" w:rsidR="005B6E2F" w:rsidRPr="00F167C8" w:rsidRDefault="005B6E2F" w:rsidP="005B6E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20F18" w:rsidRPr="00F167C8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DC7CDA" w:rsidRPr="00F167C8">
        <w:rPr>
          <w:rFonts w:ascii="Times New Roman" w:hAnsi="Times New Roman" w:cs="Times New Roman"/>
          <w:b/>
          <w:sz w:val="24"/>
          <w:szCs w:val="24"/>
          <w:lang w:val="ro-RO"/>
        </w:rPr>
        <w:t>entru</w:t>
      </w:r>
      <w:r w:rsidR="00D20F18"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modificarea</w:t>
      </w:r>
      <w:r w:rsidR="00DC7CDA"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20F18"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</w:t>
      </w:r>
      <w:r w:rsidR="001D6771"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completarea 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Ordinului </w:t>
      </w:r>
      <w:r w:rsidR="00DC7CDA" w:rsidRPr="00F167C8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reședintelui </w:t>
      </w:r>
      <w:r w:rsidR="00DC7CDA" w:rsidRPr="00F167C8">
        <w:rPr>
          <w:rFonts w:ascii="Times New Roman" w:hAnsi="Times New Roman" w:cs="Times New Roman"/>
          <w:b/>
          <w:sz w:val="24"/>
          <w:szCs w:val="24"/>
          <w:lang w:val="ro-RO"/>
        </w:rPr>
        <w:t>Autorită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DC7CDA" w:rsidRPr="00F167C8">
        <w:rPr>
          <w:rFonts w:ascii="Times New Roman" w:hAnsi="Times New Roman" w:cs="Times New Roman"/>
          <w:b/>
          <w:sz w:val="24"/>
          <w:szCs w:val="24"/>
          <w:lang w:val="ro-RO"/>
        </w:rPr>
        <w:t>ii Na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DC7CDA" w:rsidRPr="00F167C8">
        <w:rPr>
          <w:rFonts w:ascii="Times New Roman" w:hAnsi="Times New Roman" w:cs="Times New Roman"/>
          <w:b/>
          <w:sz w:val="24"/>
          <w:szCs w:val="24"/>
          <w:lang w:val="ro-RO"/>
        </w:rPr>
        <w:t>ionale de Reglementare în Domeniul Energiei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3870A0"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93/2024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privind aprobarea tarifelor și contribu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iilor bănești percepute de Autoritatea Na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ională de Reglementare în Domeniul Energiei în anul 202</w:t>
      </w:r>
      <w:r w:rsidR="003870A0" w:rsidRPr="00F167C8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79FD007F" w14:textId="77777777" w:rsidR="005B6E2F" w:rsidRPr="00F167C8" w:rsidRDefault="005B6E2F" w:rsidP="005B6E2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A090903" w14:textId="50B6B7DB" w:rsidR="005B6E2F" w:rsidRPr="00F167C8" w:rsidRDefault="005B6E2F" w:rsidP="005B6E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sz w:val="24"/>
          <w:szCs w:val="24"/>
          <w:lang w:val="ro-RO"/>
        </w:rPr>
        <w:t>Având în vedere dispozi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iile art. 2 alin. (2) din Ordonan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a de urgen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ă a Guvernului nr. 33/2007 privind organizarea și func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ionarea Autorită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ii Na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ionale de Reglementare în Domeniul Energiei, aprobată cu modificări și completări prin Legea nr. 160/2012, cu modificările și completările ulterioare, </w:t>
      </w:r>
    </w:p>
    <w:p w14:paraId="47ABA21D" w14:textId="73C0E515" w:rsidR="005B6E2F" w:rsidRPr="00F167C8" w:rsidRDefault="005B6E2F" w:rsidP="005B6E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sz w:val="24"/>
          <w:szCs w:val="24"/>
          <w:lang w:val="ro-RO"/>
        </w:rPr>
        <w:t>în temeiul art. 2 alin. (3</w:t>
      </w:r>
      <w:r w:rsidRPr="00F167C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) din Ordonan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a de urgen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ă a Guvernului nr. 33/2007, aprobată cu modificări și completări prin Legea nr. 160/2012, cu modificările și completările ulterioare, </w:t>
      </w:r>
    </w:p>
    <w:p w14:paraId="1E770D47" w14:textId="3618D376" w:rsidR="005B6E2F" w:rsidRPr="00F167C8" w:rsidRDefault="005B6E2F" w:rsidP="005B6E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Președintele Autorită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ii Na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ionale de Reglementare în Domeniul Energiei emite următorul</w:t>
      </w:r>
    </w:p>
    <w:p w14:paraId="58450EFE" w14:textId="77777777" w:rsidR="005B6E2F" w:rsidRPr="00F167C8" w:rsidRDefault="005B6E2F" w:rsidP="005B6E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ORDIN</w:t>
      </w:r>
    </w:p>
    <w:p w14:paraId="6C5D1AEF" w14:textId="77777777" w:rsidR="005B6E2F" w:rsidRPr="00F167C8" w:rsidRDefault="005B6E2F" w:rsidP="00C83B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DF3BE8" w14:textId="52BA8E80" w:rsidR="00383106" w:rsidRPr="00F167C8" w:rsidRDefault="005B6E2F" w:rsidP="00C83B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Art. I.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Ordinul președintelui Autorită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ii Na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ionale de Reglementare în Domeniul Energiei nr.</w:t>
      </w:r>
      <w:r w:rsidR="003870A0"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93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/202</w:t>
      </w:r>
      <w:r w:rsidR="003870A0" w:rsidRPr="00F167C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tarifelor și contribu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iilor bănești percepute de </w:t>
      </w:r>
      <w:r w:rsidR="00DC7CDA" w:rsidRPr="00F167C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utoritatea </w:t>
      </w:r>
      <w:r w:rsidR="00DC7CDA" w:rsidRPr="00F167C8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B34F7" w:rsidRPr="00F167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ională de </w:t>
      </w:r>
      <w:r w:rsidR="00DC7CDA" w:rsidRPr="00F167C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eglementare în </w:t>
      </w:r>
      <w:r w:rsidR="00DC7CDA" w:rsidRPr="00F167C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omeniul </w:t>
      </w:r>
      <w:r w:rsidR="00DC7CDA" w:rsidRPr="00F167C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nergiei în anul 202</w:t>
      </w:r>
      <w:r w:rsidR="001D6771" w:rsidRPr="00F167C8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, publicat în Monitorul Oficial al României nr. 1</w:t>
      </w:r>
      <w:r w:rsidR="003870A0" w:rsidRPr="00F167C8">
        <w:rPr>
          <w:rFonts w:ascii="Times New Roman" w:hAnsi="Times New Roman" w:cs="Times New Roman"/>
          <w:sz w:val="24"/>
          <w:szCs w:val="24"/>
          <w:lang w:val="ro-RO"/>
        </w:rPr>
        <w:t>315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din 2</w:t>
      </w:r>
      <w:r w:rsidR="003870A0" w:rsidRPr="00F167C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decembrie 202</w:t>
      </w:r>
      <w:r w:rsidR="003870A0" w:rsidRPr="00F167C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>, se</w:t>
      </w:r>
      <w:r w:rsidR="00DB6361"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modifică și se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6771" w:rsidRPr="00F167C8">
        <w:rPr>
          <w:rFonts w:ascii="Times New Roman" w:hAnsi="Times New Roman" w:cs="Times New Roman"/>
          <w:sz w:val="24"/>
          <w:szCs w:val="24"/>
          <w:lang w:val="ro-RO"/>
        </w:rPr>
        <w:t>completează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după cum urmează:</w:t>
      </w:r>
    </w:p>
    <w:p w14:paraId="574F7FF4" w14:textId="77777777" w:rsidR="000459D9" w:rsidRPr="00F167C8" w:rsidRDefault="000459D9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208780E5" w14:textId="5FC82CD5" w:rsidR="00357696" w:rsidRPr="00F167C8" w:rsidRDefault="00DB6361" w:rsidP="00D00F70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  <w:r w:rsidRPr="00F167C8">
        <w:rPr>
          <w:lang w:val="ro-RO"/>
        </w:rPr>
        <w:t>1.</w:t>
      </w:r>
      <w:r w:rsidR="00D00F70" w:rsidRPr="00F167C8">
        <w:rPr>
          <w:lang w:val="ro-RO"/>
        </w:rPr>
        <w:t xml:space="preserve"> </w:t>
      </w:r>
      <w:r w:rsidR="00A16802" w:rsidRPr="00F167C8">
        <w:rPr>
          <w:lang w:val="ro-RO"/>
        </w:rPr>
        <w:t xml:space="preserve">La Anexa nr. 1 -  TARIFUL perceput operatorilor economici care desfăşoară activităţi în sectorul energiei electrice, termice şi al gazelor naturale pentru acordarea de </w:t>
      </w:r>
      <w:r w:rsidR="00824A98" w:rsidRPr="00F167C8">
        <w:rPr>
          <w:lang w:val="ro-RO"/>
        </w:rPr>
        <w:t>autorizații</w:t>
      </w:r>
      <w:r w:rsidR="00A16802" w:rsidRPr="00F167C8">
        <w:rPr>
          <w:lang w:val="ro-RO"/>
        </w:rPr>
        <w:t xml:space="preserve"> şi </w:t>
      </w:r>
      <w:r w:rsidR="00824A98" w:rsidRPr="00F167C8">
        <w:rPr>
          <w:lang w:val="ro-RO"/>
        </w:rPr>
        <w:t>licențe</w:t>
      </w:r>
      <w:r w:rsidR="00A16802" w:rsidRPr="00F167C8">
        <w:rPr>
          <w:lang w:val="ro-RO"/>
        </w:rPr>
        <w:t xml:space="preserve">,  </w:t>
      </w:r>
      <w:r w:rsidRPr="00F167C8">
        <w:rPr>
          <w:lang w:val="ro-RO"/>
        </w:rPr>
        <w:t xml:space="preserve">în </w:t>
      </w:r>
      <w:r w:rsidR="00A16802" w:rsidRPr="00F167C8">
        <w:rPr>
          <w:rFonts w:eastAsiaTheme="minorHAnsi"/>
          <w:lang w:val="ro-RO"/>
        </w:rPr>
        <w:t xml:space="preserve">Tabelul nr. 1 - Tariful pentru acordarea/modificarea autorizaţiilor de înfiinţare şi a licenţelor în sectorul energiei electrice </w:t>
      </w:r>
      <w:r w:rsidR="00824A98" w:rsidRPr="00F167C8">
        <w:rPr>
          <w:rFonts w:eastAsiaTheme="minorHAnsi"/>
          <w:lang w:val="ro-RO"/>
        </w:rPr>
        <w:t>și</w:t>
      </w:r>
      <w:r w:rsidR="00A16802" w:rsidRPr="00F167C8">
        <w:rPr>
          <w:rFonts w:eastAsiaTheme="minorHAnsi"/>
          <w:lang w:val="ro-RO"/>
        </w:rPr>
        <w:t xml:space="preserve"> termice,</w:t>
      </w:r>
      <w:r w:rsidRPr="00F167C8">
        <w:rPr>
          <w:rFonts w:eastAsiaTheme="minorHAnsi"/>
          <w:lang w:val="ro-RO"/>
        </w:rPr>
        <w:t xml:space="preserve"> punctul 14</w:t>
      </w:r>
      <w:r w:rsidR="00A16802" w:rsidRPr="00F167C8">
        <w:rPr>
          <w:rFonts w:eastAsiaTheme="minorHAnsi"/>
          <w:lang w:val="ro-RO"/>
        </w:rPr>
        <w:t xml:space="preserve"> </w:t>
      </w:r>
      <w:r w:rsidR="00357696" w:rsidRPr="00F167C8">
        <w:rPr>
          <w:rFonts w:eastAsiaTheme="minorHAnsi"/>
          <w:lang w:val="ro-RO"/>
        </w:rPr>
        <w:t>se modifică și va avea  următorul cuprins:</w:t>
      </w:r>
    </w:p>
    <w:p w14:paraId="2DAD044C" w14:textId="65456DFD" w:rsidR="00A16802" w:rsidRPr="00F167C8" w:rsidRDefault="00A16802" w:rsidP="00357696">
      <w:pPr>
        <w:pStyle w:val="spar"/>
        <w:spacing w:line="276" w:lineRule="auto"/>
        <w:jc w:val="both"/>
        <w:rPr>
          <w:rFonts w:eastAsiaTheme="minorHAnsi"/>
          <w:lang w:val="ro-RO"/>
        </w:rPr>
      </w:pPr>
    </w:p>
    <w:p w14:paraId="268780D9" w14:textId="77777777" w:rsidR="00CC4327" w:rsidRPr="00F167C8" w:rsidRDefault="00CC4327" w:rsidP="00CC4327">
      <w:pPr>
        <w:pStyle w:val="ListParagraph"/>
        <w:spacing w:after="0" w:line="240" w:lineRule="auto"/>
        <w:ind w:left="806"/>
        <w:jc w:val="both"/>
        <w:rPr>
          <w:lang w:val="ro-RO"/>
        </w:rPr>
      </w:pPr>
    </w:p>
    <w:tbl>
      <w:tblPr>
        <w:tblW w:w="992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985"/>
        <w:gridCol w:w="992"/>
      </w:tblGrid>
      <w:tr w:rsidR="00357696" w:rsidRPr="00F167C8" w14:paraId="640796CA" w14:textId="77777777" w:rsidTr="00CC432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8A58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084B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 xml:space="preserve">Activitatea </w:t>
            </w:r>
          </w:p>
          <w:p w14:paraId="3590F32C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Obiectul solicitării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B53B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Tariful (lei)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E4E88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Aplicare</w:t>
            </w:r>
          </w:p>
        </w:tc>
      </w:tr>
      <w:tr w:rsidR="00357696" w:rsidRPr="00F167C8" w14:paraId="2C6EC726" w14:textId="77777777" w:rsidTr="00CC432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0A5FE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CB63F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878D6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7D96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7696" w:rsidRPr="00F167C8" w14:paraId="318ED0A2" w14:textId="77777777" w:rsidTr="00824A98">
        <w:trPr>
          <w:trHeight w:val="1767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DAC6C3" w14:textId="29B17115" w:rsidR="00357696" w:rsidRPr="00F167C8" w:rsidRDefault="00357696" w:rsidP="0087355D">
            <w:pPr>
              <w:pStyle w:val="spar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0E9D6" w14:textId="6657D68E" w:rsidR="00357696" w:rsidRPr="00F167C8" w:rsidRDefault="00357696" w:rsidP="0087355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35AD0E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3DAD5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696" w:rsidRPr="00F167C8" w14:paraId="569E3AE7" w14:textId="77777777" w:rsidTr="00CC4327">
        <w:trPr>
          <w:trHeight w:val="1008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E6939E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9FA26" w14:textId="3BAAADFD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BE7745" w14:textId="1DE19136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F26876" w14:textId="77777777" w:rsidR="00357696" w:rsidRPr="00F167C8" w:rsidRDefault="00357696" w:rsidP="0087355D">
            <w:pPr>
              <w:pStyle w:val="spar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696" w:rsidRPr="00F167C8" w14:paraId="54F98ACC" w14:textId="77777777" w:rsidTr="00CC4327">
        <w:trPr>
          <w:trHeight w:val="54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68710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2DCE" w14:textId="718C9756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C20C21" w14:textId="3996AC76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583516" w14:textId="77777777" w:rsidR="00357696" w:rsidRPr="00F167C8" w:rsidRDefault="00357696" w:rsidP="0087355D">
            <w:pPr>
              <w:pStyle w:val="spar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696" w:rsidRPr="00F167C8" w14:paraId="0B4C6D31" w14:textId="77777777" w:rsidTr="00CC4327">
        <w:trPr>
          <w:trHeight w:val="16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E8CFA" w14:textId="64630C32" w:rsidR="00357696" w:rsidRPr="00F167C8" w:rsidRDefault="00357696" w:rsidP="0087355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80717" w14:textId="4EC80F69" w:rsidR="00357696" w:rsidRPr="00F167C8" w:rsidRDefault="00357696" w:rsidP="0087355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4C6B7" w14:textId="6C041A5D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80749" w14:textId="0B0FE9B2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696" w:rsidRPr="00F167C8" w14:paraId="2427EDB5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A9F9" w14:textId="7C8502E3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67FA4" w14:textId="34D017E9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B6350" w14:textId="2E321226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DB866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18F7677A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70BA0" w14:textId="51EF00BD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5CEEC" w14:textId="4BA84957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FE664" w14:textId="1212715D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635B5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691D0F6B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97D92" w14:textId="6893BFB2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34A78" w14:textId="341F7869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9DCE" w14:textId="365B2DC2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EDB39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39C576D0" w14:textId="77777777" w:rsidTr="00CC432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5636D" w14:textId="62F74E9B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4011F" w14:textId="448F7610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BE8C4" w14:textId="4EB110EA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D6D44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1A6E69B2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BCA60" w14:textId="79E2B752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A349" w14:textId="52C50577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7FC43" w14:textId="6B6F902D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580E4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46864512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9945A" w14:textId="31FB0868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D0D7F" w14:textId="067E5394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BA1F1" w14:textId="3759076B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08E77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469F1EAB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9536" w14:textId="6D7E659E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1202" w14:textId="15221237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8A4F3" w14:textId="57219501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CF065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1DF89518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6700" w14:textId="3E5E3D13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465E1" w14:textId="30B50D0C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564BF" w14:textId="2CC24B6B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6BE8B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3AEB14A3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C6ED7" w14:textId="34D41B58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525FE" w14:textId="4829BFC8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F4CBB" w14:textId="04AF3A12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F520A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6D3EE88C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843C" w14:textId="515372EB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4D587" w14:textId="24409B74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06CD2" w14:textId="5D9865E3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B606C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7A2E2B73" w14:textId="77777777" w:rsidTr="00CC432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C307B" w14:textId="3A89B0DF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CAEA2" w14:textId="4F533B12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44F6D" w14:textId="470DF622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C284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6437B396" w14:textId="77777777" w:rsidTr="00CC432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5D163" w14:textId="572412E3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B17D" w14:textId="6E1EE26E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Modificarea unei autorizații de înființare sau a unei licențe, cu excepția situațiilor de la pct. 15, 16 și 17 şi 17.</w:t>
            </w:r>
            <w:r w:rsidRPr="00F167C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B8D0" w14:textId="77777777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2.500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EA71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74BEF22D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166B8" w14:textId="7DA852F6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E89E5" w14:textId="3979E9DA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CE2FE" w14:textId="150D1DE6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0B16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47B36DD9" w14:textId="77777777" w:rsidTr="00824A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DA879" w14:textId="3340C1E5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51B2D" w14:textId="036654EF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526F" w14:textId="07D4F546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731EF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696" w:rsidRPr="00F167C8" w14:paraId="7D9A58A4" w14:textId="77777777" w:rsidTr="00824A98">
        <w:trPr>
          <w:trHeight w:val="7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9F75F" w14:textId="0FD2247F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3D3AC" w14:textId="0BCEDA1B" w:rsidR="00357696" w:rsidRPr="00F167C8" w:rsidRDefault="00357696" w:rsidP="0087355D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C575B" w14:textId="1991F99B" w:rsidR="00357696" w:rsidRPr="00F167C8" w:rsidRDefault="00357696" w:rsidP="0087355D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03126" w14:textId="77777777" w:rsidR="00357696" w:rsidRPr="00F167C8" w:rsidRDefault="00357696" w:rsidP="008735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F424BE9" w14:textId="77777777" w:rsidR="00A16802" w:rsidRPr="00F167C8" w:rsidRDefault="00A16802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4D66EFED" w14:textId="28BC8201" w:rsidR="00A16802" w:rsidRPr="00F167C8" w:rsidRDefault="00DB6361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  <w:r w:rsidRPr="00F167C8">
        <w:rPr>
          <w:rFonts w:eastAsiaTheme="minorHAnsi"/>
          <w:lang w:val="ro-RO"/>
        </w:rPr>
        <w:t>2.</w:t>
      </w:r>
      <w:r w:rsidRPr="00F167C8">
        <w:rPr>
          <w:lang w:val="ro-RO"/>
        </w:rPr>
        <w:t xml:space="preserve"> </w:t>
      </w:r>
      <w:r w:rsidRPr="00F167C8">
        <w:rPr>
          <w:rFonts w:eastAsiaTheme="minorHAnsi"/>
          <w:lang w:val="ro-RO"/>
        </w:rPr>
        <w:t xml:space="preserve">La Anexa nr. 1 -  TARIFUL perceput operatorilor economici care </w:t>
      </w:r>
      <w:r w:rsidR="007B2266" w:rsidRPr="00F167C8">
        <w:rPr>
          <w:rFonts w:eastAsiaTheme="minorHAnsi"/>
          <w:lang w:val="ro-RO"/>
        </w:rPr>
        <w:t>desfășoară</w:t>
      </w:r>
      <w:r w:rsidRPr="00F167C8">
        <w:rPr>
          <w:rFonts w:eastAsiaTheme="minorHAnsi"/>
          <w:lang w:val="ro-RO"/>
        </w:rPr>
        <w:t xml:space="preserve"> </w:t>
      </w:r>
      <w:r w:rsidR="007B2266" w:rsidRPr="00F167C8">
        <w:rPr>
          <w:rFonts w:eastAsiaTheme="minorHAnsi"/>
          <w:lang w:val="ro-RO"/>
        </w:rPr>
        <w:t>activități</w:t>
      </w:r>
      <w:r w:rsidRPr="00F167C8">
        <w:rPr>
          <w:rFonts w:eastAsiaTheme="minorHAnsi"/>
          <w:lang w:val="ro-RO"/>
        </w:rPr>
        <w:t xml:space="preserve"> în sectorul energiei electrice, termice </w:t>
      </w:r>
      <w:r w:rsidR="007B2266" w:rsidRPr="00F167C8">
        <w:rPr>
          <w:rFonts w:eastAsiaTheme="minorHAnsi"/>
          <w:lang w:val="ro-RO"/>
        </w:rPr>
        <w:t>și</w:t>
      </w:r>
      <w:r w:rsidRPr="00F167C8">
        <w:rPr>
          <w:rFonts w:eastAsiaTheme="minorHAnsi"/>
          <w:lang w:val="ro-RO"/>
        </w:rPr>
        <w:t xml:space="preserve"> al gazelor naturale pentru acordarea de </w:t>
      </w:r>
      <w:r w:rsidR="007B2266" w:rsidRPr="00F167C8">
        <w:rPr>
          <w:rFonts w:eastAsiaTheme="minorHAnsi"/>
          <w:lang w:val="ro-RO"/>
        </w:rPr>
        <w:t>autorizații</w:t>
      </w:r>
      <w:r w:rsidRPr="00F167C8">
        <w:rPr>
          <w:rFonts w:eastAsiaTheme="minorHAnsi"/>
          <w:lang w:val="ro-RO"/>
        </w:rPr>
        <w:t xml:space="preserve"> </w:t>
      </w:r>
      <w:r w:rsidR="007B2266" w:rsidRPr="00F167C8">
        <w:rPr>
          <w:rFonts w:eastAsiaTheme="minorHAnsi"/>
          <w:lang w:val="ro-RO"/>
        </w:rPr>
        <w:t>și</w:t>
      </w:r>
      <w:r w:rsidRPr="00F167C8">
        <w:rPr>
          <w:rFonts w:eastAsiaTheme="minorHAnsi"/>
          <w:lang w:val="ro-RO"/>
        </w:rPr>
        <w:t xml:space="preserve"> </w:t>
      </w:r>
      <w:r w:rsidR="007B2266" w:rsidRPr="00F167C8">
        <w:rPr>
          <w:rFonts w:eastAsiaTheme="minorHAnsi"/>
          <w:lang w:val="ro-RO"/>
        </w:rPr>
        <w:t>licențe</w:t>
      </w:r>
      <w:r w:rsidRPr="00F167C8">
        <w:rPr>
          <w:rFonts w:eastAsiaTheme="minorHAnsi"/>
          <w:lang w:val="ro-RO"/>
        </w:rPr>
        <w:t xml:space="preserve">,  în Tabelul nr. 1 - Tariful pentru acordarea/modificarea </w:t>
      </w:r>
      <w:r w:rsidR="007B2266" w:rsidRPr="00F167C8">
        <w:rPr>
          <w:rFonts w:eastAsiaTheme="minorHAnsi"/>
          <w:lang w:val="ro-RO"/>
        </w:rPr>
        <w:t>autorizațiilor</w:t>
      </w:r>
      <w:r w:rsidRPr="00F167C8">
        <w:rPr>
          <w:rFonts w:eastAsiaTheme="minorHAnsi"/>
          <w:lang w:val="ro-RO"/>
        </w:rPr>
        <w:t xml:space="preserve"> de </w:t>
      </w:r>
      <w:r w:rsidR="007B2266" w:rsidRPr="00F167C8">
        <w:rPr>
          <w:rFonts w:eastAsiaTheme="minorHAnsi"/>
          <w:lang w:val="ro-RO"/>
        </w:rPr>
        <w:t>înființare</w:t>
      </w:r>
      <w:r w:rsidRPr="00F167C8">
        <w:rPr>
          <w:rFonts w:eastAsiaTheme="minorHAnsi"/>
          <w:lang w:val="ro-RO"/>
        </w:rPr>
        <w:t xml:space="preserve"> </w:t>
      </w:r>
      <w:r w:rsidR="007B2266" w:rsidRPr="00F167C8">
        <w:rPr>
          <w:rFonts w:eastAsiaTheme="minorHAnsi"/>
          <w:lang w:val="ro-RO"/>
        </w:rPr>
        <w:t>și</w:t>
      </w:r>
      <w:r w:rsidRPr="00F167C8">
        <w:rPr>
          <w:rFonts w:eastAsiaTheme="minorHAnsi"/>
          <w:lang w:val="ro-RO"/>
        </w:rPr>
        <w:t xml:space="preserve"> a </w:t>
      </w:r>
      <w:r w:rsidR="007B2266" w:rsidRPr="00F167C8">
        <w:rPr>
          <w:rFonts w:eastAsiaTheme="minorHAnsi"/>
          <w:lang w:val="ro-RO"/>
        </w:rPr>
        <w:t>licențelor</w:t>
      </w:r>
      <w:r w:rsidRPr="00F167C8">
        <w:rPr>
          <w:rFonts w:eastAsiaTheme="minorHAnsi"/>
          <w:lang w:val="ro-RO"/>
        </w:rPr>
        <w:t xml:space="preserve"> în sectorul energiei electrice </w:t>
      </w:r>
      <w:r w:rsidR="007B2266" w:rsidRPr="00F167C8">
        <w:rPr>
          <w:rFonts w:eastAsiaTheme="minorHAnsi"/>
          <w:lang w:val="ro-RO"/>
        </w:rPr>
        <w:t>și</w:t>
      </w:r>
      <w:r w:rsidRPr="00F167C8">
        <w:rPr>
          <w:rFonts w:eastAsiaTheme="minorHAnsi"/>
          <w:lang w:val="ro-RO"/>
        </w:rPr>
        <w:t xml:space="preserve"> termice, după punctul 1</w:t>
      </w:r>
      <w:r w:rsidR="00B97466" w:rsidRPr="00F167C8">
        <w:rPr>
          <w:rFonts w:eastAsiaTheme="minorHAnsi"/>
          <w:lang w:val="ro-RO"/>
        </w:rPr>
        <w:t>7</w:t>
      </w:r>
      <w:r w:rsidRPr="00F167C8">
        <w:rPr>
          <w:rFonts w:eastAsiaTheme="minorHAnsi"/>
          <w:lang w:val="ro-RO"/>
        </w:rPr>
        <w:t xml:space="preserve"> se introduce un nou punct, punctul 17</w:t>
      </w:r>
      <w:r w:rsidRPr="00F167C8">
        <w:rPr>
          <w:rFonts w:eastAsiaTheme="minorHAnsi"/>
          <w:vertAlign w:val="superscript"/>
          <w:lang w:val="ro-RO"/>
        </w:rPr>
        <w:t>1</w:t>
      </w:r>
      <w:r w:rsidRPr="00F167C8">
        <w:rPr>
          <w:rFonts w:eastAsiaTheme="minorHAnsi"/>
          <w:lang w:val="ro-RO"/>
        </w:rPr>
        <w:t xml:space="preserve"> cu  următorul cuprins:</w:t>
      </w:r>
    </w:p>
    <w:p w14:paraId="5954A55A" w14:textId="1F584763" w:rsidR="00DB6361" w:rsidRPr="00F167C8" w:rsidRDefault="00DB6361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18B764B4" w14:textId="77777777" w:rsidR="00DB6361" w:rsidRPr="00F167C8" w:rsidRDefault="00DB6361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tbl>
      <w:tblPr>
        <w:tblW w:w="992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985"/>
        <w:gridCol w:w="992"/>
      </w:tblGrid>
      <w:tr w:rsidR="00DB6361" w:rsidRPr="00F167C8" w14:paraId="76DE867E" w14:textId="77777777" w:rsidTr="00FB711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83D7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0C7D1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 xml:space="preserve">Activitatea </w:t>
            </w:r>
          </w:p>
          <w:p w14:paraId="251E6861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Obiectul solicitării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27B5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Tariful (lei)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B15C2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Aplicare</w:t>
            </w:r>
          </w:p>
        </w:tc>
      </w:tr>
      <w:tr w:rsidR="00DB6361" w:rsidRPr="00F167C8" w14:paraId="3E2CCCB6" w14:textId="77777777" w:rsidTr="00FB711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A99DE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DAA7F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A39A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2024" w14:textId="77777777" w:rsidR="00DB6361" w:rsidRPr="00F167C8" w:rsidRDefault="00DB6361" w:rsidP="00FB7114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6361" w:rsidRPr="00F167C8" w14:paraId="17130D53" w14:textId="77777777" w:rsidTr="00FB711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37D4D" w14:textId="025460E3" w:rsidR="00DB6361" w:rsidRPr="00F167C8" w:rsidRDefault="00DB6361" w:rsidP="00DB6361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>17</w:t>
            </w:r>
            <w:r w:rsidRPr="00F167C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EB2DC7" w:rsidRPr="00F16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ACFF5" w14:textId="2A1B3E56" w:rsidR="00DB6361" w:rsidRPr="00F167C8" w:rsidRDefault="00DB6361" w:rsidP="00DB6361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 xml:space="preserve">Modificarea unei </w:t>
            </w:r>
            <w:r w:rsidR="007B2266" w:rsidRPr="00F167C8">
              <w:rPr>
                <w:rFonts w:ascii="Times New Roman" w:hAnsi="Times New Roman"/>
                <w:sz w:val="24"/>
                <w:szCs w:val="24"/>
              </w:rPr>
              <w:t>autorizații</w:t>
            </w:r>
            <w:r w:rsidRPr="00F167C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7B2266" w:rsidRPr="00F167C8">
              <w:rPr>
                <w:rFonts w:ascii="Times New Roman" w:hAnsi="Times New Roman"/>
                <w:sz w:val="24"/>
                <w:szCs w:val="24"/>
              </w:rPr>
              <w:t>înființare</w:t>
            </w:r>
            <w:r w:rsidRPr="00F167C8">
              <w:rPr>
                <w:rFonts w:ascii="Times New Roman" w:hAnsi="Times New Roman"/>
                <w:sz w:val="24"/>
                <w:szCs w:val="24"/>
              </w:rPr>
              <w:t xml:space="preserve"> ce conduce la </w:t>
            </w:r>
            <w:r w:rsidR="007B2266" w:rsidRPr="00F167C8">
              <w:rPr>
                <w:rFonts w:ascii="Times New Roman" w:hAnsi="Times New Roman"/>
                <w:sz w:val="24"/>
                <w:szCs w:val="24"/>
              </w:rPr>
              <w:t>creșterea</w:t>
            </w:r>
            <w:r w:rsidRPr="00F167C8">
              <w:rPr>
                <w:rFonts w:ascii="Times New Roman" w:hAnsi="Times New Roman"/>
                <w:sz w:val="24"/>
                <w:szCs w:val="24"/>
              </w:rPr>
              <w:t xml:space="preserve"> puterii maximal debitată în </w:t>
            </w:r>
            <w:r w:rsidR="007B2266" w:rsidRPr="00F167C8">
              <w:rPr>
                <w:rFonts w:ascii="Times New Roman" w:hAnsi="Times New Roman"/>
                <w:sz w:val="24"/>
                <w:szCs w:val="24"/>
              </w:rPr>
              <w:t>rețea</w:t>
            </w:r>
            <w:r w:rsidRPr="00F167C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7B2266" w:rsidRPr="00F167C8">
              <w:rPr>
                <w:rFonts w:ascii="Times New Roman" w:hAnsi="Times New Roman"/>
                <w:sz w:val="24"/>
                <w:szCs w:val="24"/>
              </w:rPr>
              <w:t>capacității</w:t>
            </w:r>
            <w:r w:rsidRPr="00F167C8">
              <w:rPr>
                <w:rFonts w:ascii="Times New Roman" w:hAnsi="Times New Roman"/>
                <w:sz w:val="24"/>
                <w:szCs w:val="24"/>
              </w:rPr>
              <w:t xml:space="preserve"> respective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8DF44" w14:textId="6AD404BD" w:rsidR="00DB6361" w:rsidRPr="00F167C8" w:rsidRDefault="00DB6361" w:rsidP="00DB6361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C8">
              <w:rPr>
                <w:rFonts w:ascii="Times New Roman" w:hAnsi="Times New Roman"/>
                <w:sz w:val="24"/>
                <w:szCs w:val="24"/>
              </w:rPr>
              <w:t xml:space="preserve">0,1% din valoarea </w:t>
            </w:r>
            <w:r w:rsidR="007B2266" w:rsidRPr="00F167C8">
              <w:rPr>
                <w:rFonts w:ascii="Times New Roman" w:hAnsi="Times New Roman"/>
                <w:sz w:val="24"/>
                <w:szCs w:val="24"/>
              </w:rPr>
              <w:t>investiției</w:t>
            </w:r>
            <w:r w:rsidRPr="00F167C8">
              <w:rPr>
                <w:rFonts w:ascii="Times New Roman" w:hAnsi="Times New Roman"/>
                <w:sz w:val="24"/>
                <w:szCs w:val="24"/>
              </w:rPr>
              <w:t xml:space="preserve"> rămase de realizat (</w:t>
            </w:r>
            <w:r w:rsidR="007B2266" w:rsidRPr="00F167C8">
              <w:rPr>
                <w:rFonts w:ascii="Times New Roman" w:hAnsi="Times New Roman"/>
                <w:sz w:val="24"/>
                <w:szCs w:val="24"/>
              </w:rPr>
              <w:t>fără</w:t>
            </w:r>
            <w:r w:rsidRPr="00F167C8">
              <w:rPr>
                <w:rFonts w:ascii="Times New Roman" w:hAnsi="Times New Roman"/>
                <w:sz w:val="24"/>
                <w:szCs w:val="24"/>
              </w:rPr>
              <w:t xml:space="preserve"> TVA), dar nu mai mult de 500.000 lei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A17E2" w14:textId="29B99A5C" w:rsidR="00DB6361" w:rsidRPr="00F167C8" w:rsidRDefault="00DB6361" w:rsidP="00DB6361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0F3F7A" w14:textId="59A18109" w:rsidR="00A16802" w:rsidRPr="00F167C8" w:rsidRDefault="00A16802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23E0282A" w14:textId="69718A54" w:rsidR="00DB6361" w:rsidRPr="00F167C8" w:rsidRDefault="00DB6361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43D4A5C3" w14:textId="77777777" w:rsidR="00DB6361" w:rsidRPr="00F167C8" w:rsidRDefault="00DB6361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26E7EBDE" w14:textId="5D631C8B" w:rsidR="000459D9" w:rsidRPr="00F167C8" w:rsidRDefault="008C4351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  <w:r w:rsidRPr="00F167C8">
        <w:rPr>
          <w:lang w:val="ro-RO"/>
        </w:rPr>
        <w:t>3.</w:t>
      </w:r>
      <w:r w:rsidR="001D6771" w:rsidRPr="00F167C8">
        <w:rPr>
          <w:lang w:val="ro-RO"/>
        </w:rPr>
        <w:t xml:space="preserve"> </w:t>
      </w:r>
      <w:r w:rsidR="000459D9" w:rsidRPr="00F167C8">
        <w:rPr>
          <w:lang w:val="ro-RO"/>
        </w:rPr>
        <w:t xml:space="preserve">La Anexa nr. 4 - </w:t>
      </w:r>
      <w:r w:rsidR="000459D9" w:rsidRPr="00F167C8">
        <w:rPr>
          <w:rFonts w:eastAsiaTheme="minorHAnsi"/>
          <w:lang w:val="ro-RO"/>
        </w:rPr>
        <w:t>CONTRIBU</w:t>
      </w:r>
      <w:r w:rsidR="003B34F7" w:rsidRPr="00F167C8">
        <w:rPr>
          <w:rFonts w:eastAsiaTheme="minorHAnsi"/>
          <w:lang w:val="ro-RO"/>
        </w:rPr>
        <w:t>Ț</w:t>
      </w:r>
      <w:r w:rsidR="000459D9" w:rsidRPr="00F167C8">
        <w:rPr>
          <w:rFonts w:eastAsiaTheme="minorHAnsi"/>
          <w:lang w:val="ro-RO"/>
        </w:rPr>
        <w:t>IA BĂNEASCĂ percepută anual de Autoritatea Na</w:t>
      </w:r>
      <w:r w:rsidR="003B34F7" w:rsidRPr="00F167C8">
        <w:rPr>
          <w:rFonts w:eastAsiaTheme="minorHAnsi"/>
          <w:lang w:val="ro-RO"/>
        </w:rPr>
        <w:t>ț</w:t>
      </w:r>
      <w:r w:rsidR="000459D9" w:rsidRPr="00F167C8">
        <w:rPr>
          <w:rFonts w:eastAsiaTheme="minorHAnsi"/>
          <w:lang w:val="ro-RO"/>
        </w:rPr>
        <w:t>ională de Reglementare în Domeniul Energiei de la operatorii economici titulari de licen</w:t>
      </w:r>
      <w:r w:rsidR="003B34F7" w:rsidRPr="00F167C8">
        <w:rPr>
          <w:rFonts w:eastAsiaTheme="minorHAnsi"/>
          <w:lang w:val="ro-RO"/>
        </w:rPr>
        <w:t>ț</w:t>
      </w:r>
      <w:r w:rsidR="000459D9" w:rsidRPr="00F167C8">
        <w:rPr>
          <w:rFonts w:eastAsiaTheme="minorHAnsi"/>
          <w:lang w:val="ro-RO"/>
        </w:rPr>
        <w:t>e/decizii de confirmare în sectorul energiei electrice, termice şi gazelor naturale, care, potrivit legii, se află în competen</w:t>
      </w:r>
      <w:r w:rsidR="003B34F7" w:rsidRPr="00F167C8">
        <w:rPr>
          <w:rFonts w:eastAsiaTheme="minorHAnsi"/>
          <w:lang w:val="ro-RO"/>
        </w:rPr>
        <w:t>ț</w:t>
      </w:r>
      <w:r w:rsidR="000459D9" w:rsidRPr="00F167C8">
        <w:rPr>
          <w:rFonts w:eastAsiaTheme="minorHAnsi"/>
          <w:lang w:val="ro-RO"/>
        </w:rPr>
        <w:t>a de reglementare a Autorită</w:t>
      </w:r>
      <w:r w:rsidR="003B34F7" w:rsidRPr="00F167C8">
        <w:rPr>
          <w:rFonts w:eastAsiaTheme="minorHAnsi"/>
          <w:lang w:val="ro-RO"/>
        </w:rPr>
        <w:t>ț</w:t>
      </w:r>
      <w:r w:rsidR="000459D9" w:rsidRPr="00F167C8">
        <w:rPr>
          <w:rFonts w:eastAsiaTheme="minorHAnsi"/>
          <w:lang w:val="ro-RO"/>
        </w:rPr>
        <w:t>ii Na</w:t>
      </w:r>
      <w:r w:rsidR="003B34F7" w:rsidRPr="00F167C8">
        <w:rPr>
          <w:rFonts w:eastAsiaTheme="minorHAnsi"/>
          <w:lang w:val="ro-RO"/>
        </w:rPr>
        <w:t>ț</w:t>
      </w:r>
      <w:r w:rsidR="000459D9" w:rsidRPr="00F167C8">
        <w:rPr>
          <w:rFonts w:eastAsiaTheme="minorHAnsi"/>
          <w:lang w:val="ro-RO"/>
        </w:rPr>
        <w:t xml:space="preserve">ionale de Reglementare în Domeniul Energiei, </w:t>
      </w:r>
      <w:r w:rsidR="000459D9" w:rsidRPr="00F167C8">
        <w:rPr>
          <w:rFonts w:eastAsiaTheme="minorHAnsi"/>
          <w:color w:val="000000" w:themeColor="text1"/>
          <w:lang w:val="ro-RO"/>
        </w:rPr>
        <w:t xml:space="preserve">la </w:t>
      </w:r>
      <w:r w:rsidR="000459D9" w:rsidRPr="00F167C8">
        <w:rPr>
          <w:rFonts w:eastAsiaTheme="minorHAnsi"/>
          <w:lang w:val="ro-RO"/>
        </w:rPr>
        <w:t>Cap</w:t>
      </w:r>
      <w:r w:rsidR="001D6771" w:rsidRPr="00F167C8">
        <w:rPr>
          <w:rFonts w:eastAsiaTheme="minorHAnsi"/>
          <w:lang w:val="ro-RO"/>
        </w:rPr>
        <w:t xml:space="preserve">itolul </w:t>
      </w:r>
      <w:r w:rsidR="000459D9" w:rsidRPr="00F167C8">
        <w:rPr>
          <w:rFonts w:eastAsiaTheme="minorHAnsi"/>
          <w:lang w:val="ro-RO"/>
        </w:rPr>
        <w:t>III Dispozi</w:t>
      </w:r>
      <w:r w:rsidR="003B34F7" w:rsidRPr="00F167C8">
        <w:rPr>
          <w:rFonts w:eastAsiaTheme="minorHAnsi"/>
          <w:lang w:val="ro-RO"/>
        </w:rPr>
        <w:t>ț</w:t>
      </w:r>
      <w:r w:rsidR="000459D9" w:rsidRPr="00F167C8">
        <w:rPr>
          <w:rFonts w:eastAsiaTheme="minorHAnsi"/>
          <w:lang w:val="ro-RO"/>
        </w:rPr>
        <w:t>ii finale</w:t>
      </w:r>
      <w:r w:rsidR="00B24A46" w:rsidRPr="00F167C8">
        <w:rPr>
          <w:rFonts w:eastAsiaTheme="minorHAnsi"/>
          <w:lang w:val="ro-RO"/>
        </w:rPr>
        <w:t>,</w:t>
      </w:r>
      <w:r w:rsidR="000459D9" w:rsidRPr="00F167C8">
        <w:rPr>
          <w:rFonts w:eastAsiaTheme="minorHAnsi"/>
          <w:lang w:val="ro-RO"/>
        </w:rPr>
        <w:t xml:space="preserve"> </w:t>
      </w:r>
      <w:r w:rsidR="000459D9" w:rsidRPr="00F167C8">
        <w:rPr>
          <w:rFonts w:eastAsiaTheme="minorHAnsi"/>
          <w:color w:val="000000" w:themeColor="text1"/>
          <w:lang w:val="ro-RO"/>
        </w:rPr>
        <w:t xml:space="preserve">după punctul 9 se introduce un nou punct, pct. 10, cu următorul </w:t>
      </w:r>
      <w:r w:rsidR="000459D9" w:rsidRPr="00F167C8">
        <w:rPr>
          <w:rFonts w:eastAsiaTheme="minorHAnsi"/>
          <w:lang w:val="ro-RO"/>
        </w:rPr>
        <w:t>cuprins:</w:t>
      </w:r>
    </w:p>
    <w:p w14:paraId="541B9567" w14:textId="77777777" w:rsidR="000459D9" w:rsidRPr="00F167C8" w:rsidRDefault="000459D9" w:rsidP="000459D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2CB40CC2" w14:textId="77777777" w:rsidR="00DC7CDA" w:rsidRPr="00F167C8" w:rsidRDefault="00DC7CDA" w:rsidP="009F6F59">
      <w:pPr>
        <w:pStyle w:val="spar"/>
        <w:spacing w:line="276" w:lineRule="auto"/>
        <w:ind w:left="0"/>
        <w:jc w:val="both"/>
        <w:rPr>
          <w:rFonts w:eastAsiaTheme="minorHAnsi"/>
          <w:lang w:val="ro-RO"/>
        </w:rPr>
      </w:pPr>
    </w:p>
    <w:p w14:paraId="2DD7051E" w14:textId="0B14E438" w:rsidR="003870A0" w:rsidRPr="00F167C8" w:rsidRDefault="00096928" w:rsidP="003870A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“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10. a)  În cazul titularilor de licen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e/decizii de confirmare acordate de Autoritatea Na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ională de Reglementare în Domeniul Energiei în sectorul energiei electrice și termice, care nu depun pe portalul </w:t>
      </w:r>
      <w:r w:rsidR="001D6771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Autorită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1D6771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ii Na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1D6771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ionale de Reglementare în Domeniul Energiei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, documentele justificative </w:t>
      </w:r>
      <w:r w:rsidR="00717A66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conform 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cap.I, pct.8 pentru efectuarea regularizării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iei bănești,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ia bănească aferentă anului 2025 se determină provizoriu </w:t>
      </w:r>
      <w:r w:rsidR="00C63915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inând cont de valoarea cea mai mare a bazei de calcul declarate de respectivul operator economic în vederea regularizării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iilor bănești </w:t>
      </w:r>
      <w:r w:rsidR="002C2314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din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ultimii doi ani. Dacă valoarea bazei de calcul astfel stabilite este mai mică decât valoarea bazei de calcul avută în vedere la stabilirea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iei bănești estimate pentru anul 2025,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ia bănească aferentă anului 2025 se determină prin luarea în considerare a bazei de calcul avută în vedere la stabilirea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3870A0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iei bănești estimate pentru anul 2025.</w:t>
      </w:r>
    </w:p>
    <w:p w14:paraId="2CEC2BE9" w14:textId="72D3E926" w:rsidR="003870A0" w:rsidRPr="00F167C8" w:rsidRDefault="003870A0" w:rsidP="003870A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b) În cazul titularilor de licen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e/decizii de confirmare acordate de Autoritatea Na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ională de Reglementare în Domeniul Energiei în sectorul gazelor naturale care nu depun pe portalul </w:t>
      </w:r>
      <w:r w:rsidR="001D6771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Autorită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1D6771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ii Na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1D6771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ionale de Reglementare în Domeniul Energiei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, documentele justificative </w:t>
      </w:r>
      <w:r w:rsidR="003049FE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conform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cap.II pct.7, pentru efectuarea regularizării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iei bănești,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ia bănească aferentă anului 2025 se determină provizoriu 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inând cont de valoarea cea mai mare a bazei de calcul declarate de respectivul operator economic în vederea regularizării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iilor bănești </w:t>
      </w:r>
      <w:r w:rsidR="002C2314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din 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ultimii doi ani. Dacă valoarea bazei de calcul astfel stabilite este mai mică decât valoarea bazei de calcul avută în vedere la stabilirea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iei bănești estimate pentru anul 2025,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ia bănească aferentă anului 2025 se determină prin luarea în considerare a bazei de calcul avută în vedere la stabilirea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iei bănești estimate pentru anul 2025.</w:t>
      </w:r>
    </w:p>
    <w:p w14:paraId="490EDA19" w14:textId="25E8BE76" w:rsidR="003870A0" w:rsidRPr="00F167C8" w:rsidRDefault="003870A0" w:rsidP="003870A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lastRenderedPageBreak/>
        <w:t>c) După transmiterea de către titularii de licen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e/decizii de confirmare, afla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 în situa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iile prevăzute la lit. a) </w:t>
      </w:r>
      <w:r w:rsidR="001D6771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și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b), a documentelor justificative prevăzute la cap.I pct.8 şi cap.II pct.7, </w:t>
      </w:r>
      <w:r w:rsidR="009F6BD8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Autoritatea Na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="009F6BD8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ională de Reglementare în Domeniul Energiei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efectuează regularizarea finală ca diferen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ă între valoarea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iei bănești </w:t>
      </w:r>
      <w:r w:rsidR="00930B6C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aferentă 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anul</w:t>
      </w:r>
      <w:r w:rsidR="00930B6C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ui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2025 şi valoarea contribu</w:t>
      </w:r>
      <w:r w:rsidR="003B34F7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iei bănești pentru anul 2025 determinată provizoriu.</w:t>
      </w:r>
      <w:r w:rsidR="00096928" w:rsidRPr="00F167C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”</w:t>
      </w:r>
    </w:p>
    <w:p w14:paraId="604B9270" w14:textId="66291FE6" w:rsidR="003870A0" w:rsidRPr="00F167C8" w:rsidRDefault="00930B6C" w:rsidP="003870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167C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d) Stabilirea din oficiu a contribu</w:t>
      </w:r>
      <w:r w:rsidR="003B34F7" w:rsidRPr="00F167C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iei bănești aferentă anului 2025 se realizează după 15 zile de la înștiin</w:t>
      </w:r>
      <w:r w:rsidR="003B34F7" w:rsidRPr="00F167C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ț</w:t>
      </w:r>
      <w:r w:rsidRPr="00F167C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area operatorului economic privind depășirea termenului legal de depunere a documentelor justificative prevăzute la cap.I, pct.8, respectiv la cap.II pct.7</w:t>
      </w:r>
      <w:r w:rsidR="009F1ECB" w:rsidRPr="00F167C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</w:p>
    <w:p w14:paraId="00B5200C" w14:textId="42A3D728" w:rsidR="00C83BED" w:rsidRPr="00F167C8" w:rsidRDefault="00C83BED" w:rsidP="003870A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Art. II.</w:t>
      </w:r>
      <w:r w:rsidRPr="00F167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Entită</w:t>
      </w:r>
      <w:r w:rsidR="003B34F7"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ile organizatorice din cadrul Autorită</w:t>
      </w:r>
      <w:r w:rsidR="003B34F7"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ii Na</w:t>
      </w:r>
      <w:r w:rsidR="003B34F7"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ionale de Reglementare în Domeniul Energiei, precum şi persoanele fizice şi juridice a căror activitate, potrivit legii, se află în competen</w:t>
      </w:r>
      <w:r w:rsidR="003B34F7"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a de reglementare a acesteia  duc la îndeplinire prevederile prezentului ordin.</w:t>
      </w:r>
    </w:p>
    <w:p w14:paraId="3F9B1246" w14:textId="77777777" w:rsidR="00C83BED" w:rsidRPr="00F167C8" w:rsidRDefault="00C83BED" w:rsidP="00C83BE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167C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Art.III. </w:t>
      </w:r>
      <w:r w:rsidRPr="00F167C8">
        <w:rPr>
          <w:rFonts w:ascii="Times New Roman" w:eastAsia="Calibri" w:hAnsi="Times New Roman" w:cs="Times New Roman"/>
          <w:sz w:val="24"/>
          <w:szCs w:val="24"/>
          <w:lang w:val="ro-RO"/>
        </w:rPr>
        <w:t>Prezentul ordin se publică în Monitorul Oficial al României, Partea I.</w:t>
      </w:r>
    </w:p>
    <w:p w14:paraId="3B18DDD3" w14:textId="77777777" w:rsidR="00E57DCD" w:rsidRPr="00F167C8" w:rsidRDefault="00E57DCD" w:rsidP="00C83B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02B727" w14:textId="77179A9C" w:rsidR="00E57DCD" w:rsidRPr="00F167C8" w:rsidRDefault="00E57DCD" w:rsidP="00E57DC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Președintele Autorită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ii Na</w:t>
      </w:r>
      <w:r w:rsidR="003B34F7" w:rsidRPr="00F167C8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ionale de Reglementare în Domeniul Energiei</w:t>
      </w:r>
    </w:p>
    <w:p w14:paraId="0F7B948B" w14:textId="3D0E54B3" w:rsidR="00F167C8" w:rsidRPr="00F167C8" w:rsidRDefault="00E57DCD" w:rsidP="00032F89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7C8">
        <w:rPr>
          <w:rFonts w:ascii="Times New Roman" w:hAnsi="Times New Roman" w:cs="Times New Roman"/>
          <w:b/>
          <w:sz w:val="24"/>
          <w:szCs w:val="24"/>
          <w:lang w:val="ro-RO"/>
        </w:rPr>
        <w:t>George – Sergiu Niculescu</w:t>
      </w:r>
    </w:p>
    <w:p w14:paraId="4389C08A" w14:textId="77777777" w:rsidR="00F167C8" w:rsidRPr="00F167C8" w:rsidRDefault="00F167C8" w:rsidP="00F167C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167C8" w:rsidRPr="00F1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01CDC"/>
    <w:multiLevelType w:val="hybridMultilevel"/>
    <w:tmpl w:val="7072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E58E7"/>
    <w:multiLevelType w:val="hybridMultilevel"/>
    <w:tmpl w:val="661478E6"/>
    <w:lvl w:ilvl="0" w:tplc="47C6EC7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642D5187"/>
    <w:multiLevelType w:val="hybridMultilevel"/>
    <w:tmpl w:val="79D8E97A"/>
    <w:lvl w:ilvl="0" w:tplc="2C309B6E">
      <w:start w:val="1"/>
      <w:numFmt w:val="decimal"/>
      <w:lvlText w:val="%1."/>
      <w:lvlJc w:val="left"/>
      <w:pPr>
        <w:ind w:left="58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893127018">
    <w:abstractNumId w:val="0"/>
  </w:num>
  <w:num w:numId="2" w16cid:durableId="437717131">
    <w:abstractNumId w:val="2"/>
  </w:num>
  <w:num w:numId="3" w16cid:durableId="74037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2F"/>
    <w:rsid w:val="00032F89"/>
    <w:rsid w:val="000459D9"/>
    <w:rsid w:val="00077C61"/>
    <w:rsid w:val="00096928"/>
    <w:rsid w:val="000D0D64"/>
    <w:rsid w:val="001426A1"/>
    <w:rsid w:val="00181705"/>
    <w:rsid w:val="001D6771"/>
    <w:rsid w:val="002057ED"/>
    <w:rsid w:val="0029428C"/>
    <w:rsid w:val="00294382"/>
    <w:rsid w:val="002955D7"/>
    <w:rsid w:val="002B4FA8"/>
    <w:rsid w:val="002C2314"/>
    <w:rsid w:val="00302582"/>
    <w:rsid w:val="003049FE"/>
    <w:rsid w:val="00306D0D"/>
    <w:rsid w:val="00357696"/>
    <w:rsid w:val="00383106"/>
    <w:rsid w:val="003870A0"/>
    <w:rsid w:val="003B34F7"/>
    <w:rsid w:val="003E14B9"/>
    <w:rsid w:val="00407CC8"/>
    <w:rsid w:val="0048488C"/>
    <w:rsid w:val="004A0960"/>
    <w:rsid w:val="004F59E1"/>
    <w:rsid w:val="00512702"/>
    <w:rsid w:val="0054377C"/>
    <w:rsid w:val="005438A5"/>
    <w:rsid w:val="00544EC5"/>
    <w:rsid w:val="005A41CE"/>
    <w:rsid w:val="005B6E2F"/>
    <w:rsid w:val="00611B21"/>
    <w:rsid w:val="00615FA7"/>
    <w:rsid w:val="00694510"/>
    <w:rsid w:val="006B2D90"/>
    <w:rsid w:val="006F2C9A"/>
    <w:rsid w:val="00717A66"/>
    <w:rsid w:val="0078631E"/>
    <w:rsid w:val="007B156E"/>
    <w:rsid w:val="007B2266"/>
    <w:rsid w:val="00815127"/>
    <w:rsid w:val="008166D5"/>
    <w:rsid w:val="00824A98"/>
    <w:rsid w:val="008329F6"/>
    <w:rsid w:val="0088518B"/>
    <w:rsid w:val="00897745"/>
    <w:rsid w:val="008C4351"/>
    <w:rsid w:val="00930B6C"/>
    <w:rsid w:val="0095107E"/>
    <w:rsid w:val="0099098E"/>
    <w:rsid w:val="009D4B34"/>
    <w:rsid w:val="009F1ECB"/>
    <w:rsid w:val="009F6BD8"/>
    <w:rsid w:val="009F6F59"/>
    <w:rsid w:val="009F7D75"/>
    <w:rsid w:val="00A16802"/>
    <w:rsid w:val="00A44FEE"/>
    <w:rsid w:val="00A867EF"/>
    <w:rsid w:val="00B222C3"/>
    <w:rsid w:val="00B24A46"/>
    <w:rsid w:val="00B627D8"/>
    <w:rsid w:val="00B64A74"/>
    <w:rsid w:val="00B655F6"/>
    <w:rsid w:val="00B9276B"/>
    <w:rsid w:val="00B9585F"/>
    <w:rsid w:val="00B97466"/>
    <w:rsid w:val="00BA53EC"/>
    <w:rsid w:val="00BA5D91"/>
    <w:rsid w:val="00BB09F4"/>
    <w:rsid w:val="00C3765F"/>
    <w:rsid w:val="00C520BE"/>
    <w:rsid w:val="00C63915"/>
    <w:rsid w:val="00C83BED"/>
    <w:rsid w:val="00C97E50"/>
    <w:rsid w:val="00CB2473"/>
    <w:rsid w:val="00CC4327"/>
    <w:rsid w:val="00CD1F94"/>
    <w:rsid w:val="00D00F70"/>
    <w:rsid w:val="00D20F18"/>
    <w:rsid w:val="00D30075"/>
    <w:rsid w:val="00D606F0"/>
    <w:rsid w:val="00D81A8F"/>
    <w:rsid w:val="00D84B3A"/>
    <w:rsid w:val="00DB6361"/>
    <w:rsid w:val="00DC7CDA"/>
    <w:rsid w:val="00E463D2"/>
    <w:rsid w:val="00E57DCD"/>
    <w:rsid w:val="00E9701F"/>
    <w:rsid w:val="00EB2DC7"/>
    <w:rsid w:val="00EB3895"/>
    <w:rsid w:val="00F167C8"/>
    <w:rsid w:val="00F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FF40"/>
  <w15:chartTrackingRefBased/>
  <w15:docId w15:val="{6C835F8D-46CA-40C3-B124-E64495C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2F"/>
    <w:pPr>
      <w:ind w:left="720"/>
      <w:contextualSpacing/>
    </w:pPr>
  </w:style>
  <w:style w:type="paragraph" w:customStyle="1" w:styleId="spar">
    <w:name w:val="s_par"/>
    <w:basedOn w:val="Normal"/>
    <w:rsid w:val="005B6E2F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2955D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2955D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2955D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C83BE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DA"/>
    <w:rPr>
      <w:rFonts w:ascii="Segoe UI" w:hAnsi="Segoe UI" w:cs="Segoe UI"/>
      <w:sz w:val="18"/>
      <w:szCs w:val="18"/>
    </w:rPr>
  </w:style>
  <w:style w:type="paragraph" w:customStyle="1" w:styleId="sporden">
    <w:name w:val="s_por_den"/>
    <w:basedOn w:val="Normal"/>
    <w:rsid w:val="00D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7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38A5"/>
    <w:pPr>
      <w:spacing w:after="0" w:line="240" w:lineRule="auto"/>
    </w:pPr>
  </w:style>
  <w:style w:type="paragraph" w:customStyle="1" w:styleId="spar1">
    <w:name w:val="s_par1"/>
    <w:basedOn w:val="Normal"/>
    <w:rsid w:val="00357696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ro-RO" w:eastAsia="ro-RO"/>
    </w:rPr>
  </w:style>
  <w:style w:type="character" w:customStyle="1" w:styleId="spar4">
    <w:name w:val="s_par4"/>
    <w:basedOn w:val="DefaultParagraphFont"/>
    <w:rsid w:val="0035769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table" w:styleId="TableGrid">
    <w:name w:val="Table Grid"/>
    <w:basedOn w:val="TableNormal"/>
    <w:uiPriority w:val="39"/>
    <w:rsid w:val="0099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2025-06-17T10:04:00Z</cp:lastPrinted>
  <dcterms:created xsi:type="dcterms:W3CDTF">2025-05-29T09:48:00Z</dcterms:created>
  <dcterms:modified xsi:type="dcterms:W3CDTF">2025-06-24T11:27:00Z</dcterms:modified>
</cp:coreProperties>
</file>