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5929" w14:textId="7CE7F14C" w:rsidR="0058204B" w:rsidRPr="004735D7" w:rsidRDefault="0058204B" w:rsidP="00FE6D3B">
      <w:pPr>
        <w:spacing w:before="120" w:after="120" w:line="36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nr. </w:t>
      </w:r>
      <w:r w:rsidR="004D603C" w:rsidRPr="004735D7">
        <w:rPr>
          <w:rFonts w:ascii="Times New Roman" w:hAnsi="Times New Roman" w:cs="Times New Roman"/>
          <w:b/>
          <w:sz w:val="24"/>
          <w:szCs w:val="24"/>
          <w:lang w:val="ro-RO"/>
        </w:rPr>
        <w:t>......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</w:t>
      </w:r>
      <w:r w:rsidR="004D603C" w:rsidRPr="004735D7">
        <w:rPr>
          <w:rFonts w:ascii="Times New Roman" w:hAnsi="Times New Roman" w:cs="Times New Roman"/>
          <w:b/>
          <w:sz w:val="24"/>
          <w:szCs w:val="24"/>
          <w:lang w:val="ro-RO"/>
        </w:rPr>
        <w:t>....................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4D603C" w:rsidRPr="004735D7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299B6053" w14:textId="1675EB44" w:rsidR="0058204B" w:rsidRPr="004735D7" w:rsidRDefault="0058204B" w:rsidP="00FE6D3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modificarea și completarea Metodologiei de stabilire a tarifelor reglementate pentru serviciile de distribuție în sectorul gazelor naturale aprobată prin Ordinul președintelui Autorității Naționale de Reglementare în Domeniul Energiei nr. </w:t>
      </w:r>
      <w:r w:rsidR="004D603C" w:rsidRPr="004735D7">
        <w:rPr>
          <w:rFonts w:ascii="Times New Roman" w:hAnsi="Times New Roman" w:cs="Times New Roman"/>
          <w:b/>
          <w:sz w:val="24"/>
          <w:szCs w:val="24"/>
          <w:lang w:val="ro-RO"/>
        </w:rPr>
        <w:t>89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/20</w:t>
      </w:r>
      <w:r w:rsidR="004D603C" w:rsidRPr="004735D7"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8CB0F3E" w14:textId="77777777" w:rsidR="0058204B" w:rsidRPr="004735D7" w:rsidRDefault="0058204B" w:rsidP="00FE6D3B">
      <w:pPr>
        <w:spacing w:before="120" w:after="120" w:line="360" w:lineRule="auto"/>
        <w:ind w:right="-23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14951E" w14:textId="77777777" w:rsidR="0058204B" w:rsidRPr="004735D7" w:rsidRDefault="0058204B" w:rsidP="0001199E">
      <w:pPr>
        <w:spacing w:before="120" w:after="120" w:line="360" w:lineRule="auto"/>
        <w:ind w:right="-2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Având în vedere prevederile art. 179 alin. (4) și alin (5) din Legea energiei electrice și a gazelor naturale nr. 123/2012, cu modificările și completările ulterioare, precum și dispozițiile art. 5 alin. (1) lit. b) din Ordonanța de urgență a Guvernului nr. 33/2007 privind organizarea și funcționarea Autorității Naționale de Reglementare în Domeniul Energiei, aprobată cu modificări și completări prin Legea nr. 160/2012, cu modificările și completările ulterioare, </w:t>
      </w:r>
    </w:p>
    <w:p w14:paraId="2BDBFEAD" w14:textId="77777777" w:rsidR="0001199E" w:rsidRPr="004735D7" w:rsidRDefault="0058204B" w:rsidP="0001199E">
      <w:pPr>
        <w:spacing w:before="120" w:after="120" w:line="360" w:lineRule="auto"/>
        <w:ind w:right="-2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în temeiul art. 10 alin. (1) lit. l) din Ordonanța de urgență a Guvernului nr. 33/2007 privind organizarea și funcționarea Autorității Naționale de Reglementare în Domeniul Energiei, aprobată cu modificări și completări prin Legea nr. 160/2012, cu modificările și completările ulterioare,</w:t>
      </w:r>
      <w:r w:rsidR="00A52E50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EAE4C4E" w14:textId="3F36A59E" w:rsidR="00A52E50" w:rsidRPr="004735D7" w:rsidRDefault="0058169C" w:rsidP="0058169C">
      <w:pPr>
        <w:spacing w:before="120" w:after="120" w:line="36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58204B" w:rsidRPr="004735D7">
        <w:rPr>
          <w:rFonts w:ascii="Times New Roman" w:hAnsi="Times New Roman" w:cs="Times New Roman"/>
          <w:b/>
          <w:sz w:val="24"/>
          <w:szCs w:val="24"/>
          <w:lang w:val="ro-RO"/>
        </w:rPr>
        <w:t>reședintele Autorității Naționale de Reglementare în Domeniul Energiei emite prezentul</w:t>
      </w:r>
    </w:p>
    <w:p w14:paraId="198482DD" w14:textId="77777777" w:rsidR="00926205" w:rsidRPr="004735D7" w:rsidRDefault="00926205" w:rsidP="00A52E50">
      <w:pPr>
        <w:spacing w:before="120" w:after="120" w:line="36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E1A52C" w14:textId="193B7858" w:rsidR="0058204B" w:rsidRPr="004735D7" w:rsidRDefault="00A52E50" w:rsidP="00A52E50">
      <w:pPr>
        <w:spacing w:before="120" w:after="120" w:line="36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ORDIN</w:t>
      </w:r>
    </w:p>
    <w:p w14:paraId="1C8A7269" w14:textId="1EB90700" w:rsidR="0058204B" w:rsidRPr="004735D7" w:rsidRDefault="0058204B" w:rsidP="00FE6D3B">
      <w:pPr>
        <w:spacing w:before="120" w:after="120" w:line="36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I. –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Metodologia de stabilire a tarifelor reglementate pentru serviciile de distribuție în sectorul gazelor naturale,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aprobată prin Ordinul președintelui Autorității Naționale de Reglementare în Domeniul Energiei nr. </w:t>
      </w:r>
      <w:r w:rsidR="004D603C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89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/20</w:t>
      </w:r>
      <w:r w:rsidR="004D603C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24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, publicat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î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n Monitorul Oficial al României, Partea I, nr. 1</w:t>
      </w:r>
      <w:r w:rsidR="004D603C" w:rsidRPr="004735D7">
        <w:rPr>
          <w:rFonts w:ascii="Times New Roman" w:hAnsi="Times New Roman" w:cs="Times New Roman"/>
          <w:sz w:val="24"/>
          <w:szCs w:val="24"/>
          <w:lang w:val="ro-RO"/>
        </w:rPr>
        <w:t>295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D603C" w:rsidRPr="004735D7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decembrie 20</w:t>
      </w:r>
      <w:r w:rsidR="004D603C" w:rsidRPr="004735D7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, cu modificările ulterioare, se modifică și se completează după cum urmează: </w:t>
      </w:r>
    </w:p>
    <w:p w14:paraId="08002BE6" w14:textId="77777777" w:rsidR="0058204B" w:rsidRPr="004735D7" w:rsidRDefault="0058204B" w:rsidP="00FE6D3B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C17C3DB" w14:textId="77777777" w:rsidR="00DA27E7" w:rsidRPr="004735D7" w:rsidRDefault="00DA27E7" w:rsidP="00DA27E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15, lit. k) se modifică și va avea următorul cuprins:</w:t>
      </w:r>
    </w:p>
    <w:p w14:paraId="35A78BF6" w14:textId="7D4BE328" w:rsidR="00DA27E7" w:rsidRPr="004735D7" w:rsidRDefault="00DA27E7" w:rsidP="008C24D0">
      <w:pPr>
        <w:spacing w:before="100" w:beforeAutospacing="1" w:after="100" w:afterAutospacing="1" w:line="36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“k) cheltuieli reprezentând salarii/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indemnizații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/sume compensatorii acordate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angajaților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funcții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execuție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angajaților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funcții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conducere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persoanelor care au calitate de membru în consiliile de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administrație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/supraveghere/ directorate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 consilii de conducere, cu ocazia încetării contractului individual de muncă, raportului de serviciu sau mandatului, cu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excepția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salariilor/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indemnizațiilor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/sumelor compensatorii acordate în baza unui program de restructurare a </w:t>
      </w:r>
      <w:r w:rsidR="00FC3A68"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societății</w:t>
      </w:r>
      <w:r w:rsidRPr="004735D7">
        <w:rPr>
          <w:rFonts w:ascii="Times New Roman" w:eastAsia="Times New Roman" w:hAnsi="Times New Roman" w:cs="Times New Roman"/>
          <w:sz w:val="24"/>
          <w:szCs w:val="24"/>
          <w:lang w:val="ro-RO"/>
        </w:rPr>
        <w:t>, aprobat conform prevederilor legale în vigoare.”</w:t>
      </w:r>
    </w:p>
    <w:p w14:paraId="655E40B3" w14:textId="77777777" w:rsidR="00923426" w:rsidRPr="004735D7" w:rsidRDefault="00923426" w:rsidP="008C24D0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D97E3F" w14:textId="65D988B4" w:rsidR="007F1DBB" w:rsidRPr="004735D7" w:rsidRDefault="007F1DBB" w:rsidP="007F1DBB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articolul 15, după litera z) se introduce o nouă literă, litera </w:t>
      </w:r>
      <w:proofErr w:type="spellStart"/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aa</w:t>
      </w:r>
      <w:proofErr w:type="spellEnd"/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) cu următorul cuprins:</w:t>
      </w:r>
    </w:p>
    <w:p w14:paraId="78BB96F3" w14:textId="2AB88C9A" w:rsidR="007F1DBB" w:rsidRPr="004735D7" w:rsidRDefault="007F1DBB" w:rsidP="00C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“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aa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) cheltuielile cu intervențiile și reparațiile efectuate ca urmare a unor avarii ale SD cauzate de terți, al căror autor este cunoscut.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492732E8" w14:textId="77777777" w:rsidR="007F1DBB" w:rsidRPr="004735D7" w:rsidRDefault="007F1DBB" w:rsidP="007F1DBB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EEC2A2" w14:textId="79EEFFD5" w:rsidR="005364DB" w:rsidRPr="004735D7" w:rsidRDefault="005364DB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După articolul 34 se introduce un nou articol, articolul 34^1, cu următorul cuprins:</w:t>
      </w:r>
    </w:p>
    <w:p w14:paraId="4BBBC0B4" w14:textId="682B82E8" w:rsidR="005364DB" w:rsidRPr="004735D7" w:rsidRDefault="005364DB" w:rsidP="00FE6D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bookmarkStart w:id="0" w:name="_Hlk211249636"/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“</w:t>
      </w:r>
      <w:bookmarkEnd w:id="0"/>
      <w:r w:rsidRPr="004735D7">
        <w:rPr>
          <w:rFonts w:ascii="Times New Roman" w:hAnsi="Times New Roman" w:cs="Times New Roman"/>
          <w:b/>
          <w:sz w:val="24"/>
          <w:szCs w:val="24"/>
          <w:lang w:val="ro-RO" w:eastAsia="en-GB"/>
        </w:rPr>
        <w:t>Art. 34^1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–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(1)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Transferul </w:t>
      </w:r>
      <w:r w:rsidR="007D4C52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pe parcursul perioadei de reglementare </w:t>
      </w:r>
      <w:r w:rsidR="007D4C52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a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unor costuri dintr-o categorie de costuri acceptate</w:t>
      </w:r>
      <w:r w:rsidR="007D4C52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în VR</w:t>
      </w:r>
      <w:r w:rsidR="00011425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,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în </w:t>
      </w:r>
      <w:r w:rsidR="00536583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altă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categorie de costuri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,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este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permis doar cu 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acordul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</w:t>
      </w:r>
      <w:r w:rsidR="00A261B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prealabil al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ANRE.</w:t>
      </w:r>
    </w:p>
    <w:p w14:paraId="11682895" w14:textId="1168084C" w:rsidR="00431051" w:rsidRDefault="005832F0" w:rsidP="00FE6D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(2) </w:t>
      </w:r>
      <w:r w:rsidR="00431051" w:rsidRPr="00431051">
        <w:rPr>
          <w:rFonts w:ascii="Times New Roman" w:hAnsi="Times New Roman" w:cs="Times New Roman"/>
          <w:sz w:val="24"/>
          <w:szCs w:val="24"/>
          <w:lang w:val="ro-RO" w:eastAsia="en-GB"/>
        </w:rPr>
        <w:t>Majorarea de costuri aferentă categoriei către care se realizează transferul, nu poate depăși reducerea</w:t>
      </w:r>
      <w:r w:rsidR="00431051">
        <w:rPr>
          <w:rFonts w:ascii="Times New Roman" w:hAnsi="Times New Roman" w:cs="Times New Roman"/>
          <w:sz w:val="24"/>
          <w:szCs w:val="24"/>
          <w:lang w:val="ro-RO" w:eastAsia="en-GB"/>
        </w:rPr>
        <w:t>,</w:t>
      </w:r>
      <w:r w:rsidR="00431051" w:rsidRPr="00431051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în valoare absolută</w:t>
      </w:r>
      <w:r w:rsidR="00431051">
        <w:rPr>
          <w:rFonts w:ascii="Times New Roman" w:hAnsi="Times New Roman" w:cs="Times New Roman"/>
          <w:sz w:val="24"/>
          <w:szCs w:val="24"/>
          <w:lang w:val="ro-RO" w:eastAsia="en-GB"/>
        </w:rPr>
        <w:t>,</w:t>
      </w:r>
      <w:r w:rsidR="00431051" w:rsidRPr="00431051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aplicată categoriei în care costurile au fost inițial </w:t>
      </w:r>
      <w:r w:rsidR="00431051">
        <w:rPr>
          <w:rFonts w:ascii="Times New Roman" w:hAnsi="Times New Roman" w:cs="Times New Roman"/>
          <w:sz w:val="24"/>
          <w:szCs w:val="24"/>
          <w:lang w:val="ro-RO" w:eastAsia="en-GB"/>
        </w:rPr>
        <w:t>acceptate.</w:t>
      </w:r>
      <w:r w:rsidR="00431051" w:rsidRPr="00431051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</w:t>
      </w:r>
    </w:p>
    <w:p w14:paraId="25C300BB" w14:textId="75389306" w:rsidR="005832F0" w:rsidRPr="004735D7" w:rsidRDefault="00A261BB" w:rsidP="00FE6D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(3)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Transferul se efectu</w:t>
      </w:r>
      <w:r w:rsidR="00D96E4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e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</w:t>
      </w:r>
      <w:r w:rsidR="00D96E4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ză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prin modificarea corespunzătoare a fiecărei categorii de costuri permise, începând cu data transferului, iar </w:t>
      </w:r>
      <w:r w:rsidR="00521564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reflectarea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în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VR și VRC se realiz</w:t>
      </w:r>
      <w:r w:rsidR="00D96E4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ează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odată cu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următoarea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ajustare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</w:t>
      </w:r>
      <w:r w:rsidR="005832F0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 acestora.</w:t>
      </w:r>
      <w:r w:rsidR="00FE6D3B"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23E8C177" w14:textId="77777777" w:rsidR="005364DB" w:rsidRPr="004735D7" w:rsidRDefault="005364DB" w:rsidP="00FE6D3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4BADB2" w14:textId="5DFF95D1" w:rsidR="00DA603F" w:rsidRPr="004735D7" w:rsidRDefault="00DA603F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35, alin. (1) se modifică și va avea următorul cuprins:</w:t>
      </w:r>
    </w:p>
    <w:p w14:paraId="36389F5A" w14:textId="55F5715F" w:rsidR="00C54198" w:rsidRPr="004735D7" w:rsidRDefault="003D7500" w:rsidP="008C24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„</w:t>
      </w:r>
      <w:r w:rsidR="00C54198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(1)</w:t>
      </w:r>
      <w:r w:rsidR="00C54198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C54198" w:rsidRPr="004735D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o-RO"/>
        </w:rPr>
        <w:t>Pentru</w:t>
      </w:r>
      <w:r w:rsidR="00C54198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fiecare an al perioadei de reglementare, venitul reglementat corectat se determină cu următoarea formulă:</w:t>
      </w:r>
    </w:p>
    <w:p w14:paraId="0899CA42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VRC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= VR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</w:p>
    <w:p w14:paraId="0EF0FACE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(Delta)RIV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4DD2667C" w14:textId="6008E844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– (Delta)VRC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1BB27EFD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(Delta)CPERS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29BE5E84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(Delta)CT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073CC70C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(Delta)CAPEX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41ACC9B6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(Delta)CPD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1CC3275B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(Delta)RCR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),</w:t>
      </w:r>
    </w:p>
    <w:p w14:paraId="05C9988B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CN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21EDAEBE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– AVD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(i-1)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*(1 + </w:t>
      </w:r>
      <w:proofErr w:type="spellStart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e</w:t>
      </w:r>
      <w:proofErr w:type="spellEnd"/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</w:p>
    <w:p w14:paraId="365562E0" w14:textId="075B98FD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– RSE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</w:p>
    <w:p w14:paraId="04BEF987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RCR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</w:p>
    <w:p w14:paraId="2D7774D4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+ SR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  <w:lang w:val="ro-RO"/>
        </w:rPr>
        <w:t>(i)</w:t>
      </w:r>
    </w:p>
    <w:p w14:paraId="5AC9B91D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7CF6E0C" w14:textId="77777777" w:rsidR="00DA603F" w:rsidRPr="004735D7" w:rsidRDefault="00DA603F" w:rsidP="00DA603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unde:</w:t>
      </w:r>
    </w:p>
    <w:p w14:paraId="3BBD740A" w14:textId="77777777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VRC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venitul reglementat corectat permis de ANRE în anul (i);</w:t>
      </w:r>
    </w:p>
    <w:p w14:paraId="6E196784" w14:textId="77777777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VR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venitul reglementat permis în anul (i);</w:t>
      </w:r>
    </w:p>
    <w:p w14:paraId="5FA52285" w14:textId="3F354B20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(Delta)RIV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valorii VRC, datorată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diferenței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 dintre rata inflației  estimate pentru anul (i–1)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rata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inflației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 realizate în anul (i–1);</w:t>
      </w:r>
    </w:p>
    <w:p w14:paraId="5D2A33FD" w14:textId="7EAC6A58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(Delta)VRC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diferențelor de VRC aferent anului (i–1);</w:t>
      </w:r>
    </w:p>
    <w:p w14:paraId="37194B6D" w14:textId="2DBC83B2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(Delta)CPERS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costurilor cu personalul din anul (i–1);</w:t>
      </w:r>
    </w:p>
    <w:p w14:paraId="606F5842" w14:textId="283C597F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(Delta)CT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valorii aferente consumului tehnologic din anul (i–1);</w:t>
      </w:r>
    </w:p>
    <w:p w14:paraId="2A99B6A4" w14:textId="39027782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(Delta)CAPEX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pentru costurile de capital investit aferente anului (i–1);</w:t>
      </w:r>
    </w:p>
    <w:p w14:paraId="6600832C" w14:textId="1E7EE1A3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(Delta)CPD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costurilor preluate direct aferente anului (i–1);</w:t>
      </w:r>
    </w:p>
    <w:p w14:paraId="3CB527C5" w14:textId="1D7AB880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(Delta)RCR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componentei de recuperare anuală a costurilor cu racordarea, determinată ca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diferență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 între valoarea realizată, aferentă anului (i–1),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valoarea estimată a fi rambursată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solicitanților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 în anul (i–1) fără T.V.A., inclusă în venitul reglementat în anul respectiv.</w:t>
      </w:r>
    </w:p>
    <w:p w14:paraId="0CC382EB" w14:textId="425C2E50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CN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costurilor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operaționale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neprevăzute cu caracter nepermanent din anul (i–1);</w:t>
      </w:r>
    </w:p>
    <w:p w14:paraId="43821663" w14:textId="133DA1F8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AVD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alte venituri asimilate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distribuție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, realizate în anul (i–1);</w:t>
      </w:r>
    </w:p>
    <w:p w14:paraId="70A1A376" w14:textId="1D3D257D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RSE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redistribuire a sporului de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eficientă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 economică realizat în perioada anterioară de reglementare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inclusă în venitul reglementat corectat al anului (i);</w:t>
      </w:r>
    </w:p>
    <w:p w14:paraId="0408DB5C" w14:textId="4BA17B22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RCR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recuperare anuală a costurilor cu racordarea, care se rambursează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solicitanților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 în anul (i), reprezentând o cincime din valoarea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instalațiilor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de extindere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branșare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finanțate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 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solicitanți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puse în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funcțiune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în anul/anii anterior/anteriori, valoare limitată conform prevederilor Regulamentului privind racordarea la sistemul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distribuție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 gazelor naturale;</w:t>
      </w:r>
    </w:p>
    <w:p w14:paraId="62D404B4" w14:textId="7B372E49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lastRenderedPageBreak/>
        <w:t>SR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corecție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aferentă sumelor de regularizat din perioadele anterioare de reglementare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735D7">
        <w:rPr>
          <w:rFonts w:ascii="Times New Roman" w:hAnsi="Times New Roman" w:cs="Times New Roman"/>
          <w:sz w:val="24"/>
          <w:szCs w:val="24"/>
          <w:lang w:val="ro-RO"/>
        </w:rPr>
        <w:t>/sau din anii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precedenți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 ai perioadei curente de reglementare, inclusă în venitul reglementat corectat al anului (i);</w:t>
      </w:r>
    </w:p>
    <w:p w14:paraId="7AC554A3" w14:textId="03DE0789" w:rsidR="00DA603F" w:rsidRPr="004735D7" w:rsidRDefault="00DA603F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RI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e</w:t>
      </w:r>
      <w:proofErr w:type="spellEnd"/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rata </w:t>
      </w:r>
      <w:r w:rsidR="00C80D80" w:rsidRPr="004735D7">
        <w:rPr>
          <w:rFonts w:ascii="Times New Roman" w:hAnsi="Times New Roman" w:cs="Times New Roman"/>
          <w:sz w:val="24"/>
          <w:szCs w:val="24"/>
          <w:lang w:val="ro-RO"/>
        </w:rPr>
        <w:t>inflației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 estimate pentru anul (i).</w:t>
      </w:r>
      <w:r w:rsidR="003D7500"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77D3C7AA" w14:textId="77777777" w:rsidR="008C24D0" w:rsidRPr="004735D7" w:rsidRDefault="008C24D0" w:rsidP="00DA603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2A9DF6" w14:textId="6E971B07" w:rsidR="002D1859" w:rsidRPr="004735D7" w:rsidRDefault="002D1859" w:rsidP="002D1859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35, alin. (3) se modifică și va avea următorul cuprins:</w:t>
      </w:r>
    </w:p>
    <w:p w14:paraId="3A457873" w14:textId="2FE36075" w:rsidR="002D1859" w:rsidRPr="004735D7" w:rsidRDefault="002D1859" w:rsidP="00AC7940">
      <w:pPr>
        <w:pStyle w:val="NormalWeb"/>
        <w:spacing w:before="0" w:beforeAutospacing="0" w:line="360" w:lineRule="auto"/>
        <w:jc w:val="both"/>
        <w:rPr>
          <w:shd w:val="clear" w:color="auto" w:fill="FFFFFF"/>
          <w:lang w:val="ro-RO"/>
        </w:rPr>
      </w:pPr>
      <w:r w:rsidRPr="004735D7">
        <w:rPr>
          <w:shd w:val="clear" w:color="auto" w:fill="FFFFFF"/>
          <w:lang w:val="ro-RO"/>
        </w:rPr>
        <w:t xml:space="preserve">“(3)  Pentru investițiile în proiectele de infrastructură necesare pentru tranziția energetică, realizate din fonduri proprii, care nu beneficiază de stimulent conform </w:t>
      </w:r>
      <w:hyperlink w:history="1">
        <w:r w:rsidRPr="004735D7">
          <w:rPr>
            <w:shd w:val="clear" w:color="auto" w:fill="FFFFFF"/>
            <w:lang w:val="ro-RO"/>
          </w:rPr>
          <w:t>alin. (2)</w:t>
        </w:r>
      </w:hyperlink>
      <w:r w:rsidRPr="004735D7">
        <w:rPr>
          <w:shd w:val="clear" w:color="auto" w:fill="FFFFFF"/>
          <w:lang w:val="ro-RO"/>
        </w:rPr>
        <w:t>, ANRE poate aco</w:t>
      </w:r>
      <w:r w:rsidR="00AC7940">
        <w:rPr>
          <w:shd w:val="clear" w:color="auto" w:fill="FFFFFF"/>
          <w:lang w:val="ro-RO"/>
        </w:rPr>
        <w:t>rd</w:t>
      </w:r>
      <w:r w:rsidRPr="004735D7">
        <w:rPr>
          <w:shd w:val="clear" w:color="auto" w:fill="FFFFFF"/>
          <w:lang w:val="ro-RO"/>
        </w:rPr>
        <w:t>a un stimulent peste rata reglementată a rentabilității”.</w:t>
      </w:r>
    </w:p>
    <w:p w14:paraId="2EDD20CE" w14:textId="00D659F3" w:rsidR="00251C9C" w:rsidRPr="004735D7" w:rsidRDefault="00251C9C" w:rsidP="00251C9C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35, după alin. (3) se introduc</w:t>
      </w:r>
      <w:r w:rsidR="00360AB4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două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no</w:t>
      </w:r>
      <w:r w:rsidR="00360AB4" w:rsidRPr="004735D7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alineat</w:t>
      </w:r>
      <w:r w:rsidR="00360AB4" w:rsidRPr="004735D7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, alin</w:t>
      </w:r>
      <w:r w:rsidR="00360AB4" w:rsidRPr="004735D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(4) </w:t>
      </w:r>
      <w:r w:rsidR="00360AB4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alin. (5), 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cu următorul cuprins:</w:t>
      </w:r>
    </w:p>
    <w:p w14:paraId="063C5CDB" w14:textId="4B3DD97E" w:rsidR="00522D35" w:rsidRPr="004735D7" w:rsidRDefault="00522D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“(4) În înțelesul alin. (3), sunt considerate proiecte de infrastructură necesare pentru tranziția energetică</w:t>
      </w:r>
      <w:r w:rsidR="00326DC0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acele proiecte care asigură introducerea și vehicularea pe termen lung</w:t>
      </w:r>
      <w:r w:rsidR="00F67D80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prin sistemul de distribuție</w:t>
      </w:r>
      <w:r w:rsidR="00F67D80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 gazelor din surse regenerabile și a gazelor cu emisii scăzute de carbon, inclusiv proiecte</w:t>
      </w:r>
      <w:r w:rsidR="00360AB4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le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asigură fluxul inversat de la rețeaua de distribuție la rețeaua de transport.”</w:t>
      </w:r>
    </w:p>
    <w:p w14:paraId="22416E30" w14:textId="036A3534" w:rsidR="00C54E9A" w:rsidRPr="004735D7" w:rsidRDefault="002D1859" w:rsidP="00650D87">
      <w:pPr>
        <w:pStyle w:val="NormalWeb"/>
        <w:spacing w:line="360" w:lineRule="auto"/>
        <w:jc w:val="both"/>
        <w:rPr>
          <w:color w:val="000000"/>
          <w:shd w:val="clear" w:color="auto" w:fill="FFFFFF"/>
          <w:lang w:val="ro-RO"/>
        </w:rPr>
      </w:pPr>
      <w:r w:rsidRPr="004735D7">
        <w:rPr>
          <w:lang w:val="ro-RO"/>
        </w:rPr>
        <w:t xml:space="preserve"> </w:t>
      </w:r>
      <w:r w:rsidR="00ED1611" w:rsidRPr="004735D7">
        <w:rPr>
          <w:lang w:val="ro-RO"/>
        </w:rPr>
        <w:t>(</w:t>
      </w:r>
      <w:r w:rsidR="00F67D80" w:rsidRPr="004735D7">
        <w:rPr>
          <w:lang w:val="ro-RO"/>
        </w:rPr>
        <w:t>5</w:t>
      </w:r>
      <w:r w:rsidR="00ED1611" w:rsidRPr="004735D7">
        <w:rPr>
          <w:lang w:val="ro-RO"/>
        </w:rPr>
        <w:t>) S</w:t>
      </w:r>
      <w:r w:rsidRPr="004735D7">
        <w:rPr>
          <w:lang w:val="ro-RO"/>
        </w:rPr>
        <w:t>timulentul</w:t>
      </w:r>
      <w:r w:rsidR="00ED1611" w:rsidRPr="004735D7">
        <w:rPr>
          <w:lang w:val="ro-RO"/>
        </w:rPr>
        <w:t xml:space="preserve"> prevăzut la alin. </w:t>
      </w:r>
      <w:r w:rsidR="00522D35" w:rsidRPr="004735D7">
        <w:rPr>
          <w:lang w:val="ro-RO"/>
        </w:rPr>
        <w:t>(</w:t>
      </w:r>
      <w:r w:rsidRPr="004735D7">
        <w:rPr>
          <w:lang w:val="ro-RO"/>
        </w:rPr>
        <w:t>3</w:t>
      </w:r>
      <w:r w:rsidR="00522D35" w:rsidRPr="004735D7">
        <w:rPr>
          <w:lang w:val="ro-RO"/>
        </w:rPr>
        <w:t>)</w:t>
      </w:r>
      <w:r w:rsidR="00ED1611" w:rsidRPr="004735D7">
        <w:rPr>
          <w:lang w:val="ro-RO"/>
        </w:rPr>
        <w:t xml:space="preserve"> se acordă începând cu anul </w:t>
      </w:r>
      <w:r w:rsidR="000A5C93" w:rsidRPr="004735D7">
        <w:rPr>
          <w:lang w:val="ro-RO"/>
        </w:rPr>
        <w:t xml:space="preserve">în care </w:t>
      </w:r>
      <w:r w:rsidR="000A5C93" w:rsidRPr="004735D7">
        <w:rPr>
          <w:color w:val="000000"/>
          <w:shd w:val="clear" w:color="auto" w:fill="FFFFFF"/>
          <w:lang w:val="ro-RO"/>
        </w:rPr>
        <w:t>gazele din surse regenerabile și/sau gazele cu emisii scăzute de carbon sunt introduse în sistemul de distribuție</w:t>
      </w:r>
      <w:r w:rsidR="00DA2E13" w:rsidRPr="004735D7">
        <w:rPr>
          <w:color w:val="000000"/>
          <w:shd w:val="clear" w:color="auto" w:fill="FFFFFF"/>
          <w:lang w:val="ro-RO"/>
        </w:rPr>
        <w:t>,</w:t>
      </w:r>
      <w:r w:rsidR="00650D87" w:rsidRPr="004735D7">
        <w:rPr>
          <w:color w:val="000000"/>
          <w:shd w:val="clear" w:color="auto" w:fill="FFFFFF"/>
          <w:lang w:val="ro-RO"/>
        </w:rPr>
        <w:t xml:space="preserve"> cu condiția prezentării </w:t>
      </w:r>
      <w:r w:rsidR="00C54E9A" w:rsidRPr="004735D7">
        <w:rPr>
          <w:color w:val="000000"/>
          <w:shd w:val="clear" w:color="auto" w:fill="FFFFFF"/>
          <w:lang w:val="ro-RO"/>
        </w:rPr>
        <w:t>analize</w:t>
      </w:r>
      <w:r w:rsidRPr="004735D7">
        <w:rPr>
          <w:color w:val="000000"/>
          <w:shd w:val="clear" w:color="auto" w:fill="FFFFFF"/>
          <w:lang w:val="ro-RO"/>
        </w:rPr>
        <w:t>lor</w:t>
      </w:r>
      <w:r w:rsidR="00C54E9A" w:rsidRPr="004735D7">
        <w:rPr>
          <w:color w:val="000000"/>
          <w:shd w:val="clear" w:color="auto" w:fill="FFFFFF"/>
          <w:lang w:val="ro-RO"/>
        </w:rPr>
        <w:t xml:space="preserve"> </w:t>
      </w:r>
      <w:r w:rsidRPr="004735D7">
        <w:rPr>
          <w:color w:val="000000"/>
          <w:shd w:val="clear" w:color="auto" w:fill="FFFFFF"/>
          <w:lang w:val="ro-RO"/>
        </w:rPr>
        <w:t>referitoare la</w:t>
      </w:r>
      <w:r w:rsidR="00C54E9A" w:rsidRPr="004735D7">
        <w:rPr>
          <w:color w:val="000000"/>
          <w:shd w:val="clear" w:color="auto" w:fill="FFFFFF"/>
          <w:lang w:val="ro-RO"/>
        </w:rPr>
        <w:t xml:space="preserve"> următoarele aspecte:</w:t>
      </w:r>
    </w:p>
    <w:p w14:paraId="634B5A9A" w14:textId="1D6F3A36" w:rsidR="00C54E9A" w:rsidRPr="004735D7" w:rsidRDefault="00650D87" w:rsidP="008C24D0">
      <w:pPr>
        <w:pStyle w:val="NormalWeb"/>
        <w:numPr>
          <w:ilvl w:val="0"/>
          <w:numId w:val="15"/>
        </w:numPr>
        <w:spacing w:line="360" w:lineRule="auto"/>
        <w:jc w:val="both"/>
        <w:rPr>
          <w:lang w:val="ro-RO"/>
        </w:rPr>
      </w:pPr>
      <w:r w:rsidRPr="004735D7">
        <w:rPr>
          <w:lang w:val="ro-RO"/>
        </w:rPr>
        <w:t xml:space="preserve">alimentarea sistemului de </w:t>
      </w:r>
      <w:r w:rsidR="00326DC0" w:rsidRPr="004735D7">
        <w:rPr>
          <w:lang w:val="ro-RO"/>
        </w:rPr>
        <w:t>distribuție</w:t>
      </w:r>
      <w:r w:rsidRPr="004735D7">
        <w:rPr>
          <w:lang w:val="ro-RO"/>
        </w:rPr>
        <w:t xml:space="preserve"> </w:t>
      </w:r>
      <w:r w:rsidR="00C54E9A" w:rsidRPr="004735D7">
        <w:rPr>
          <w:lang w:val="ro-RO"/>
        </w:rPr>
        <w:t xml:space="preserve">sau a unei porțiuni delimitate a acestuia cu </w:t>
      </w:r>
      <w:r w:rsidR="00C54E9A" w:rsidRPr="004735D7">
        <w:rPr>
          <w:color w:val="000000"/>
          <w:shd w:val="clear" w:color="auto" w:fill="FFFFFF"/>
          <w:lang w:val="ro-RO"/>
        </w:rPr>
        <w:t>gaze din surse regenerabile și/sau cu gaze cu emisii scăzute de carbon</w:t>
      </w:r>
      <w:r w:rsidR="007A750E" w:rsidRPr="004735D7">
        <w:rPr>
          <w:color w:val="000000"/>
          <w:shd w:val="clear" w:color="auto" w:fill="FFFFFF"/>
          <w:lang w:val="ro-RO"/>
        </w:rPr>
        <w:t xml:space="preserve"> dintr-o sursă continu</w:t>
      </w:r>
      <w:r w:rsidR="00DA2E13" w:rsidRPr="004735D7">
        <w:rPr>
          <w:color w:val="000000"/>
          <w:shd w:val="clear" w:color="auto" w:fill="FFFFFF"/>
          <w:lang w:val="ro-RO"/>
        </w:rPr>
        <w:t>ă</w:t>
      </w:r>
      <w:r w:rsidR="007A750E" w:rsidRPr="004735D7">
        <w:rPr>
          <w:color w:val="000000"/>
          <w:shd w:val="clear" w:color="auto" w:fill="FFFFFF"/>
          <w:lang w:val="ro-RO"/>
        </w:rPr>
        <w:t xml:space="preserve"> de producție;</w:t>
      </w:r>
    </w:p>
    <w:p w14:paraId="0EEA7AE6" w14:textId="0C56204F" w:rsidR="00C54E9A" w:rsidRPr="004735D7" w:rsidRDefault="00650D87" w:rsidP="008C24D0">
      <w:pPr>
        <w:pStyle w:val="NormalWeb"/>
        <w:numPr>
          <w:ilvl w:val="0"/>
          <w:numId w:val="15"/>
        </w:numPr>
        <w:spacing w:line="360" w:lineRule="auto"/>
        <w:jc w:val="both"/>
        <w:rPr>
          <w:lang w:val="ro-RO"/>
        </w:rPr>
      </w:pPr>
      <w:r w:rsidRPr="004735D7">
        <w:rPr>
          <w:lang w:val="ro-RO"/>
        </w:rPr>
        <w:t xml:space="preserve">capacitatea </w:t>
      </w:r>
      <w:r w:rsidR="00C54E9A" w:rsidRPr="004735D7">
        <w:rPr>
          <w:lang w:val="ro-RO"/>
        </w:rPr>
        <w:t>existen</w:t>
      </w:r>
      <w:r w:rsidR="00DA2E13" w:rsidRPr="004735D7">
        <w:rPr>
          <w:lang w:val="ro-RO"/>
        </w:rPr>
        <w:t>t</w:t>
      </w:r>
      <w:r w:rsidR="00C54E9A" w:rsidRPr="004735D7">
        <w:rPr>
          <w:lang w:val="ro-RO"/>
        </w:rPr>
        <w:t xml:space="preserve">ă a sistemului </w:t>
      </w:r>
      <w:r w:rsidRPr="004735D7">
        <w:rPr>
          <w:lang w:val="ro-RO"/>
        </w:rPr>
        <w:t xml:space="preserve">și </w:t>
      </w:r>
      <w:r w:rsidR="00C54E9A" w:rsidRPr="004735D7">
        <w:rPr>
          <w:lang w:val="ro-RO"/>
        </w:rPr>
        <w:t xml:space="preserve">capacitatea suplimentară necesară introducerii </w:t>
      </w:r>
      <w:r w:rsidR="00C54E9A" w:rsidRPr="004735D7">
        <w:rPr>
          <w:color w:val="000000"/>
          <w:shd w:val="clear" w:color="auto" w:fill="FFFFFF"/>
          <w:lang w:val="ro-RO"/>
        </w:rPr>
        <w:t>gazel</w:t>
      </w:r>
      <w:r w:rsidR="00DA2E13" w:rsidRPr="004735D7">
        <w:rPr>
          <w:color w:val="000000"/>
          <w:shd w:val="clear" w:color="auto" w:fill="FFFFFF"/>
          <w:lang w:val="ro-RO"/>
        </w:rPr>
        <w:t>or</w:t>
      </w:r>
      <w:r w:rsidR="00C54E9A" w:rsidRPr="004735D7">
        <w:rPr>
          <w:color w:val="000000"/>
          <w:shd w:val="clear" w:color="auto" w:fill="FFFFFF"/>
          <w:lang w:val="ro-RO"/>
        </w:rPr>
        <w:t xml:space="preserve"> din surse regenerabile și/sau gazele cu emisii scăzute de carbon</w:t>
      </w:r>
      <w:r w:rsidR="007A750E" w:rsidRPr="004735D7">
        <w:rPr>
          <w:color w:val="000000"/>
          <w:shd w:val="clear" w:color="auto" w:fill="FFFFFF"/>
          <w:lang w:val="ro-RO"/>
        </w:rPr>
        <w:t>;</w:t>
      </w:r>
    </w:p>
    <w:p w14:paraId="6D7DD2F9" w14:textId="129FCE1B" w:rsidR="00650D87" w:rsidRPr="004735D7" w:rsidRDefault="00DA2E13" w:rsidP="008C24D0">
      <w:pPr>
        <w:pStyle w:val="NormalWeb"/>
        <w:numPr>
          <w:ilvl w:val="0"/>
          <w:numId w:val="15"/>
        </w:numPr>
        <w:spacing w:line="360" w:lineRule="auto"/>
        <w:jc w:val="both"/>
        <w:rPr>
          <w:lang w:val="ro-RO"/>
        </w:rPr>
      </w:pPr>
      <w:r w:rsidRPr="004735D7">
        <w:rPr>
          <w:lang w:val="ro-RO"/>
        </w:rPr>
        <w:t>starea</w:t>
      </w:r>
      <w:r w:rsidR="00650D87" w:rsidRPr="004735D7">
        <w:rPr>
          <w:lang w:val="ro-RO"/>
        </w:rPr>
        <w:t xml:space="preserve"> tehnic</w:t>
      </w:r>
      <w:r w:rsidR="007A750E" w:rsidRPr="004735D7">
        <w:rPr>
          <w:lang w:val="ro-RO"/>
        </w:rPr>
        <w:t>ă</w:t>
      </w:r>
      <w:r w:rsidR="00650D87" w:rsidRPr="004735D7">
        <w:rPr>
          <w:lang w:val="ro-RO"/>
        </w:rPr>
        <w:t xml:space="preserve"> a </w:t>
      </w:r>
      <w:r w:rsidR="007A750E" w:rsidRPr="004735D7">
        <w:rPr>
          <w:lang w:val="ro-RO"/>
        </w:rPr>
        <w:t xml:space="preserve">sistemului de distribuție existent și identificarea lucrărilor necesare pentru </w:t>
      </w:r>
      <w:r w:rsidR="00650D87" w:rsidRPr="004735D7">
        <w:rPr>
          <w:lang w:val="ro-RO"/>
        </w:rPr>
        <w:t xml:space="preserve"> </w:t>
      </w:r>
      <w:r w:rsidR="007A750E" w:rsidRPr="004735D7">
        <w:rPr>
          <w:lang w:val="ro-RO"/>
        </w:rPr>
        <w:t xml:space="preserve">aducerea unui sistem sau a unei componente a acestuia la caracteristicile tehnice necesare vehiculării în condiții de siguranță a </w:t>
      </w:r>
      <w:r w:rsidR="007A750E" w:rsidRPr="004735D7">
        <w:rPr>
          <w:color w:val="000000"/>
          <w:shd w:val="clear" w:color="auto" w:fill="FFFFFF"/>
          <w:lang w:val="ro-RO"/>
        </w:rPr>
        <w:t>gazel</w:t>
      </w:r>
      <w:r w:rsidRPr="004735D7">
        <w:rPr>
          <w:color w:val="000000"/>
          <w:shd w:val="clear" w:color="auto" w:fill="FFFFFF"/>
          <w:lang w:val="ro-RO"/>
        </w:rPr>
        <w:t>or</w:t>
      </w:r>
      <w:r w:rsidR="007A750E" w:rsidRPr="004735D7">
        <w:rPr>
          <w:color w:val="000000"/>
          <w:shd w:val="clear" w:color="auto" w:fill="FFFFFF"/>
          <w:lang w:val="ro-RO"/>
        </w:rPr>
        <w:t xml:space="preserve"> din surse regenerabile și/sau gazel</w:t>
      </w:r>
      <w:r w:rsidRPr="004735D7">
        <w:rPr>
          <w:color w:val="000000"/>
          <w:shd w:val="clear" w:color="auto" w:fill="FFFFFF"/>
          <w:lang w:val="ro-RO"/>
        </w:rPr>
        <w:t>or</w:t>
      </w:r>
      <w:r w:rsidR="007A750E" w:rsidRPr="004735D7">
        <w:rPr>
          <w:color w:val="000000"/>
          <w:shd w:val="clear" w:color="auto" w:fill="FFFFFF"/>
          <w:lang w:val="ro-RO"/>
        </w:rPr>
        <w:t xml:space="preserve"> cu emisii scăzute de carbon</w:t>
      </w:r>
      <w:r w:rsidR="00650D87" w:rsidRPr="004735D7">
        <w:rPr>
          <w:lang w:val="ro-RO"/>
        </w:rPr>
        <w:t>.</w:t>
      </w:r>
    </w:p>
    <w:p w14:paraId="17B29357" w14:textId="77777777" w:rsidR="008C24D0" w:rsidRPr="004735D7" w:rsidRDefault="008C24D0" w:rsidP="008C24D0">
      <w:pPr>
        <w:pStyle w:val="NormalWeb"/>
        <w:spacing w:line="360" w:lineRule="auto"/>
        <w:ind w:left="720"/>
        <w:jc w:val="both"/>
        <w:rPr>
          <w:lang w:val="ro-RO"/>
        </w:rPr>
      </w:pPr>
    </w:p>
    <w:p w14:paraId="1997D457" w14:textId="12447D30" w:rsidR="00FE6D3B" w:rsidRPr="004735D7" w:rsidRDefault="00285D87" w:rsidP="008C24D0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După articolul 35 se introduce un nou articol, articolul 35^1, cu următorul cuprins:</w:t>
      </w:r>
    </w:p>
    <w:p w14:paraId="5455772F" w14:textId="51261460" w:rsidR="00605C6F" w:rsidRPr="004735D7" w:rsidRDefault="00024E45" w:rsidP="00605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“</w:t>
      </w:r>
      <w:r w:rsidR="00285D87" w:rsidRPr="004735D7">
        <w:rPr>
          <w:rFonts w:ascii="Times New Roman" w:hAnsi="Times New Roman" w:cs="Times New Roman"/>
          <w:b/>
          <w:sz w:val="24"/>
          <w:szCs w:val="24"/>
          <w:lang w:val="ro-RO" w:eastAsia="en-GB"/>
        </w:rPr>
        <w:t xml:space="preserve"> Art. 35^1</w:t>
      </w:r>
      <w:r w:rsidR="00285D87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– 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(</w:t>
      </w:r>
      <w:r w:rsidR="00285D87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1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) 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Prin derogare de la prevederile </w:t>
      </w:r>
      <w:r w:rsidR="00285D87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art. 35 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alin. (</w:t>
      </w:r>
      <w:r w:rsidR="009E2ACE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1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), în cazul operatorilor nou înființați, pentru prim</w:t>
      </w:r>
      <w:r w:rsidR="00A238F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ii </w:t>
      </w:r>
      <w:r w:rsidR="00285D87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trei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an</w:t>
      </w:r>
      <w:r w:rsidR="00A238F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i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de </w:t>
      </w:r>
      <w:r w:rsidR="00A238F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reglementare</w:t>
      </w:r>
      <w:r w:rsidR="00FE6D3B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, </w:t>
      </w:r>
      <w:r w:rsidR="006D25DA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determinarea</w:t>
      </w:r>
      <w:r w:rsidR="008C0D7C"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VRC </w:t>
      </w:r>
      <w:r w:rsidR="00605C6F" w:rsidRPr="004735D7">
        <w:rPr>
          <w:rFonts w:ascii="Times New Roman" w:hAnsi="Times New Roman" w:cs="Times New Roman"/>
          <w:sz w:val="24"/>
          <w:szCs w:val="24"/>
          <w:lang w:val="ro-RO" w:eastAsia="en-GB"/>
        </w:rPr>
        <w:t>se determină cu următoarea formulă:</w:t>
      </w:r>
    </w:p>
    <w:p w14:paraId="1B81E4CD" w14:textId="067C48B3" w:rsidR="00605C6F" w:rsidRPr="004735D7" w:rsidRDefault="00605C6F" w:rsidP="008C24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VRC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 w:eastAsia="en-GB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= VR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 w:eastAsia="en-GB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+ RCR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 w:eastAsia="en-GB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+ SR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 w:eastAsia="en-GB"/>
        </w:rPr>
        <w:t>(i)</w:t>
      </w:r>
    </w:p>
    <w:p w14:paraId="7BC64D64" w14:textId="77777777" w:rsidR="00605C6F" w:rsidRPr="004735D7" w:rsidRDefault="00605C6F" w:rsidP="00605C6F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unde:</w:t>
      </w:r>
    </w:p>
    <w:p w14:paraId="0193F4A3" w14:textId="77777777" w:rsidR="00605C6F" w:rsidRPr="004735D7" w:rsidRDefault="00605C6F" w:rsidP="00605C6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VRC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venitul reglementat corectat permis de ANRE în anul (i);</w:t>
      </w:r>
    </w:p>
    <w:p w14:paraId="241CB5B5" w14:textId="77777777" w:rsidR="00605C6F" w:rsidRPr="004735D7" w:rsidRDefault="00605C6F" w:rsidP="00605C6F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VR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venitul reglementat permis în anul (i);</w:t>
      </w:r>
    </w:p>
    <w:p w14:paraId="38C6CD8A" w14:textId="42416400" w:rsidR="00285D87" w:rsidRPr="004735D7" w:rsidRDefault="00285D87" w:rsidP="00285D8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RCR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recuperare anuală a costurilor cu racordarea, care se rambursează solicitanților în anul (i), reprezentând o cincime din valoarea instalațiilor de extindere și branșare finanțate de solicitanți și puse în funcțiune în anul/anii anterior/anteriori, valoare limitată conform prevederilor Regulamentului privind racordarea la sistemul de distribuție a gazelor naturale;</w:t>
      </w:r>
    </w:p>
    <w:p w14:paraId="3DC806AB" w14:textId="38906B98" w:rsidR="00285D87" w:rsidRPr="004735D7" w:rsidRDefault="00285D87" w:rsidP="00285D8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SR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componenta de corecție aferentă sumelor de regularizat din perioadele anterioare de reglementare și/sau din anii precedenți ai perioadei curente de reglementare, inclusă în venitul reglementat corectat al anului (i);</w:t>
      </w:r>
    </w:p>
    <w:p w14:paraId="4607970F" w14:textId="3DA9D39F" w:rsidR="00285D87" w:rsidRPr="004735D7" w:rsidRDefault="00285D87" w:rsidP="00285D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>(2) Valoarea componentei de corecție SR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 w:eastAsia="en-GB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 w:eastAsia="en-GB"/>
        </w:rPr>
        <w:t xml:space="preserve"> prevăzută la alin. (1) include diferența dintre cheltuielile realizate de operator, acceptate de ANRE, și veniturile realizate, aferente activității de distribuție, din anii anteriori de reglementare.”</w:t>
      </w:r>
    </w:p>
    <w:p w14:paraId="36168923" w14:textId="77777777" w:rsidR="00FE6D3B" w:rsidRPr="004735D7" w:rsidRDefault="00FE6D3B" w:rsidP="00FE6D3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21B17E" w14:textId="36E079D9" w:rsidR="00E246F7" w:rsidRPr="004735D7" w:rsidRDefault="0058204B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</w:t>
      </w:r>
      <w:r w:rsidR="00A934A8" w:rsidRPr="004735D7">
        <w:rPr>
          <w:rFonts w:ascii="Times New Roman" w:hAnsi="Times New Roman" w:cs="Times New Roman"/>
          <w:b/>
          <w:sz w:val="24"/>
          <w:szCs w:val="24"/>
          <w:lang w:val="ro-RO"/>
        </w:rPr>
        <w:t>rt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icolul</w:t>
      </w:r>
      <w:r w:rsidR="00A934A8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43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934A8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alin</w:t>
      </w:r>
      <w:r w:rsidR="00DA603F" w:rsidRPr="004735D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A934A8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(3) se modifică și va avea următorul cuprins:</w:t>
      </w:r>
    </w:p>
    <w:p w14:paraId="5A57554E" w14:textId="0A302A0C" w:rsidR="00A934A8" w:rsidRPr="004735D7" w:rsidRDefault="004D603C" w:rsidP="00FE6D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“(3) </w:t>
      </w:r>
      <w:r w:rsidR="00A934A8" w:rsidRPr="004735D7">
        <w:rPr>
          <w:rFonts w:ascii="Times New Roman" w:hAnsi="Times New Roman" w:cs="Times New Roman"/>
          <w:sz w:val="24"/>
          <w:szCs w:val="24"/>
          <w:lang w:val="ro-RO"/>
        </w:rPr>
        <w:t>CAPEX realizate, aferente fiecărui an al perioadei de reglementare, se determină cu următoarea formulă generală:</w:t>
      </w:r>
    </w:p>
    <w:p w14:paraId="63707AC3" w14:textId="1009270B" w:rsidR="00A934A8" w:rsidRPr="004735D7" w:rsidRDefault="00A934A8" w:rsidP="00FE6D3B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CAPEX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r(i)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=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RRR * (BAR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1ian(i)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r</w:t>
      </w:r>
      <w:proofErr w:type="spellEnd"/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+ INVIA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INVEA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) + </w:t>
      </w: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r</w:t>
      </w:r>
      <w:proofErr w:type="spellEnd"/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(i) </w:t>
      </w:r>
    </w:p>
    <w:p w14:paraId="6D226B1F" w14:textId="77777777" w:rsidR="00A934A8" w:rsidRPr="00333BEB" w:rsidRDefault="00A934A8" w:rsidP="00333BEB">
      <w:pPr>
        <w:shd w:val="clear" w:color="auto" w:fill="FFFFFF"/>
        <w:spacing w:after="0" w:line="360" w:lineRule="auto"/>
        <w:ind w:left="66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333B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unde: </w:t>
      </w:r>
    </w:p>
    <w:p w14:paraId="5C746DC2" w14:textId="77777777" w:rsidR="00A934A8" w:rsidRPr="004735D7" w:rsidRDefault="00A934A8" w:rsidP="00333BEB">
      <w:pPr>
        <w:shd w:val="clear" w:color="auto" w:fill="FFFFFF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33B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CAPEX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r(i)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costurile de capital care se recuperează prin venitul reglementat permis în anul (i) al perioadei de reglementare;</w:t>
      </w:r>
    </w:p>
    <w:p w14:paraId="79A3A216" w14:textId="77777777" w:rsidR="00A934A8" w:rsidRPr="004735D7" w:rsidRDefault="00A934A8" w:rsidP="00333BEB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RRR – rata reglementată a rentabilității capitalului investit, aprobată de ANRE pentru activitatea de distribuție;</w:t>
      </w:r>
    </w:p>
    <w:p w14:paraId="158E1470" w14:textId="77777777" w:rsidR="00A934A8" w:rsidRPr="004735D7" w:rsidRDefault="00A934A8" w:rsidP="00333BEB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lastRenderedPageBreak/>
        <w:t>BAR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1ian(i)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valoarea bazei activelor reglementate aferentă imobilizărilor corporale și necorporale existente la începutul anului (i) al perioadei de reglementare;</w:t>
      </w:r>
    </w:p>
    <w:p w14:paraId="16C72BCA" w14:textId="77777777" w:rsidR="00A934A8" w:rsidRPr="004735D7" w:rsidRDefault="00A934A8" w:rsidP="00333BEB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r</w:t>
      </w:r>
      <w:proofErr w:type="spellEnd"/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amortizarea reglementată realizată aferentă anului (i) al perioadei de reglementare;</w:t>
      </w:r>
    </w:p>
    <w:p w14:paraId="71E79E4D" w14:textId="13374521" w:rsidR="00A934A8" w:rsidRPr="004735D7" w:rsidRDefault="00A934A8" w:rsidP="00333BEB">
      <w:pPr>
        <w:autoSpaceDE w:val="0"/>
        <w:autoSpaceDN w:val="0"/>
        <w:adjustRightInd w:val="0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INVIA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valoarea imobilizărilor corporale și necorporale puse în funcțiune sau recepționate/date în folosință, după caz, și incluse în BAR în cursul anului (i), recunoscute de ANRE, pentru care se înregistrează amortizare, luând în calcul luna punerii în </w:t>
      </w:r>
      <w:r w:rsidR="00421397" w:rsidRPr="004735D7">
        <w:rPr>
          <w:rFonts w:ascii="Times New Roman" w:hAnsi="Times New Roman" w:cs="Times New Roman"/>
          <w:sz w:val="24"/>
          <w:szCs w:val="24"/>
          <w:lang w:val="ro-RO"/>
        </w:rPr>
        <w:t>funcțiune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DB0D978" w14:textId="0B132099" w:rsidR="00A934A8" w:rsidRPr="004735D7" w:rsidRDefault="00A934A8" w:rsidP="00333BEB">
      <w:pPr>
        <w:shd w:val="clear" w:color="auto" w:fill="FFFFFF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INVEA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valoarea reglementată rămasă neamortizată a imobilizărilor corporale și necorporale ce au fost scoase din BAR în cursul anului (i), luând în calcul luna </w:t>
      </w:r>
      <w:r w:rsidR="00421397" w:rsidRPr="004735D7">
        <w:rPr>
          <w:rFonts w:ascii="Times New Roman" w:hAnsi="Times New Roman" w:cs="Times New Roman"/>
          <w:sz w:val="24"/>
          <w:szCs w:val="24"/>
          <w:lang w:val="ro-RO"/>
        </w:rPr>
        <w:t>ieșirii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421397" w:rsidRPr="004735D7">
        <w:rPr>
          <w:rFonts w:ascii="Times New Roman" w:hAnsi="Times New Roman" w:cs="Times New Roman"/>
          <w:sz w:val="24"/>
          <w:szCs w:val="24"/>
          <w:lang w:val="ro-RO"/>
        </w:rPr>
        <w:t>funcțiune.</w:t>
      </w:r>
      <w:r w:rsidR="004D603C"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77D6349E" w14:textId="77777777" w:rsidR="00290F60" w:rsidRPr="004735D7" w:rsidRDefault="00290F60" w:rsidP="00FE6D3B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4073DE" w14:textId="65C516C4" w:rsidR="00A934A8" w:rsidRPr="004735D7" w:rsidRDefault="00A934A8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r w:rsidR="0058204B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icolul 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47 se modifică și va avea următorul cuprins</w:t>
      </w:r>
      <w:r w:rsidR="0058204B" w:rsidRPr="004735D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6B4A2E7" w14:textId="6A7D581B" w:rsidR="00A934A8" w:rsidRPr="004735D7" w:rsidRDefault="00421397" w:rsidP="00FC7E88">
      <w:pPr>
        <w:pStyle w:val="ListParagraph"/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58204B" w:rsidRPr="004735D7">
        <w:rPr>
          <w:rFonts w:ascii="Times New Roman" w:hAnsi="Times New Roman" w:cs="Times New Roman"/>
          <w:b/>
          <w:sz w:val="24"/>
          <w:szCs w:val="24"/>
          <w:lang w:val="ro-RO"/>
        </w:rPr>
        <w:t>Art. 47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(1) 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osturil</w:t>
      </w:r>
      <w:r w:rsidR="00D90A47" w:rsidRPr="004735D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capital</w:t>
      </w:r>
      <w:r w:rsidR="00A934A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datorat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934A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investițiilor realizate pentru extinderea și dezvoltarea sistemelor de distribuție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934A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care se includ anual în venitul reglementat stabilit pentru OD, 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trebuie să respecte următoarea condiție:</w:t>
      </w:r>
    </w:p>
    <w:p w14:paraId="0E185F3A" w14:textId="1A5EC57E" w:rsidR="00816878" w:rsidRPr="004735D7" w:rsidRDefault="006019FA" w:rsidP="00816878">
      <w:pPr>
        <w:pStyle w:val="ListParagraph"/>
        <w:shd w:val="clear" w:color="auto" w:fill="FFFFFF"/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932E1C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VR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i-1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+</w:t>
      </w:r>
      <w:proofErr w:type="spellStart"/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CAPEX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End"/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+</w:t>
      </w:r>
      <w:proofErr w:type="spellStart"/>
      <w:r w:rsidR="00233E06" w:rsidRPr="004735D7">
        <w:rPr>
          <w:rFonts w:ascii="Times New Roman" w:hAnsi="Times New Roman" w:cs="Times New Roman"/>
          <w:sz w:val="24"/>
          <w:szCs w:val="24"/>
          <w:lang w:val="ro-RO"/>
        </w:rPr>
        <w:t>CAPEXr</w:t>
      </w:r>
      <w:r w:rsidR="00B576F2" w:rsidRPr="004735D7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End"/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/Q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r w:rsidR="00932E1C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VR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i-1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/Q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816878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i-1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="00932E1C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B03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≤ 10</w:t>
      </w:r>
      <w:r w:rsidR="00FC3A68" w:rsidRPr="004735D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16878" w:rsidRPr="004735D7">
        <w:rPr>
          <w:rFonts w:ascii="Times New Roman" w:hAnsi="Times New Roman" w:cs="Times New Roman"/>
          <w:sz w:val="24"/>
          <w:szCs w:val="24"/>
          <w:lang w:val="ro-RO"/>
        </w:rPr>
        <w:t>%</w:t>
      </w:r>
    </w:p>
    <w:p w14:paraId="797E2F26" w14:textId="4D817801" w:rsidR="00932E1C" w:rsidRPr="004735D7" w:rsidRDefault="00932E1C" w:rsidP="00333BEB">
      <w:pPr>
        <w:pStyle w:val="ListParagraph"/>
        <w:shd w:val="clear" w:color="auto" w:fill="FFFFFF"/>
        <w:spacing w:after="0" w:line="360" w:lineRule="auto"/>
        <w:ind w:left="426" w:firstLine="294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p w14:paraId="7AE5A7C9" w14:textId="15A4A469" w:rsidR="00932E1C" w:rsidRPr="004735D7" w:rsidRDefault="00932E1C" w:rsidP="008C24D0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VR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i-1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– v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enitul reglementat stabilit pentru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i-1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11E5AE3" w14:textId="17B5951F" w:rsidR="00932E1C" w:rsidRPr="004735D7" w:rsidRDefault="00932E1C" w:rsidP="008C24D0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CAPEX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End"/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costurile de capital </w:t>
      </w:r>
      <w:r w:rsidR="00AA0BBC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aferente 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investițiil</w:t>
      </w:r>
      <w:r w:rsidR="00AA0BBC" w:rsidRPr="004735D7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realizate pentru extinderea și dezvoltarea sistemelor de distribuție în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i-1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F73D7" w:rsidRPr="004735D7">
        <w:rPr>
          <w:rFonts w:ascii="Times New Roman" w:hAnsi="Times New Roman" w:cs="Times New Roman"/>
          <w:sz w:val="24"/>
          <w:szCs w:val="24"/>
          <w:lang w:val="ro-RO"/>
        </w:rPr>
        <w:t>, care trebuie incluse în veniturile anului i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B71598" w14:textId="5BEA11DD" w:rsidR="00932E1C" w:rsidRPr="004735D7" w:rsidRDefault="00233E06" w:rsidP="008C24D0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proofErr w:type="spellStart"/>
      <w:r w:rsidRPr="004735D7">
        <w:rPr>
          <w:rFonts w:ascii="Times New Roman" w:hAnsi="Times New Roman" w:cs="Times New Roman"/>
          <w:sz w:val="24"/>
          <w:szCs w:val="24"/>
          <w:lang w:val="ro-RO"/>
        </w:rPr>
        <w:t>CAPEXr</w:t>
      </w:r>
      <w:r w:rsidR="00B576F2" w:rsidRPr="004735D7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End"/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="00932E1C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="00932E1C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="00932E1C" w:rsidRPr="004735D7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514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costuri de tip </w:t>
      </w:r>
      <w:proofErr w:type="spellStart"/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CAPEXed</w:t>
      </w:r>
      <w:proofErr w:type="spellEnd"/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care nu au fost incluse în venitul </w:t>
      </w:r>
      <w:r w:rsidR="00B1514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OD 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în anii anteriori de reglementare</w:t>
      </w:r>
      <w:r w:rsidR="00B1514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D96E4B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B1514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D96E4B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acesta le are </w:t>
      </w:r>
      <w:r w:rsidR="00B15146" w:rsidRPr="004735D7">
        <w:rPr>
          <w:rFonts w:ascii="Times New Roman" w:hAnsi="Times New Roman" w:cs="Times New Roman"/>
          <w:sz w:val="24"/>
          <w:szCs w:val="24"/>
          <w:lang w:val="ro-RO"/>
        </w:rPr>
        <w:t>de recuperat</w:t>
      </w:r>
      <w:r w:rsidR="003F73D7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76F2" w:rsidRPr="004735D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3F73D7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3F73D7" w:rsidRPr="004735D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0BF5797E" w14:textId="762942E6" w:rsidR="00932E1C" w:rsidRPr="004735D7" w:rsidRDefault="00932E1C" w:rsidP="008C24D0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Q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i</w:t>
      </w:r>
      <w:r w:rsidR="001D2B9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)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cantitățile de gaze naturale estimate a fi distribuite în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F3EBD" w:rsidRPr="004735D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F3EBD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7A4CB761" w14:textId="61245521" w:rsidR="00D1555A" w:rsidRPr="004735D7" w:rsidRDefault="00932E1C" w:rsidP="008C24D0">
      <w:pPr>
        <w:shd w:val="clear" w:color="auto" w:fill="FFFFFF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Q</w:t>
      </w:r>
      <w:r w:rsidR="003F73D7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(i-1)</w:t>
      </w:r>
      <w:r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 xml:space="preserve">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cantitățile de gaze naturale estimate a fi distribuite în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i-1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>, luate în calculul tarifelor aprobate</w:t>
      </w:r>
      <w:r w:rsidR="009F3EBD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pentru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F3EBD" w:rsidRPr="004735D7">
        <w:rPr>
          <w:rFonts w:ascii="Times New Roman" w:hAnsi="Times New Roman" w:cs="Times New Roman"/>
          <w:sz w:val="24"/>
          <w:szCs w:val="24"/>
          <w:lang w:val="ro-RO"/>
        </w:rPr>
        <w:t>i-1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41064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04F3EED" w14:textId="57BD79B4" w:rsidR="0066402D" w:rsidRPr="004735D7" w:rsidRDefault="0066402D" w:rsidP="00A52E5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Cantitatea de gaze naturale estimată pentru anul (i) utilizată în </w:t>
      </w:r>
      <w:r w:rsidR="00B67AEF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formula de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calcul</w:t>
      </w:r>
      <w:r w:rsidR="00B67AEF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la alin. (1) nu poate fi mai mică decât cantitatea de gaze naturale </w:t>
      </w:r>
      <w:r w:rsidR="000311C7">
        <w:rPr>
          <w:rFonts w:ascii="Times New Roman" w:hAnsi="Times New Roman" w:cs="Times New Roman"/>
          <w:sz w:val="24"/>
          <w:szCs w:val="24"/>
          <w:lang w:val="ro-RO"/>
        </w:rPr>
        <w:t>estimată pentru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anul (i-1).</w:t>
      </w:r>
    </w:p>
    <w:p w14:paraId="44CC51B3" w14:textId="2B0033B6" w:rsidR="00483EA2" w:rsidRPr="004735D7" w:rsidRDefault="00816878" w:rsidP="00A52E5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rezultatul calculului prevăzut la </w:t>
      </w:r>
      <w:r w:rsidR="00A934A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alin (1)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depășește limita de 10</w:t>
      </w:r>
      <w:r w:rsidR="00FC3A68" w:rsidRPr="004735D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, costurile 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de tip </w:t>
      </w:r>
      <w:proofErr w:type="spellStart"/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>CAPEX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ed</w:t>
      </w:r>
      <w:proofErr w:type="spellEnd"/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din anul 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>i-1</w:t>
      </w:r>
      <w:r w:rsidR="00D1555A" w:rsidRPr="004735D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71D56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și anii anteriori de reglementare 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vor fi recunoscute </w:t>
      </w:r>
      <w:r w:rsidR="00D25D75" w:rsidRPr="004735D7">
        <w:rPr>
          <w:rFonts w:ascii="Times New Roman" w:hAnsi="Times New Roman" w:cs="Times New Roman"/>
          <w:sz w:val="24"/>
          <w:szCs w:val="24"/>
          <w:lang w:val="ro-RO"/>
        </w:rPr>
        <w:t>astfel încât să se respecte condiția de la alin. (1)</w:t>
      </w:r>
      <w:r w:rsidR="00483EA2" w:rsidRPr="004735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714ECC8" w14:textId="545051FD" w:rsidR="00A934A8" w:rsidRPr="004735D7" w:rsidRDefault="00483EA2" w:rsidP="00A52E5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Diferența 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spellStart"/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>CAPEX</w:t>
      </w:r>
      <w:r w:rsidR="00D25D75" w:rsidRPr="004735D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ed</w:t>
      </w:r>
      <w:proofErr w:type="spellEnd"/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D25D75" w:rsidRPr="004735D7">
        <w:rPr>
          <w:rFonts w:ascii="Times New Roman" w:hAnsi="Times New Roman" w:cs="Times New Roman"/>
          <w:sz w:val="24"/>
          <w:szCs w:val="24"/>
          <w:lang w:val="ro-RO"/>
        </w:rPr>
        <w:t>nu se include în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2E1C" w:rsidRPr="004735D7">
        <w:rPr>
          <w:rFonts w:ascii="Times New Roman" w:hAnsi="Times New Roman" w:cs="Times New Roman"/>
          <w:sz w:val="24"/>
          <w:szCs w:val="24"/>
          <w:lang w:val="ro-RO"/>
        </w:rPr>
        <w:t>veniturile operatorului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5D75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ca urmare a aplicării limitării prevăzute la alin. (2), 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se va recunoaște în anii următori de reglementare, cu respectarea </w:t>
      </w:r>
      <w:r w:rsidR="00AA0BBC" w:rsidRPr="004735D7">
        <w:rPr>
          <w:rFonts w:ascii="Times New Roman" w:hAnsi="Times New Roman" w:cs="Times New Roman"/>
          <w:sz w:val="24"/>
          <w:szCs w:val="24"/>
          <w:lang w:val="ro-RO"/>
        </w:rPr>
        <w:t>condiției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73D7" w:rsidRPr="004735D7">
        <w:rPr>
          <w:rFonts w:ascii="Times New Roman" w:hAnsi="Times New Roman" w:cs="Times New Roman"/>
          <w:sz w:val="24"/>
          <w:szCs w:val="24"/>
          <w:lang w:val="ro-RO"/>
        </w:rPr>
        <w:t>prevăzute</w:t>
      </w:r>
      <w:r w:rsidR="00E32231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la alin (1).</w:t>
      </w:r>
    </w:p>
    <w:p w14:paraId="25AAABE9" w14:textId="729450FD" w:rsidR="005E1F6B" w:rsidRPr="004735D7" w:rsidRDefault="00E32231" w:rsidP="00A52E5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Sunt considerate investiții realizate pentru extinderea și dezvoltarea sistemelor de distribuție imobilizările corporale incluse în grupa 1 a BAR, cu excepția </w:t>
      </w:r>
      <w:r w:rsidR="0096654D" w:rsidRPr="004735D7">
        <w:rPr>
          <w:rFonts w:ascii="Times New Roman" w:hAnsi="Times New Roman" w:cs="Times New Roman"/>
          <w:sz w:val="24"/>
          <w:szCs w:val="24"/>
          <w:lang w:val="ro-RO"/>
        </w:rPr>
        <w:t>clădirilor</w:t>
      </w:r>
      <w:r w:rsidR="000E33B5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racordurilor</w:t>
      </w:r>
      <w:r w:rsidR="000E33B5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și obiectivelor SD înlocuite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74618E2" w14:textId="77777777" w:rsidR="00EE4C3E" w:rsidRPr="004735D7" w:rsidRDefault="00EE4C3E" w:rsidP="00A52E5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În cazul fuziunilor OD, valoarea elementelor de calcul din formula prevăzută la alin. (1) se va determina prin însumarea elementelor similare, corespunzătoare societăților care fuzionează.</w:t>
      </w:r>
    </w:p>
    <w:p w14:paraId="1A6BA94A" w14:textId="56C24280" w:rsidR="00E32231" w:rsidRPr="004735D7" w:rsidRDefault="00EE4C3E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Prevederile alineatelor (1) – (3) nu se aplică OD</w:t>
      </w:r>
      <w:r w:rsidR="00CB0192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nou înființați, pentru primii trei ani de reglementare</w:t>
      </w:r>
      <w:r w:rsidR="00A52E50"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0375DD86" w14:textId="77777777" w:rsidR="00B464B5" w:rsidRPr="004735D7" w:rsidRDefault="00B464B5" w:rsidP="00FE6D3B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CED478" w14:textId="04A35483" w:rsidR="00D90A47" w:rsidRPr="004735D7" w:rsidRDefault="00D90A47" w:rsidP="008C24D0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53, după alineatul (3) se introduce un nou alineat, alineatul (4) cu următorul cuprins:</w:t>
      </w:r>
    </w:p>
    <w:p w14:paraId="08EDCC08" w14:textId="3073006C" w:rsidR="00D90A47" w:rsidRPr="004735D7" w:rsidRDefault="008D3B82" w:rsidP="008C24D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“</w:t>
      </w:r>
      <w:r w:rsidR="00D90A47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(4)  </w:t>
      </w:r>
      <w:r w:rsidR="00290A74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Prin derogare de la prevederile alin. (3), î</w:t>
      </w:r>
      <w:r w:rsidR="00D90A47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 cazul 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OD nou licențiați, nu se </w:t>
      </w:r>
      <w:r w:rsidR="00DA27E7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calculează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spor de eficiență economică pentru prim</w:t>
      </w:r>
      <w:r w:rsidR="00290A74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ii doi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an</w:t>
      </w:r>
      <w:r w:rsidR="00290A74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reglementare.”</w:t>
      </w:r>
    </w:p>
    <w:p w14:paraId="77633400" w14:textId="77777777" w:rsidR="00D90A47" w:rsidRPr="004735D7" w:rsidRDefault="00D90A47" w:rsidP="008C24D0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373C49" w14:textId="67D87DE9" w:rsidR="009C41AC" w:rsidRPr="004735D7" w:rsidRDefault="009C41AC" w:rsidP="008C24D0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La articolul 71, după alineatul (2) se introduce un nou alineat, alineatul (2^1) cu următorul cuprins:</w:t>
      </w:r>
    </w:p>
    <w:p w14:paraId="0E2FE093" w14:textId="46E3FA03" w:rsidR="009C41AC" w:rsidRPr="004735D7" w:rsidRDefault="00816878" w:rsidP="00816878">
      <w:pPr>
        <w:pStyle w:val="ListParagraph"/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“</w:t>
      </w:r>
      <w:r w:rsidR="009C41AC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(2^1) Fundamentările aferente propunerilor de venit reglementat</w:t>
      </w:r>
      <w:r w:rsidR="00786076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="009C41AC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venit reglementat corectat 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și</w:t>
      </w:r>
      <w:r w:rsidR="009C41AC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tarife de </w:t>
      </w:r>
      <w:r w:rsidR="00786076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distribuție</w:t>
      </w:r>
      <w:r w:rsidR="009C41AC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prevăzute la alin. (2) </w:t>
      </w:r>
      <w:r w:rsidR="00786076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vor avea în vedere costurile necesare desfășurării activității, pentru o perioadă continuă de 12 luni calendaristice.”</w:t>
      </w:r>
    </w:p>
    <w:p w14:paraId="4BB7C74E" w14:textId="08779639" w:rsidR="009C41AC" w:rsidRPr="004735D7" w:rsidRDefault="009C41AC" w:rsidP="009C41AC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902994" w14:textId="530BB946" w:rsidR="000E0F46" w:rsidRDefault="000E0F46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107 se abrogă.</w:t>
      </w:r>
    </w:p>
    <w:p w14:paraId="76EF3D33" w14:textId="77777777" w:rsidR="000E0F46" w:rsidRDefault="000E0F46" w:rsidP="000E0F46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F53360" w14:textId="534A82FE" w:rsidR="008B24A1" w:rsidRPr="004735D7" w:rsidRDefault="008B24A1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Art. 1 din Anexa nr. 1 la Metodologia de stabilire a tarifelor reglementate pentru serviciile de distribuție în sectorul gazelor naturale, </w:t>
      </w:r>
      <w:r w:rsidR="009247FE" w:rsidRPr="004735D7">
        <w:rPr>
          <w:rFonts w:ascii="Times New Roman" w:hAnsi="Times New Roman" w:cs="Times New Roman"/>
          <w:b/>
          <w:sz w:val="24"/>
          <w:szCs w:val="24"/>
          <w:lang w:val="ro-RO"/>
        </w:rPr>
        <w:t>se modifică după cum urmează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3B51F4DB" w14:textId="3A2CE096" w:rsidR="009247FE" w:rsidRPr="004735D7" w:rsidRDefault="008B24A1" w:rsidP="00FC7E88">
      <w:pPr>
        <w:pStyle w:val="ListParagraph"/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FC7E88"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Art. 1 - </w:t>
      </w:r>
      <w:r w:rsidR="009247FE" w:rsidRPr="004735D7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9247FE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Imobilizările corporale/necorporale utilizate pentru desfășurarea activității de distribuție intră în baza de active reglementate la o valoare reglementată egală </w:t>
      </w:r>
      <w:r w:rsidR="0093582A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cu </w:t>
      </w:r>
      <w:r w:rsidR="009247FE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valoarea contabilă de la data intrării. </w:t>
      </w:r>
    </w:p>
    <w:p w14:paraId="10F66D0C" w14:textId="760D5E2E" w:rsidR="009247FE" w:rsidRPr="004735D7" w:rsidRDefault="009247FE" w:rsidP="00FC7E88">
      <w:pPr>
        <w:pStyle w:val="ListParagraph"/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(2) </w:t>
      </w:r>
      <w:r w:rsidR="00D05EB8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În cazul imobilizărilor corporale/necorporale utilizate pentru desfășurarea mai multor activități reglementate, nereglementate sau din afara sectorului</w:t>
      </w:r>
      <w:r w:rsidR="00D05EB8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valoarea reglementată de intrare în baza de active reglementate se calculează pe baza valorii contabile de la data intrării care se alocă pe fiecare activitate în </w:t>
      </w:r>
      <w:r w:rsidR="00F319FA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funcție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 de principiile de alocare aprobate prin raportul de separare contabilă a </w:t>
      </w:r>
      <w:r w:rsidR="00F319FA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activităților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F319FA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desfășurate</w:t>
      </w: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către OD.</w:t>
      </w:r>
    </w:p>
    <w:p w14:paraId="25BF806C" w14:textId="2FAADC96" w:rsidR="008B24A1" w:rsidRPr="004735D7" w:rsidRDefault="008B24A1" w:rsidP="00FC7E88">
      <w:pPr>
        <w:pStyle w:val="ListParagraph"/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lastRenderedPageBreak/>
        <w:t xml:space="preserve">(3) </w:t>
      </w:r>
      <w:r w:rsidR="009247FE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Alocarea prevăzută la alin. (2) se modifică doar dacă operatorul solicită și </w:t>
      </w:r>
      <w:r w:rsidR="0093582A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ANRE acceptă</w:t>
      </w:r>
      <w:r w:rsidR="009247FE" w:rsidRPr="004735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modificarea principiilor de alocare.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302AC566" w14:textId="77777777" w:rsidR="005364DB" w:rsidRPr="004735D7" w:rsidRDefault="005364DB" w:rsidP="00FE6D3B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989A545" w14:textId="759A57D6" w:rsidR="005E24CD" w:rsidRPr="004735D7" w:rsidRDefault="00B464B5" w:rsidP="00FC7E88">
      <w:pPr>
        <w:pStyle w:val="ListParagraph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</w:t>
      </w:r>
      <w:r w:rsidR="008C24D0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tabelul din 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 4 la Metodologia de stabilire a tarifelor reglementate pentru serviciile de distribuție în sectorul gazelor naturale, </w:t>
      </w:r>
      <w:r w:rsidR="005E24CD" w:rsidRPr="004735D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Grupa 5 </w:t>
      </w:r>
      <w:r w:rsidR="008C24D0" w:rsidRPr="004735D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– </w:t>
      </w:r>
      <w:r w:rsidR="005E24CD" w:rsidRPr="004735D7">
        <w:rPr>
          <w:rFonts w:ascii="Times New Roman" w:hAnsi="Times New Roman" w:cs="Times New Roman"/>
          <w:b/>
          <w:i/>
          <w:sz w:val="24"/>
          <w:szCs w:val="24"/>
          <w:lang w:val="ro-RO"/>
        </w:rPr>
        <w:t>Alte imobilizări corporale și necorporale</w:t>
      </w:r>
      <w:r w:rsidR="005E24CD"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împarte subgrupe astfel:</w:t>
      </w:r>
    </w:p>
    <w:tbl>
      <w:tblPr>
        <w:tblW w:w="93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5"/>
        <w:gridCol w:w="1620"/>
      </w:tblGrid>
      <w:tr w:rsidR="005E24CD" w:rsidRPr="004735D7" w14:paraId="71099FA6" w14:textId="77777777" w:rsidTr="008C24D0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E44" w14:textId="6E8C84DC" w:rsidR="005E24CD" w:rsidRPr="004735D7" w:rsidRDefault="005E24CD" w:rsidP="008C24D0">
            <w:pPr>
              <w:spacing w:after="0" w:line="36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Categorie imobilizări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6F2" w14:textId="4F3A88F7" w:rsidR="005E24CD" w:rsidRPr="004735D7" w:rsidRDefault="005E24CD" w:rsidP="008C24D0">
            <w:pPr>
              <w:spacing w:after="0" w:line="240" w:lineRule="auto"/>
              <w:ind w:left="165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Durata reglementată de amortizare (ani)</w:t>
            </w:r>
          </w:p>
        </w:tc>
      </w:tr>
      <w:tr w:rsidR="005E24CD" w:rsidRPr="004735D7" w14:paraId="687AE856" w14:textId="77777777" w:rsidTr="008C24D0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B7B" w14:textId="3C974CE2" w:rsidR="005E24CD" w:rsidRPr="004735D7" w:rsidRDefault="005E24CD" w:rsidP="008C24D0">
            <w:pPr>
              <w:spacing w:after="0" w:line="36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Grupa 5 </w:t>
            </w:r>
            <w:r w:rsidR="008C24D0" w:rsidRPr="004735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Pr="004735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Alte imobilizări corporale și necorporale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60F" w14:textId="77777777" w:rsidR="005E24CD" w:rsidRPr="004735D7" w:rsidRDefault="005E24CD" w:rsidP="008C24D0">
            <w:pPr>
              <w:spacing w:after="0" w:line="360" w:lineRule="auto"/>
              <w:ind w:left="165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24CD" w:rsidRPr="004735D7" w14:paraId="24A518A8" w14:textId="77777777" w:rsidTr="008C24D0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8610" w14:textId="2913CC6F" w:rsidR="005E24CD" w:rsidRPr="004735D7" w:rsidRDefault="00924CF0" w:rsidP="008C24D0">
            <w:pPr>
              <w:spacing w:after="0" w:line="360" w:lineRule="auto"/>
              <w:ind w:left="165" w:righ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Subgrupa 5.1 </w:t>
            </w:r>
            <w:r w:rsidR="008C24D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326DC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D6E0" w14:textId="65798B4B" w:rsidR="005E24CD" w:rsidRPr="004735D7" w:rsidRDefault="00924CF0" w:rsidP="008C24D0">
            <w:pPr>
              <w:spacing w:after="0" w:line="360" w:lineRule="auto"/>
              <w:ind w:left="165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5E24CD" w:rsidRPr="004735D7" w14:paraId="490DC4DD" w14:textId="77777777" w:rsidTr="008C24D0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B13B" w14:textId="5D8CF7EC" w:rsidR="005E24CD" w:rsidRPr="004735D7" w:rsidRDefault="00924CF0" w:rsidP="008C24D0">
            <w:pPr>
              <w:spacing w:after="0" w:line="360" w:lineRule="auto"/>
              <w:ind w:left="165" w:righ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Subgrupa 5.2 </w:t>
            </w:r>
            <w:r w:rsidR="008C24D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326DC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 imobilizări necorporale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1A39" w14:textId="02E1B7BB" w:rsidR="005E24CD" w:rsidRPr="004735D7" w:rsidRDefault="00924CF0" w:rsidP="008C24D0">
            <w:pPr>
              <w:spacing w:after="0" w:line="360" w:lineRule="auto"/>
              <w:ind w:left="165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5E24CD" w:rsidRPr="004735D7" w14:paraId="6E19DC7B" w14:textId="77777777" w:rsidTr="008C24D0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290E" w14:textId="430629A7" w:rsidR="005E24CD" w:rsidRPr="004735D7" w:rsidRDefault="00924CF0" w:rsidP="008C24D0">
            <w:pPr>
              <w:spacing w:after="0" w:line="360" w:lineRule="auto"/>
              <w:ind w:left="165" w:righ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Subgrupa 5.3 </w:t>
            </w:r>
            <w:r w:rsidR="008C24D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326DC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Cheltuieli 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pentru racordarea sistemului de distribuție la sistemul de transport, la conductele din amonte </w:t>
            </w:r>
            <w:r w:rsidR="00326DC0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sau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la sistemul de înmagazinare subterană a gazelor naturale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BE9A" w14:textId="76AB5B0E" w:rsidR="005E24CD" w:rsidRPr="004735D7" w:rsidRDefault="00924CF0" w:rsidP="008C24D0">
            <w:pPr>
              <w:spacing w:after="0" w:line="360" w:lineRule="auto"/>
              <w:ind w:left="165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</w:tbl>
    <w:p w14:paraId="7E8DCB7C" w14:textId="77777777" w:rsidR="005364DB" w:rsidRPr="004735D7" w:rsidRDefault="005364DB" w:rsidP="00FE6D3B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BA21EB" w14:textId="711B7009" w:rsidR="00B464B5" w:rsidRPr="004735D7" w:rsidRDefault="00B464B5" w:rsidP="00A52E50">
      <w:pPr>
        <w:pStyle w:val="ListParagraph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Anexa nr. 5 la Metodologia de stabilire a tarifelor reglementate pentru serviciile de distribuție în sectorul gazelor naturale se modifică după cum urmează:</w:t>
      </w:r>
    </w:p>
    <w:p w14:paraId="6E098581" w14:textId="77777777" w:rsidR="00B464B5" w:rsidRPr="004735D7" w:rsidRDefault="00B464B5" w:rsidP="00FE6D3B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4A282C7" w14:textId="3236B69C" w:rsidR="00B464B5" w:rsidRPr="004735D7" w:rsidRDefault="00B464B5" w:rsidP="00FE6D3B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735D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“Anexa nr. 5</w:t>
      </w:r>
    </w:p>
    <w:p w14:paraId="1C651BAF" w14:textId="18CFF73D" w:rsidR="0076463E" w:rsidRPr="004735D7" w:rsidRDefault="0076463E" w:rsidP="0076463E">
      <w:pPr>
        <w:pStyle w:val="ListParagraph"/>
        <w:numPr>
          <w:ilvl w:val="0"/>
          <w:numId w:val="13"/>
        </w:numPr>
        <w:shd w:val="clear" w:color="auto" w:fill="FFFFFF"/>
        <w:tabs>
          <w:tab w:val="left" w:pos="990"/>
        </w:tabs>
        <w:spacing w:after="144" w:line="360" w:lineRule="auto"/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Categoriile de </w:t>
      </w:r>
      <w:r w:rsidR="00C55646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clienți</w:t>
      </w: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pentru care se stabilesc </w:t>
      </w:r>
      <w:r w:rsidR="00C55646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diferențiat</w:t>
      </w: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tarifele de </w:t>
      </w:r>
      <w:r w:rsidR="00C55646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distribuție</w:t>
      </w: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până la data de 1 iulie 2026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496"/>
        <w:gridCol w:w="3458"/>
      </w:tblGrid>
      <w:tr w:rsidR="0076463E" w:rsidRPr="004735D7" w14:paraId="318224F4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7BDC" w14:textId="77777777" w:rsidR="0076463E" w:rsidRPr="004735D7" w:rsidRDefault="0076463E" w:rsidP="003C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83FC" w14:textId="77777777" w:rsidR="0076463E" w:rsidRPr="004735D7" w:rsidRDefault="0076463E" w:rsidP="003C6B80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Consum anual de gaze naturale (MWh)</w:t>
            </w:r>
          </w:p>
        </w:tc>
      </w:tr>
      <w:tr w:rsidR="0076463E" w:rsidRPr="004735D7" w14:paraId="1F279A83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6647" w14:textId="7D4C8F30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Categorie de </w:t>
            </w:r>
            <w:r w:rsidR="00C55646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clienți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021" w14:textId="77777777" w:rsidR="0076463E" w:rsidRPr="004735D7" w:rsidRDefault="0076463E" w:rsidP="003C6B80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0FC4" w14:textId="77777777" w:rsidR="0076463E" w:rsidRPr="004735D7" w:rsidRDefault="0076463E" w:rsidP="003C6B80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</w:t>
            </w:r>
          </w:p>
        </w:tc>
      </w:tr>
      <w:tr w:rsidR="0076463E" w:rsidRPr="004735D7" w14:paraId="05CB5456" w14:textId="77777777" w:rsidTr="003C6B80">
        <w:trPr>
          <w:trHeight w:val="318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1EE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F618" w14:textId="77777777" w:rsidR="0076463E" w:rsidRPr="004735D7" w:rsidRDefault="0076463E" w:rsidP="003C6B80">
            <w:pPr>
              <w:spacing w:after="0" w:line="24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05E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5,56</w:t>
            </w:r>
          </w:p>
        </w:tc>
      </w:tr>
      <w:tr w:rsidR="0076463E" w:rsidRPr="004735D7" w14:paraId="5F1032A6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714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12E" w14:textId="77777777" w:rsidR="0076463E" w:rsidRPr="004735D7" w:rsidRDefault="0076463E" w:rsidP="003C6B80">
            <w:pPr>
              <w:spacing w:after="0" w:line="24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5,56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F4D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55,56</w:t>
            </w:r>
          </w:p>
        </w:tc>
      </w:tr>
      <w:tr w:rsidR="0076463E" w:rsidRPr="004735D7" w14:paraId="15669AF7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6CE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0E8" w14:textId="77777777" w:rsidR="0076463E" w:rsidRPr="004735D7" w:rsidRDefault="0076463E" w:rsidP="003C6B80">
            <w:pPr>
              <w:spacing w:after="0" w:line="24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55,56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DB4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280</w:t>
            </w:r>
          </w:p>
        </w:tc>
      </w:tr>
      <w:tr w:rsidR="0076463E" w:rsidRPr="004735D7" w14:paraId="1CDA3009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AE87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3EBE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6BA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2.800</w:t>
            </w:r>
          </w:p>
        </w:tc>
      </w:tr>
      <w:tr w:rsidR="0076463E" w:rsidRPr="004735D7" w14:paraId="66E03F2A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812A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156E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2.800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E977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28.000</w:t>
            </w:r>
          </w:p>
        </w:tc>
      </w:tr>
      <w:tr w:rsidR="0076463E" w:rsidRPr="004735D7" w14:paraId="61417771" w14:textId="77777777" w:rsidTr="003C6B80">
        <w:trPr>
          <w:trHeight w:val="37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4B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7184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28.000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762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280.000</w:t>
            </w:r>
          </w:p>
        </w:tc>
      </w:tr>
      <w:tr w:rsidR="0076463E" w:rsidRPr="004735D7" w14:paraId="43126227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6C6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72E9" w14:textId="77777777" w:rsidR="0076463E" w:rsidRPr="004735D7" w:rsidRDefault="0076463E" w:rsidP="003C6B80">
            <w:pPr>
              <w:spacing w:after="0" w:line="24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280.000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2B57" w14:textId="77777777" w:rsidR="0076463E" w:rsidRPr="004735D7" w:rsidRDefault="0076463E" w:rsidP="003C6B80">
            <w:pPr>
              <w:spacing w:after="0" w:line="24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1.160.000</w:t>
            </w:r>
          </w:p>
        </w:tc>
      </w:tr>
      <w:tr w:rsidR="0076463E" w:rsidRPr="004735D7" w14:paraId="636213BB" w14:textId="77777777" w:rsidTr="003C6B80">
        <w:trPr>
          <w:trHeight w:val="35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38D4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B82" w14:textId="77777777" w:rsidR="0076463E" w:rsidRPr="004735D7" w:rsidRDefault="0076463E" w:rsidP="003C6B80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1.160.000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06F" w14:textId="77777777" w:rsidR="0076463E" w:rsidRPr="004735D7" w:rsidRDefault="0076463E" w:rsidP="003C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6463E" w:rsidRPr="004735D7" w14:paraId="2C51ECE7" w14:textId="77777777" w:rsidTr="003C6B80">
        <w:trPr>
          <w:trHeight w:val="33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CBDE" w14:textId="77777777" w:rsidR="0076463E" w:rsidRPr="004735D7" w:rsidRDefault="0076463E" w:rsidP="003C6B80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C.7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2CF" w14:textId="052BFEE3" w:rsidR="0076463E" w:rsidRPr="004735D7" w:rsidRDefault="00C55646" w:rsidP="003C6B80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Clienți</w:t>
            </w:r>
            <w:r w:rsidR="0076463E"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care beneficiază de tarif de 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distribuție</w:t>
            </w:r>
            <w:r w:rsidR="0076463E"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tranzit</w:t>
            </w:r>
          </w:p>
        </w:tc>
      </w:tr>
    </w:tbl>
    <w:p w14:paraId="697FBFC4" w14:textId="77777777" w:rsidR="00B464B5" w:rsidRPr="004735D7" w:rsidRDefault="00B464B5" w:rsidP="00FE6D3B">
      <w:pPr>
        <w:pStyle w:val="ListParagraph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GoBack"/>
      <w:bookmarkEnd w:id="1"/>
    </w:p>
    <w:p w14:paraId="64ECBA3C" w14:textId="6959EED9" w:rsidR="00B464B5" w:rsidRPr="004735D7" w:rsidRDefault="006068BB" w:rsidP="00FE6D3B">
      <w:pPr>
        <w:pStyle w:val="ListParagraph"/>
        <w:shd w:val="clear" w:color="auto" w:fill="FFFFFF"/>
        <w:spacing w:after="144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2. </w:t>
      </w:r>
      <w:r w:rsidR="00B464B5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Categoriile de </w:t>
      </w:r>
      <w:r w:rsidR="00F319FA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clienți</w:t>
      </w:r>
      <w:r w:rsidR="00B464B5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pentru care se stabilesc </w:t>
      </w:r>
      <w:r w:rsidR="00F319FA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diferențiat</w:t>
      </w:r>
      <w:r w:rsidR="00B464B5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tarifele de </w:t>
      </w:r>
      <w:r w:rsidR="00F319FA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>distribuție</w:t>
      </w:r>
      <w:r w:rsidR="00B464B5" w:rsidRPr="004735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începând cu data de 1 iulie 2026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340"/>
        <w:gridCol w:w="3240"/>
      </w:tblGrid>
      <w:tr w:rsidR="00B464B5" w:rsidRPr="004735D7" w14:paraId="6278B26D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2187" w14:textId="77777777" w:rsidR="00B464B5" w:rsidRPr="004735D7" w:rsidRDefault="00B464B5" w:rsidP="00FE6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2A76" w14:textId="77777777" w:rsidR="00B464B5" w:rsidRPr="004735D7" w:rsidRDefault="00B464B5" w:rsidP="00FE6D3B">
            <w:pPr>
              <w:spacing w:after="0" w:line="36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Consum anual de gaze naturale (MWh)</w:t>
            </w:r>
          </w:p>
        </w:tc>
      </w:tr>
      <w:tr w:rsidR="00B464B5" w:rsidRPr="004735D7" w14:paraId="64100BE9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FD54" w14:textId="5529730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Categorie de </w:t>
            </w:r>
            <w:r w:rsidR="00F319FA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clienți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516A" w14:textId="77777777" w:rsidR="00B464B5" w:rsidRPr="004735D7" w:rsidRDefault="00B464B5" w:rsidP="00FE6D3B">
            <w:pPr>
              <w:spacing w:after="0" w:line="36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771" w14:textId="77777777" w:rsidR="00B464B5" w:rsidRPr="004735D7" w:rsidRDefault="00B464B5" w:rsidP="00FE6D3B">
            <w:pPr>
              <w:spacing w:after="0" w:line="36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</w:t>
            </w:r>
          </w:p>
        </w:tc>
      </w:tr>
      <w:tr w:rsidR="00B464B5" w:rsidRPr="004735D7" w14:paraId="556521C2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CE2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1E1" w14:textId="77777777" w:rsidR="00B464B5" w:rsidRPr="004735D7" w:rsidRDefault="00B464B5" w:rsidP="00FE6D3B">
            <w:pPr>
              <w:spacing w:after="0" w:line="36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CE2C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5,56</w:t>
            </w:r>
          </w:p>
        </w:tc>
      </w:tr>
      <w:tr w:rsidR="00B464B5" w:rsidRPr="004735D7" w14:paraId="1C9E7783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D06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817" w14:textId="77777777" w:rsidR="00B464B5" w:rsidRPr="004735D7" w:rsidRDefault="00B464B5" w:rsidP="00FE6D3B">
            <w:pPr>
              <w:spacing w:after="0" w:line="36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5,56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3B8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55,56</w:t>
            </w:r>
          </w:p>
        </w:tc>
      </w:tr>
      <w:tr w:rsidR="00B464B5" w:rsidRPr="004735D7" w14:paraId="4459F6D4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2E0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2D64" w14:textId="77777777" w:rsidR="00B464B5" w:rsidRPr="004735D7" w:rsidRDefault="00B464B5" w:rsidP="00FE6D3B">
            <w:pPr>
              <w:spacing w:after="0" w:line="36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55,56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9C7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280</w:t>
            </w:r>
          </w:p>
        </w:tc>
      </w:tr>
      <w:tr w:rsidR="00B464B5" w:rsidRPr="004735D7" w14:paraId="7AC6C97F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ED32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6A43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50AD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2.800</w:t>
            </w:r>
          </w:p>
        </w:tc>
      </w:tr>
      <w:tr w:rsidR="00B464B5" w:rsidRPr="004735D7" w14:paraId="59032739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065F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4074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2.800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8919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28.000</w:t>
            </w:r>
          </w:p>
        </w:tc>
      </w:tr>
      <w:tr w:rsidR="00B464B5" w:rsidRPr="004735D7" w14:paraId="5228C983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6D0" w14:textId="09BDD69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2" w:name="_Hlk212450373"/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C.4.1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9FD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57D" w14:textId="60C2779B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≤ </w:t>
            </w:r>
            <w:r w:rsidR="008B24A1"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0.000</w:t>
            </w:r>
          </w:p>
        </w:tc>
      </w:tr>
      <w:tr w:rsidR="00B464B5" w:rsidRPr="004735D7" w14:paraId="606BF464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F2D" w14:textId="623C64E6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C.4.2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D5D" w14:textId="6DA8F8BC" w:rsidR="00B464B5" w:rsidRPr="004735D7" w:rsidRDefault="008B24A1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100.000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E5C" w14:textId="27A9170D" w:rsidR="00B464B5" w:rsidRPr="004735D7" w:rsidRDefault="008B24A1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280.000</w:t>
            </w:r>
          </w:p>
        </w:tc>
      </w:tr>
      <w:bookmarkEnd w:id="2"/>
      <w:tr w:rsidR="00B464B5" w:rsidRPr="004735D7" w14:paraId="23100B39" w14:textId="77777777" w:rsidTr="000600D4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7CE9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B3B6" w14:textId="77777777" w:rsidR="00B464B5" w:rsidRPr="004735D7" w:rsidRDefault="00B464B5" w:rsidP="00FE6D3B">
            <w:pPr>
              <w:spacing w:after="0" w:line="360" w:lineRule="auto"/>
              <w:ind w:left="165" w:right="-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280.000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862" w14:textId="77777777" w:rsidR="00B464B5" w:rsidRPr="004735D7" w:rsidRDefault="00B464B5" w:rsidP="00FE6D3B">
            <w:pPr>
              <w:spacing w:after="0" w:line="360" w:lineRule="auto"/>
              <w:ind w:left="165" w:right="-2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≤ 1.160.000</w:t>
            </w:r>
          </w:p>
        </w:tc>
      </w:tr>
      <w:tr w:rsidR="00B464B5" w:rsidRPr="004735D7" w14:paraId="0FF12F54" w14:textId="77777777" w:rsidTr="000872E7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875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56AC" w14:textId="77777777" w:rsidR="00B464B5" w:rsidRPr="004735D7" w:rsidRDefault="00B464B5" w:rsidP="00FE6D3B">
            <w:pPr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&gt; 1.160.000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9FB" w14:textId="77777777" w:rsidR="00B464B5" w:rsidRPr="004735D7" w:rsidRDefault="00B464B5" w:rsidP="00FE6D3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464B5" w:rsidRPr="004735D7" w14:paraId="2B0E6A0F" w14:textId="77777777" w:rsidTr="000872E7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562" w14:textId="77777777" w:rsidR="00B464B5" w:rsidRPr="004735D7" w:rsidRDefault="00B464B5" w:rsidP="00FE6D3B">
            <w:pPr>
              <w:spacing w:after="0" w:line="360" w:lineRule="auto"/>
              <w:ind w:lef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C.7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F76" w14:textId="77347793" w:rsidR="00B464B5" w:rsidRPr="004735D7" w:rsidRDefault="00D05EB8" w:rsidP="00FE6D3B">
            <w:pPr>
              <w:spacing w:after="0" w:line="36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Clienți</w:t>
            </w:r>
            <w:r w:rsidR="00B464B5"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care beneficiază de tarif de </w:t>
            </w:r>
            <w:r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distribuție</w:t>
            </w:r>
            <w:r w:rsidR="00B464B5" w:rsidRPr="004735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de tranzit</w:t>
            </w:r>
          </w:p>
        </w:tc>
      </w:tr>
    </w:tbl>
    <w:p w14:paraId="3F635990" w14:textId="50C78A90" w:rsidR="00B464B5" w:rsidRPr="004735D7" w:rsidRDefault="00B464B5" w:rsidP="00FE6D3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DEF804" w14:textId="77777777" w:rsidR="004D603C" w:rsidRPr="004735D7" w:rsidRDefault="004D603C" w:rsidP="00FE6D3B">
      <w:pPr>
        <w:pStyle w:val="ListParagraph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II. – </w:t>
      </w:r>
      <w:r w:rsidRPr="004735D7">
        <w:rPr>
          <w:rStyle w:val="yiv351784985preambul1"/>
          <w:rFonts w:ascii="Times New Roman" w:hAnsi="Times New Roman" w:cs="Times New Roman"/>
          <w:sz w:val="24"/>
          <w:szCs w:val="24"/>
          <w:lang w:val="ro-RO"/>
        </w:rPr>
        <w:t>Autoritatea Națională de Reglementare în Domeniul Energiei și operatorii de distribuție vor duce la îndeplinire prevederile prezentului ordin.</w:t>
      </w: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5DD829A" w14:textId="1FE0F9D3" w:rsidR="004D603C" w:rsidRPr="004735D7" w:rsidRDefault="004D603C" w:rsidP="00FE6D3B">
      <w:pPr>
        <w:pStyle w:val="ListParagraph"/>
        <w:spacing w:before="120"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III. </w:t>
      </w:r>
      <w:r w:rsidR="00D05EB8" w:rsidRPr="004735D7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Pr="004735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35D7">
        <w:rPr>
          <w:rFonts w:ascii="Times New Roman" w:hAnsi="Times New Roman" w:cs="Times New Roman"/>
          <w:bCs/>
          <w:sz w:val="24"/>
          <w:szCs w:val="24"/>
          <w:lang w:val="ro-RO"/>
        </w:rPr>
        <w:t>Prezentul ordin se publică în Monitorul Oficial al României, Partea I și intră în vigoare la data publicării.</w:t>
      </w:r>
    </w:p>
    <w:p w14:paraId="66E98519" w14:textId="77777777" w:rsidR="004D603C" w:rsidRPr="004735D7" w:rsidRDefault="004D603C" w:rsidP="00FE6D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FC022F" w14:textId="3A303838" w:rsidR="004D603C" w:rsidRPr="004735D7" w:rsidRDefault="004D603C" w:rsidP="00FE6D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Președintele</w:t>
      </w:r>
    </w:p>
    <w:p w14:paraId="28ECB6E4" w14:textId="77777777" w:rsidR="004D603C" w:rsidRPr="004735D7" w:rsidRDefault="004D603C" w:rsidP="00FE6D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Autorității Naționale de Reglementare în Domeniul Energiei</w:t>
      </w:r>
    </w:p>
    <w:p w14:paraId="266C18AD" w14:textId="2956F42B" w:rsidR="004D603C" w:rsidRDefault="004D603C" w:rsidP="00D2609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35D7">
        <w:rPr>
          <w:rFonts w:ascii="Times New Roman" w:hAnsi="Times New Roman" w:cs="Times New Roman"/>
          <w:b/>
          <w:sz w:val="24"/>
          <w:szCs w:val="24"/>
          <w:lang w:val="ro-RO"/>
        </w:rPr>
        <w:t>George – Sergiu NICULESCU</w:t>
      </w:r>
    </w:p>
    <w:p w14:paraId="77697948" w14:textId="06443067" w:rsidR="00583DAB" w:rsidRPr="00326DC0" w:rsidRDefault="00583DAB" w:rsidP="007F38B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83DAB" w:rsidRPr="00326DC0" w:rsidSect="008C24D0">
      <w:footerReference w:type="default" r:id="rId7"/>
      <w:pgSz w:w="12240" w:h="15840"/>
      <w:pgMar w:top="1135" w:right="118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5D6D" w14:textId="77777777" w:rsidR="00480BDF" w:rsidRDefault="00480BDF" w:rsidP="00480BDF">
      <w:pPr>
        <w:spacing w:after="0" w:line="240" w:lineRule="auto"/>
      </w:pPr>
      <w:r>
        <w:separator/>
      </w:r>
    </w:p>
  </w:endnote>
  <w:endnote w:type="continuationSeparator" w:id="0">
    <w:p w14:paraId="339F94F6" w14:textId="77777777" w:rsidR="00480BDF" w:rsidRDefault="00480BDF" w:rsidP="0048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2311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D8E97" w14:textId="52F74E64" w:rsidR="00480BDF" w:rsidRDefault="00480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8CE13" w14:textId="77777777" w:rsidR="00480BDF" w:rsidRDefault="0048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F3188" w14:textId="77777777" w:rsidR="00480BDF" w:rsidRDefault="00480BDF" w:rsidP="00480BDF">
      <w:pPr>
        <w:spacing w:after="0" w:line="240" w:lineRule="auto"/>
      </w:pPr>
      <w:r>
        <w:separator/>
      </w:r>
    </w:p>
  </w:footnote>
  <w:footnote w:type="continuationSeparator" w:id="0">
    <w:p w14:paraId="088154C8" w14:textId="77777777" w:rsidR="00480BDF" w:rsidRDefault="00480BDF" w:rsidP="0048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52CC"/>
    <w:multiLevelType w:val="hybridMultilevel"/>
    <w:tmpl w:val="9A4A703A"/>
    <w:lvl w:ilvl="0" w:tplc="E6BE9C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E7D"/>
    <w:multiLevelType w:val="hybridMultilevel"/>
    <w:tmpl w:val="CDD0385C"/>
    <w:lvl w:ilvl="0" w:tplc="9C90D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C5307"/>
    <w:multiLevelType w:val="hybridMultilevel"/>
    <w:tmpl w:val="5AB2FAC4"/>
    <w:lvl w:ilvl="0" w:tplc="7EAAA408">
      <w:start w:val="2"/>
      <w:numFmt w:val="decimal"/>
      <w:lvlText w:val="(%1)"/>
      <w:lvlJc w:val="left"/>
      <w:pPr>
        <w:ind w:left="720" w:hanging="360"/>
      </w:pPr>
      <w:rPr>
        <w:b/>
        <w:color w:val="auto"/>
      </w:rPr>
    </w:lvl>
    <w:lvl w:ilvl="1" w:tplc="B48A8DB4">
      <w:start w:val="1"/>
      <w:numFmt w:val="lowerRoman"/>
      <w:lvlText w:val="%2)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55FFE"/>
    <w:multiLevelType w:val="hybridMultilevel"/>
    <w:tmpl w:val="3460AA6C"/>
    <w:lvl w:ilvl="0" w:tplc="9420FAC6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A38F2"/>
    <w:multiLevelType w:val="hybridMultilevel"/>
    <w:tmpl w:val="754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864CB"/>
    <w:multiLevelType w:val="hybridMultilevel"/>
    <w:tmpl w:val="CCBC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A0F97"/>
    <w:multiLevelType w:val="hybridMultilevel"/>
    <w:tmpl w:val="8BFA87BE"/>
    <w:lvl w:ilvl="0" w:tplc="2C3C7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346E6"/>
    <w:multiLevelType w:val="hybridMultilevel"/>
    <w:tmpl w:val="1E64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11EA7"/>
    <w:multiLevelType w:val="hybridMultilevel"/>
    <w:tmpl w:val="D2602764"/>
    <w:lvl w:ilvl="0" w:tplc="897270E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D6580"/>
    <w:multiLevelType w:val="hybridMultilevel"/>
    <w:tmpl w:val="7548DA4C"/>
    <w:lvl w:ilvl="0" w:tplc="654EB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84926"/>
    <w:multiLevelType w:val="hybridMultilevel"/>
    <w:tmpl w:val="EDBE3380"/>
    <w:lvl w:ilvl="0" w:tplc="87206E0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0341"/>
    <w:multiLevelType w:val="hybridMultilevel"/>
    <w:tmpl w:val="0D8E6062"/>
    <w:lvl w:ilvl="0" w:tplc="7EAAA408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B48A8DB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B486C"/>
    <w:multiLevelType w:val="hybridMultilevel"/>
    <w:tmpl w:val="4D063FAC"/>
    <w:lvl w:ilvl="0" w:tplc="F7620CE4">
      <w:start w:val="25"/>
      <w:numFmt w:val="decimal"/>
      <w:lvlText w:val="Art. 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82D66"/>
    <w:multiLevelType w:val="hybridMultilevel"/>
    <w:tmpl w:val="FC6C50EA"/>
    <w:lvl w:ilvl="0" w:tplc="2DFA4F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F8B5E34"/>
    <w:multiLevelType w:val="hybridMultilevel"/>
    <w:tmpl w:val="145EC678"/>
    <w:lvl w:ilvl="0" w:tplc="699E6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0AC"/>
    <w:multiLevelType w:val="hybridMultilevel"/>
    <w:tmpl w:val="34504C7E"/>
    <w:lvl w:ilvl="0" w:tplc="CEB206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15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A0"/>
    <w:rsid w:val="00011425"/>
    <w:rsid w:val="0001199E"/>
    <w:rsid w:val="00024E45"/>
    <w:rsid w:val="000311C7"/>
    <w:rsid w:val="000600D4"/>
    <w:rsid w:val="000A5C93"/>
    <w:rsid w:val="000C1428"/>
    <w:rsid w:val="000E0F46"/>
    <w:rsid w:val="000E33B5"/>
    <w:rsid w:val="001D2B97"/>
    <w:rsid w:val="001E7042"/>
    <w:rsid w:val="00233E06"/>
    <w:rsid w:val="00251C9C"/>
    <w:rsid w:val="00271609"/>
    <w:rsid w:val="00271A33"/>
    <w:rsid w:val="00285D87"/>
    <w:rsid w:val="00290A74"/>
    <w:rsid w:val="00290F60"/>
    <w:rsid w:val="002D1859"/>
    <w:rsid w:val="00324BC5"/>
    <w:rsid w:val="00326DC0"/>
    <w:rsid w:val="00333BEB"/>
    <w:rsid w:val="00360AB4"/>
    <w:rsid w:val="003C6B80"/>
    <w:rsid w:val="003D607A"/>
    <w:rsid w:val="003D7500"/>
    <w:rsid w:val="003F73D7"/>
    <w:rsid w:val="004030BC"/>
    <w:rsid w:val="00421397"/>
    <w:rsid w:val="00431051"/>
    <w:rsid w:val="004735D7"/>
    <w:rsid w:val="00480BDF"/>
    <w:rsid w:val="00483EA2"/>
    <w:rsid w:val="00494DC0"/>
    <w:rsid w:val="004D603C"/>
    <w:rsid w:val="00521564"/>
    <w:rsid w:val="00522D35"/>
    <w:rsid w:val="005364DB"/>
    <w:rsid w:val="00536583"/>
    <w:rsid w:val="0058169C"/>
    <w:rsid w:val="0058204B"/>
    <w:rsid w:val="005832F0"/>
    <w:rsid w:val="00583DAB"/>
    <w:rsid w:val="00597E25"/>
    <w:rsid w:val="005E1F6B"/>
    <w:rsid w:val="005E223E"/>
    <w:rsid w:val="005E24CD"/>
    <w:rsid w:val="005E7514"/>
    <w:rsid w:val="006019FA"/>
    <w:rsid w:val="00605C6F"/>
    <w:rsid w:val="006068BB"/>
    <w:rsid w:val="00622987"/>
    <w:rsid w:val="0062315F"/>
    <w:rsid w:val="00650D87"/>
    <w:rsid w:val="0066402D"/>
    <w:rsid w:val="006D25DA"/>
    <w:rsid w:val="006D3EAF"/>
    <w:rsid w:val="00715661"/>
    <w:rsid w:val="00723A9D"/>
    <w:rsid w:val="00741064"/>
    <w:rsid w:val="007538C2"/>
    <w:rsid w:val="00756EF0"/>
    <w:rsid w:val="0076463E"/>
    <w:rsid w:val="00786076"/>
    <w:rsid w:val="007A750E"/>
    <w:rsid w:val="007D4C52"/>
    <w:rsid w:val="007F1DBB"/>
    <w:rsid w:val="007F3516"/>
    <w:rsid w:val="007F38BD"/>
    <w:rsid w:val="00816878"/>
    <w:rsid w:val="008229A8"/>
    <w:rsid w:val="00827BB2"/>
    <w:rsid w:val="008A0F5C"/>
    <w:rsid w:val="008B24A1"/>
    <w:rsid w:val="008B6B2A"/>
    <w:rsid w:val="008C0D7C"/>
    <w:rsid w:val="008C24D0"/>
    <w:rsid w:val="008D3B82"/>
    <w:rsid w:val="008E427B"/>
    <w:rsid w:val="00923426"/>
    <w:rsid w:val="009247FE"/>
    <w:rsid w:val="00924CF0"/>
    <w:rsid w:val="00925D30"/>
    <w:rsid w:val="00926205"/>
    <w:rsid w:val="00932E1C"/>
    <w:rsid w:val="00934EC0"/>
    <w:rsid w:val="0093582A"/>
    <w:rsid w:val="0096654D"/>
    <w:rsid w:val="00973065"/>
    <w:rsid w:val="009C41AC"/>
    <w:rsid w:val="009E2ACE"/>
    <w:rsid w:val="009F3EBD"/>
    <w:rsid w:val="00A22BA0"/>
    <w:rsid w:val="00A238FB"/>
    <w:rsid w:val="00A24F5C"/>
    <w:rsid w:val="00A261BB"/>
    <w:rsid w:val="00A52E50"/>
    <w:rsid w:val="00A9142F"/>
    <w:rsid w:val="00A934A8"/>
    <w:rsid w:val="00AA0BBC"/>
    <w:rsid w:val="00AB0835"/>
    <w:rsid w:val="00AC7940"/>
    <w:rsid w:val="00AD2A9A"/>
    <w:rsid w:val="00B00D26"/>
    <w:rsid w:val="00B1437D"/>
    <w:rsid w:val="00B15146"/>
    <w:rsid w:val="00B3119E"/>
    <w:rsid w:val="00B4246E"/>
    <w:rsid w:val="00B464B5"/>
    <w:rsid w:val="00B55E01"/>
    <w:rsid w:val="00B576F2"/>
    <w:rsid w:val="00B67AEF"/>
    <w:rsid w:val="00B71D56"/>
    <w:rsid w:val="00BB03EB"/>
    <w:rsid w:val="00BB2365"/>
    <w:rsid w:val="00C4706C"/>
    <w:rsid w:val="00C519D8"/>
    <w:rsid w:val="00C54198"/>
    <w:rsid w:val="00C54E9A"/>
    <w:rsid w:val="00C55646"/>
    <w:rsid w:val="00C80D80"/>
    <w:rsid w:val="00CA1349"/>
    <w:rsid w:val="00CA5E16"/>
    <w:rsid w:val="00CB0192"/>
    <w:rsid w:val="00D03B48"/>
    <w:rsid w:val="00D05EB8"/>
    <w:rsid w:val="00D1555A"/>
    <w:rsid w:val="00D25D75"/>
    <w:rsid w:val="00D26095"/>
    <w:rsid w:val="00D3111D"/>
    <w:rsid w:val="00D7608B"/>
    <w:rsid w:val="00D90A47"/>
    <w:rsid w:val="00D96E4B"/>
    <w:rsid w:val="00DA27E7"/>
    <w:rsid w:val="00DA2E13"/>
    <w:rsid w:val="00DA603F"/>
    <w:rsid w:val="00E246F7"/>
    <w:rsid w:val="00E278F8"/>
    <w:rsid w:val="00E32231"/>
    <w:rsid w:val="00E36C2E"/>
    <w:rsid w:val="00ED1611"/>
    <w:rsid w:val="00EE4C3E"/>
    <w:rsid w:val="00F319FA"/>
    <w:rsid w:val="00F67D80"/>
    <w:rsid w:val="00FA2721"/>
    <w:rsid w:val="00FC3A68"/>
    <w:rsid w:val="00FC7E88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1A87"/>
  <w15:chartTrackingRefBased/>
  <w15:docId w15:val="{B39F4455-0223-4E4F-A3D2-F64AD99E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A8"/>
    <w:pPr>
      <w:spacing w:line="256" w:lineRule="auto"/>
      <w:ind w:left="720"/>
      <w:contextualSpacing/>
    </w:pPr>
  </w:style>
  <w:style w:type="character" w:customStyle="1" w:styleId="yiv351784985preambul1">
    <w:name w:val="yiv351784985preambul1"/>
    <w:basedOn w:val="DefaultParagraphFont"/>
    <w:rsid w:val="004D603C"/>
  </w:style>
  <w:style w:type="character" w:styleId="CommentReference">
    <w:name w:val="annotation reference"/>
    <w:basedOn w:val="DefaultParagraphFont"/>
    <w:uiPriority w:val="99"/>
    <w:semiHidden/>
    <w:unhideWhenUsed/>
    <w:rsid w:val="00324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B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161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B03E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DF"/>
  </w:style>
  <w:style w:type="paragraph" w:styleId="Footer">
    <w:name w:val="footer"/>
    <w:basedOn w:val="Normal"/>
    <w:link w:val="FooterChar"/>
    <w:uiPriority w:val="99"/>
    <w:unhideWhenUsed/>
    <w:rsid w:val="0048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2025-11-18T09:10:00Z</cp:lastPrinted>
  <dcterms:created xsi:type="dcterms:W3CDTF">2025-11-18T13:10:00Z</dcterms:created>
  <dcterms:modified xsi:type="dcterms:W3CDTF">2025-11-18T13:42:00Z</dcterms:modified>
</cp:coreProperties>
</file>