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9C2B" w14:textId="43376941" w:rsidR="00381364" w:rsidRPr="00712323" w:rsidRDefault="004D544B" w:rsidP="00494A99">
      <w:pPr>
        <w:spacing w:after="0" w:line="276" w:lineRule="auto"/>
        <w:jc w:val="center"/>
        <w:rPr>
          <w:rFonts w:ascii="Times New Roman" w:hAnsi="Times New Roman" w:cs="Times New Roman"/>
          <w:sz w:val="24"/>
          <w:szCs w:val="24"/>
          <w:lang w:val="ro-RO"/>
        </w:rPr>
      </w:pPr>
      <w:r w:rsidRPr="004D544B">
        <w:rPr>
          <w:rFonts w:ascii="Times New Roman" w:hAnsi="Times New Roman" w:cs="Times New Roman"/>
          <w:b/>
          <w:sz w:val="24"/>
          <w:szCs w:val="24"/>
          <w:lang w:val="ro-RO"/>
        </w:rPr>
        <w:t>Regulil</w:t>
      </w:r>
      <w:r>
        <w:rPr>
          <w:rFonts w:ascii="Times New Roman" w:hAnsi="Times New Roman" w:cs="Times New Roman"/>
          <w:b/>
          <w:sz w:val="24"/>
          <w:szCs w:val="24"/>
          <w:lang w:val="ro-RO"/>
        </w:rPr>
        <w:t>e</w:t>
      </w:r>
      <w:r w:rsidRPr="004D544B">
        <w:rPr>
          <w:rFonts w:ascii="Times New Roman" w:hAnsi="Times New Roman" w:cs="Times New Roman"/>
          <w:b/>
          <w:sz w:val="24"/>
          <w:szCs w:val="24"/>
          <w:lang w:val="ro-RO"/>
        </w:rPr>
        <w:t xml:space="preserve"> privind participarea unei comunități de energie din surse regenerabile sau unei comunități de energie a cetățenilor la piețele angro de energie electrică și condițiil</w:t>
      </w:r>
      <w:r>
        <w:rPr>
          <w:rFonts w:ascii="Times New Roman" w:hAnsi="Times New Roman" w:cs="Times New Roman"/>
          <w:b/>
          <w:sz w:val="24"/>
          <w:szCs w:val="24"/>
          <w:lang w:val="ro-RO"/>
        </w:rPr>
        <w:t>e</w:t>
      </w:r>
      <w:r w:rsidRPr="004D544B">
        <w:rPr>
          <w:rFonts w:ascii="Times New Roman" w:hAnsi="Times New Roman" w:cs="Times New Roman"/>
          <w:b/>
          <w:sz w:val="24"/>
          <w:szCs w:val="24"/>
          <w:lang w:val="ro-RO"/>
        </w:rPr>
        <w:t xml:space="preserve"> utilizării capacităților de stocare aparținând unei comunități de energie din surse regenerabile sau unei comunități de energie a cetățenilor și/sau cele aparținând membrilor acestora în vederea furnizării de servicii către operatorii de rețea</w:t>
      </w:r>
    </w:p>
    <w:p w14:paraId="6E342C37" w14:textId="13E99D96" w:rsidR="00573BA5" w:rsidRDefault="00573BA5" w:rsidP="00494A99">
      <w:pPr>
        <w:spacing w:after="0" w:line="276" w:lineRule="auto"/>
        <w:jc w:val="both"/>
        <w:rPr>
          <w:rFonts w:ascii="Times New Roman" w:hAnsi="Times New Roman" w:cs="Times New Roman"/>
          <w:b/>
          <w:sz w:val="24"/>
          <w:szCs w:val="24"/>
          <w:lang w:val="ro-RO"/>
        </w:rPr>
      </w:pPr>
    </w:p>
    <w:p w14:paraId="2BAC08D5" w14:textId="77777777" w:rsidR="004D544B" w:rsidRDefault="004D544B" w:rsidP="00494A99">
      <w:pPr>
        <w:spacing w:after="0" w:line="276" w:lineRule="auto"/>
        <w:jc w:val="both"/>
        <w:rPr>
          <w:rFonts w:ascii="Times New Roman" w:hAnsi="Times New Roman" w:cs="Times New Roman"/>
          <w:b/>
          <w:sz w:val="24"/>
          <w:szCs w:val="24"/>
          <w:lang w:val="ro-RO"/>
        </w:rPr>
      </w:pPr>
    </w:p>
    <w:p w14:paraId="22E59DA9" w14:textId="6461E3D7" w:rsidR="004D544B" w:rsidRDefault="004D544B" w:rsidP="004D544B">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Capitolul 1 </w:t>
      </w:r>
      <w:r w:rsidR="00954ABE">
        <w:rPr>
          <w:rFonts w:ascii="Times New Roman" w:hAnsi="Times New Roman" w:cs="Times New Roman"/>
          <w:b/>
          <w:sz w:val="24"/>
          <w:szCs w:val="24"/>
          <w:lang w:val="ro-RO"/>
        </w:rPr>
        <w:t>Principii generale</w:t>
      </w:r>
    </w:p>
    <w:p w14:paraId="51760ED0" w14:textId="77777777" w:rsidR="004D544B" w:rsidRDefault="004D544B" w:rsidP="00494A99">
      <w:pPr>
        <w:spacing w:after="0" w:line="276" w:lineRule="auto"/>
        <w:jc w:val="both"/>
        <w:rPr>
          <w:rFonts w:ascii="Times New Roman" w:hAnsi="Times New Roman" w:cs="Times New Roman"/>
          <w:b/>
          <w:sz w:val="24"/>
          <w:szCs w:val="24"/>
          <w:lang w:val="ro-RO"/>
        </w:rPr>
      </w:pPr>
    </w:p>
    <w:p w14:paraId="1D7EE668" w14:textId="3C498BC7" w:rsidR="00381364" w:rsidRPr="00712323" w:rsidRDefault="00A87623" w:rsidP="003777C7">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 </w:t>
      </w:r>
      <w:r w:rsidR="00381364" w:rsidRPr="00712323">
        <w:rPr>
          <w:rFonts w:ascii="Times New Roman" w:hAnsi="Times New Roman" w:cs="Times New Roman"/>
          <w:bCs/>
          <w:sz w:val="24"/>
          <w:szCs w:val="24"/>
          <w:lang w:val="ro-RO"/>
        </w:rPr>
        <w:t>Prezent</w:t>
      </w:r>
      <w:r w:rsidR="004D544B">
        <w:rPr>
          <w:rFonts w:ascii="Times New Roman" w:hAnsi="Times New Roman" w:cs="Times New Roman"/>
          <w:bCs/>
          <w:sz w:val="24"/>
          <w:szCs w:val="24"/>
          <w:lang w:val="ro-RO"/>
        </w:rPr>
        <w:t>u</w:t>
      </w:r>
      <w:r w:rsidR="00381364" w:rsidRPr="00712323">
        <w:rPr>
          <w:rFonts w:ascii="Times New Roman" w:hAnsi="Times New Roman" w:cs="Times New Roman"/>
          <w:bCs/>
          <w:sz w:val="24"/>
          <w:szCs w:val="24"/>
          <w:lang w:val="ro-RO"/>
        </w:rPr>
        <w:t xml:space="preserve">l </w:t>
      </w:r>
      <w:r w:rsidR="004D544B">
        <w:rPr>
          <w:rFonts w:ascii="Times New Roman" w:hAnsi="Times New Roman" w:cs="Times New Roman"/>
          <w:bCs/>
          <w:sz w:val="24"/>
          <w:szCs w:val="24"/>
          <w:lang w:val="ro-RO"/>
        </w:rPr>
        <w:t xml:space="preserve">document </w:t>
      </w:r>
      <w:r w:rsidR="00381364" w:rsidRPr="00712323">
        <w:rPr>
          <w:rFonts w:ascii="Times New Roman" w:hAnsi="Times New Roman" w:cs="Times New Roman"/>
          <w:bCs/>
          <w:sz w:val="24"/>
          <w:szCs w:val="24"/>
          <w:lang w:val="ro-RO"/>
        </w:rPr>
        <w:t>stabile</w:t>
      </w:r>
      <w:r w:rsidR="004D544B">
        <w:rPr>
          <w:rFonts w:ascii="Times New Roman" w:hAnsi="Times New Roman" w:cs="Times New Roman"/>
          <w:bCs/>
          <w:sz w:val="24"/>
          <w:szCs w:val="24"/>
          <w:lang w:val="ro-RO"/>
        </w:rPr>
        <w:t xml:space="preserve">ște </w:t>
      </w:r>
      <w:r w:rsidR="00381364" w:rsidRPr="00712323">
        <w:rPr>
          <w:rFonts w:ascii="Times New Roman" w:hAnsi="Times New Roman" w:cs="Times New Roman"/>
          <w:bCs/>
          <w:sz w:val="24"/>
          <w:szCs w:val="24"/>
          <w:lang w:val="ro-RO"/>
        </w:rPr>
        <w:t xml:space="preserve">cadrul de reglementare aplicabil participării comunităților de energie </w:t>
      </w:r>
      <w:r w:rsidR="004D544B" w:rsidRPr="004D544B">
        <w:rPr>
          <w:rFonts w:ascii="Times New Roman" w:hAnsi="Times New Roman" w:cs="Times New Roman"/>
          <w:bCs/>
          <w:sz w:val="24"/>
          <w:szCs w:val="24"/>
          <w:lang w:val="ro-RO"/>
        </w:rPr>
        <w:t>din surse regenerabile sau comunități</w:t>
      </w:r>
      <w:r w:rsidR="004D544B">
        <w:rPr>
          <w:rFonts w:ascii="Times New Roman" w:hAnsi="Times New Roman" w:cs="Times New Roman"/>
          <w:bCs/>
          <w:sz w:val="24"/>
          <w:szCs w:val="24"/>
          <w:lang w:val="ro-RO"/>
        </w:rPr>
        <w:t>lor</w:t>
      </w:r>
      <w:r w:rsidR="004D544B" w:rsidRPr="004D544B">
        <w:rPr>
          <w:rFonts w:ascii="Times New Roman" w:hAnsi="Times New Roman" w:cs="Times New Roman"/>
          <w:bCs/>
          <w:sz w:val="24"/>
          <w:szCs w:val="24"/>
          <w:lang w:val="ro-RO"/>
        </w:rPr>
        <w:t xml:space="preserve"> de energie a</w:t>
      </w:r>
      <w:r w:rsidR="004D544B">
        <w:rPr>
          <w:rFonts w:ascii="Times New Roman" w:hAnsi="Times New Roman" w:cs="Times New Roman"/>
          <w:bCs/>
          <w:sz w:val="24"/>
          <w:szCs w:val="24"/>
          <w:lang w:val="ro-RO"/>
        </w:rPr>
        <w:t>le</w:t>
      </w:r>
      <w:r w:rsidR="004D544B" w:rsidRPr="004D544B">
        <w:rPr>
          <w:rFonts w:ascii="Times New Roman" w:hAnsi="Times New Roman" w:cs="Times New Roman"/>
          <w:bCs/>
          <w:sz w:val="24"/>
          <w:szCs w:val="24"/>
          <w:lang w:val="ro-RO"/>
        </w:rPr>
        <w:t xml:space="preserve"> cetățenilor</w:t>
      </w:r>
      <w:r w:rsidR="004D544B" w:rsidRPr="004D544B">
        <w:rPr>
          <w:rFonts w:ascii="Times New Roman" w:hAnsi="Times New Roman" w:cs="Times New Roman"/>
          <w:bCs/>
          <w:sz w:val="24"/>
          <w:szCs w:val="24"/>
          <w:lang w:val="ro-RO"/>
        </w:rPr>
        <w:t xml:space="preserve"> </w:t>
      </w:r>
      <w:r w:rsidR="00381364" w:rsidRPr="00712323">
        <w:rPr>
          <w:rFonts w:ascii="Times New Roman" w:hAnsi="Times New Roman" w:cs="Times New Roman"/>
          <w:bCs/>
          <w:sz w:val="24"/>
          <w:szCs w:val="24"/>
          <w:lang w:val="ro-RO"/>
        </w:rPr>
        <w:t>la pi</w:t>
      </w:r>
      <w:r w:rsidR="004D544B">
        <w:rPr>
          <w:rFonts w:ascii="Times New Roman" w:hAnsi="Times New Roman" w:cs="Times New Roman"/>
          <w:bCs/>
          <w:sz w:val="24"/>
          <w:szCs w:val="24"/>
          <w:lang w:val="ro-RO"/>
        </w:rPr>
        <w:t>e</w:t>
      </w:r>
      <w:r w:rsidR="00381364" w:rsidRPr="00712323">
        <w:rPr>
          <w:rFonts w:ascii="Times New Roman" w:hAnsi="Times New Roman" w:cs="Times New Roman"/>
          <w:bCs/>
          <w:sz w:val="24"/>
          <w:szCs w:val="24"/>
          <w:lang w:val="ro-RO"/>
        </w:rPr>
        <w:t>ț</w:t>
      </w:r>
      <w:r w:rsidR="004D544B">
        <w:rPr>
          <w:rFonts w:ascii="Times New Roman" w:hAnsi="Times New Roman" w:cs="Times New Roman"/>
          <w:bCs/>
          <w:sz w:val="24"/>
          <w:szCs w:val="24"/>
          <w:lang w:val="ro-RO"/>
        </w:rPr>
        <w:t>ele</w:t>
      </w:r>
      <w:r w:rsidR="00381364" w:rsidRPr="00712323">
        <w:rPr>
          <w:rFonts w:ascii="Times New Roman" w:hAnsi="Times New Roman" w:cs="Times New Roman"/>
          <w:bCs/>
          <w:sz w:val="24"/>
          <w:szCs w:val="24"/>
          <w:lang w:val="ro-RO"/>
        </w:rPr>
        <w:t xml:space="preserve"> angro de energie electrică, în vederea </w:t>
      </w:r>
      <w:r w:rsidR="003A2383" w:rsidRPr="00712323">
        <w:rPr>
          <w:rFonts w:ascii="Times New Roman" w:hAnsi="Times New Roman" w:cs="Times New Roman"/>
          <w:bCs/>
          <w:sz w:val="24"/>
          <w:szCs w:val="24"/>
          <w:lang w:val="ro-RO"/>
        </w:rPr>
        <w:t>vânzării</w:t>
      </w:r>
      <w:r w:rsidR="00381364" w:rsidRPr="00712323">
        <w:rPr>
          <w:rFonts w:ascii="Times New Roman" w:hAnsi="Times New Roman" w:cs="Times New Roman"/>
          <w:bCs/>
          <w:sz w:val="24"/>
          <w:szCs w:val="24"/>
          <w:lang w:val="ro-RO"/>
        </w:rPr>
        <w:t xml:space="preserve"> energie</w:t>
      </w:r>
      <w:r w:rsidR="003A2383" w:rsidRPr="00712323">
        <w:rPr>
          <w:rFonts w:ascii="Times New Roman" w:hAnsi="Times New Roman" w:cs="Times New Roman"/>
          <w:bCs/>
          <w:sz w:val="24"/>
          <w:szCs w:val="24"/>
          <w:lang w:val="ro-RO"/>
        </w:rPr>
        <w:t>i</w:t>
      </w:r>
      <w:r w:rsidR="00381364" w:rsidRPr="00712323">
        <w:rPr>
          <w:rFonts w:ascii="Times New Roman" w:hAnsi="Times New Roman" w:cs="Times New Roman"/>
          <w:bCs/>
          <w:sz w:val="24"/>
          <w:szCs w:val="24"/>
          <w:lang w:val="ro-RO"/>
        </w:rPr>
        <w:t xml:space="preserve"> electric</w:t>
      </w:r>
      <w:r w:rsidR="003A2383" w:rsidRPr="00712323">
        <w:rPr>
          <w:rFonts w:ascii="Times New Roman" w:hAnsi="Times New Roman" w:cs="Times New Roman"/>
          <w:bCs/>
          <w:sz w:val="24"/>
          <w:szCs w:val="24"/>
          <w:lang w:val="ro-RO"/>
        </w:rPr>
        <w:t>e</w:t>
      </w:r>
      <w:r w:rsidR="00381364" w:rsidRPr="00712323">
        <w:rPr>
          <w:rFonts w:ascii="Times New Roman" w:hAnsi="Times New Roman" w:cs="Times New Roman"/>
          <w:bCs/>
          <w:sz w:val="24"/>
          <w:szCs w:val="24"/>
          <w:lang w:val="ro-RO"/>
        </w:rPr>
        <w:t xml:space="preserve"> produs</w:t>
      </w:r>
      <w:r w:rsidR="003A2383" w:rsidRPr="00712323">
        <w:rPr>
          <w:rFonts w:ascii="Times New Roman" w:hAnsi="Times New Roman" w:cs="Times New Roman"/>
          <w:bCs/>
          <w:sz w:val="24"/>
          <w:szCs w:val="24"/>
          <w:lang w:val="ro-RO"/>
        </w:rPr>
        <w:t xml:space="preserve">e </w:t>
      </w:r>
      <w:r w:rsidR="003A4411">
        <w:rPr>
          <w:rFonts w:ascii="Times New Roman" w:hAnsi="Times New Roman" w:cs="Times New Roman"/>
          <w:bCs/>
          <w:sz w:val="24"/>
          <w:szCs w:val="24"/>
          <w:lang w:val="ro-RO"/>
        </w:rPr>
        <w:t xml:space="preserve">în </w:t>
      </w:r>
      <w:r w:rsidR="003A2383" w:rsidRPr="00712323">
        <w:rPr>
          <w:rFonts w:ascii="Times New Roman" w:hAnsi="Times New Roman" w:cs="Times New Roman"/>
          <w:bCs/>
          <w:sz w:val="24"/>
          <w:szCs w:val="24"/>
          <w:lang w:val="ro-RO"/>
        </w:rPr>
        <w:t>surplus</w:t>
      </w:r>
      <w:r w:rsidR="003A4411">
        <w:rPr>
          <w:rFonts w:ascii="Times New Roman" w:hAnsi="Times New Roman" w:cs="Times New Roman"/>
          <w:bCs/>
          <w:sz w:val="24"/>
          <w:szCs w:val="24"/>
          <w:lang w:val="ro-RO"/>
        </w:rPr>
        <w:t xml:space="preserve">, </w:t>
      </w:r>
      <w:r w:rsidR="003A2383" w:rsidRPr="00712323">
        <w:rPr>
          <w:rFonts w:ascii="Times New Roman" w:hAnsi="Times New Roman" w:cs="Times New Roman"/>
          <w:bCs/>
          <w:sz w:val="24"/>
          <w:szCs w:val="24"/>
          <w:lang w:val="ro-RO"/>
        </w:rPr>
        <w:t>după acoperirea necesarului de consum al membrilor</w:t>
      </w:r>
      <w:r w:rsidR="006A6404">
        <w:rPr>
          <w:rFonts w:ascii="Times New Roman" w:hAnsi="Times New Roman" w:cs="Times New Roman"/>
          <w:bCs/>
          <w:sz w:val="24"/>
          <w:szCs w:val="24"/>
          <w:lang w:val="ro-RO"/>
        </w:rPr>
        <w:t xml:space="preserve"> acestora</w:t>
      </w:r>
      <w:r w:rsidR="003A4411">
        <w:rPr>
          <w:rFonts w:ascii="Times New Roman" w:hAnsi="Times New Roman" w:cs="Times New Roman"/>
          <w:bCs/>
          <w:sz w:val="24"/>
          <w:szCs w:val="24"/>
          <w:lang w:val="ro-RO"/>
        </w:rPr>
        <w:t>,</w:t>
      </w:r>
      <w:r w:rsidR="00A26D17" w:rsidRPr="00712323">
        <w:rPr>
          <w:rFonts w:ascii="Times New Roman" w:hAnsi="Times New Roman" w:cs="Times New Roman"/>
          <w:bCs/>
          <w:sz w:val="24"/>
          <w:szCs w:val="24"/>
          <w:lang w:val="ro-RO"/>
        </w:rPr>
        <w:t xml:space="preserve"> precum și în vederea cumpărării de energie electrică pentru consumul membrilor acestora</w:t>
      </w:r>
      <w:r w:rsidR="00381364" w:rsidRPr="00712323">
        <w:rPr>
          <w:rFonts w:ascii="Times New Roman" w:hAnsi="Times New Roman" w:cs="Times New Roman"/>
          <w:bCs/>
          <w:sz w:val="24"/>
          <w:szCs w:val="24"/>
          <w:lang w:val="ro-RO"/>
        </w:rPr>
        <w:t>.</w:t>
      </w:r>
    </w:p>
    <w:p w14:paraId="64727FE0" w14:textId="7C0F997E" w:rsidR="006A6404" w:rsidRDefault="006A6404" w:rsidP="003A2383">
      <w:pPr>
        <w:pStyle w:val="ListParagraph"/>
        <w:spacing w:after="120" w:line="276" w:lineRule="auto"/>
        <w:ind w:left="0"/>
        <w:contextualSpacing w:val="0"/>
        <w:jc w:val="both"/>
        <w:rPr>
          <w:rFonts w:ascii="Times New Roman" w:hAnsi="Times New Roman" w:cs="Times New Roman"/>
          <w:bCs/>
          <w:sz w:val="24"/>
          <w:szCs w:val="24"/>
          <w:lang w:val="ro-RO"/>
        </w:rPr>
      </w:pPr>
      <w:r w:rsidRPr="006A6404">
        <w:rPr>
          <w:rFonts w:ascii="Times New Roman" w:hAnsi="Times New Roman" w:cs="Times New Roman"/>
          <w:bCs/>
          <w:sz w:val="24"/>
          <w:szCs w:val="24"/>
          <w:lang w:val="ro-RO"/>
        </w:rPr>
        <w:t xml:space="preserve">(3) În sensul </w:t>
      </w:r>
      <w:r w:rsidRPr="00712323">
        <w:rPr>
          <w:rFonts w:ascii="Times New Roman" w:hAnsi="Times New Roman" w:cs="Times New Roman"/>
          <w:bCs/>
          <w:sz w:val="24"/>
          <w:szCs w:val="24"/>
          <w:lang w:val="ro-RO"/>
        </w:rPr>
        <w:t>prezent</w:t>
      </w:r>
      <w:r>
        <w:rPr>
          <w:rFonts w:ascii="Times New Roman" w:hAnsi="Times New Roman" w:cs="Times New Roman"/>
          <w:bCs/>
          <w:sz w:val="24"/>
          <w:szCs w:val="24"/>
          <w:lang w:val="ro-RO"/>
        </w:rPr>
        <w:t>ului</w:t>
      </w:r>
      <w:r w:rsidRPr="00712323">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document</w:t>
      </w:r>
      <w:r w:rsidRPr="006A6404">
        <w:rPr>
          <w:rFonts w:ascii="Times New Roman" w:hAnsi="Times New Roman" w:cs="Times New Roman"/>
          <w:bCs/>
          <w:sz w:val="24"/>
          <w:szCs w:val="24"/>
          <w:lang w:val="ro-RO"/>
        </w:rPr>
        <w:t xml:space="preserve">, referirea la energia electrică produsă de către comunitățile de energie se referă atât la instalațiile de producere și stocare a energiei electrice în același amplasament, cât și la instalațiile de stocare racordate individual, deținute de o comunitate de energie sau de către membrii acesteia.  </w:t>
      </w:r>
    </w:p>
    <w:p w14:paraId="70CBAEFB" w14:textId="6AF56D64" w:rsidR="003A2383" w:rsidRDefault="003A2383" w:rsidP="003A2383">
      <w:pPr>
        <w:pStyle w:val="ListParagraph"/>
        <w:spacing w:after="120" w:line="276" w:lineRule="auto"/>
        <w:ind w:left="0"/>
        <w:contextualSpacing w:val="0"/>
        <w:jc w:val="both"/>
        <w:rPr>
          <w:rFonts w:ascii="Times New Roman" w:hAnsi="Times New Roman" w:cs="Times New Roman"/>
          <w:bCs/>
          <w:sz w:val="24"/>
          <w:szCs w:val="24"/>
          <w:lang w:val="ro-RO"/>
        </w:rPr>
      </w:pPr>
      <w:r w:rsidRPr="00712323">
        <w:rPr>
          <w:rFonts w:ascii="Times New Roman" w:hAnsi="Times New Roman" w:cs="Times New Roman"/>
          <w:bCs/>
          <w:sz w:val="24"/>
          <w:szCs w:val="24"/>
          <w:lang w:val="ro-RO"/>
        </w:rPr>
        <w:t>(2) În sensul prezent</w:t>
      </w:r>
      <w:r w:rsidR="006A6404">
        <w:rPr>
          <w:rFonts w:ascii="Times New Roman" w:hAnsi="Times New Roman" w:cs="Times New Roman"/>
          <w:bCs/>
          <w:sz w:val="24"/>
          <w:szCs w:val="24"/>
          <w:lang w:val="ro-RO"/>
        </w:rPr>
        <w:t>ului</w:t>
      </w:r>
      <w:r w:rsidR="0060349A" w:rsidRPr="00712323">
        <w:rPr>
          <w:rFonts w:ascii="Times New Roman" w:hAnsi="Times New Roman" w:cs="Times New Roman"/>
          <w:bCs/>
          <w:sz w:val="24"/>
          <w:szCs w:val="24"/>
          <w:lang w:val="ro-RO"/>
        </w:rPr>
        <w:t xml:space="preserve"> </w:t>
      </w:r>
      <w:r w:rsidR="006A6404">
        <w:rPr>
          <w:rFonts w:ascii="Times New Roman" w:hAnsi="Times New Roman" w:cs="Times New Roman"/>
          <w:bCs/>
          <w:sz w:val="24"/>
          <w:szCs w:val="24"/>
          <w:lang w:val="ro-RO"/>
        </w:rPr>
        <w:t xml:space="preserve">document </w:t>
      </w:r>
      <w:r w:rsidRPr="00712323">
        <w:rPr>
          <w:rFonts w:ascii="Times New Roman" w:hAnsi="Times New Roman" w:cs="Times New Roman"/>
          <w:bCs/>
          <w:sz w:val="24"/>
          <w:szCs w:val="24"/>
          <w:lang w:val="ro-RO"/>
        </w:rPr>
        <w:t>prin comunități de energie se înțeleg a</w:t>
      </w:r>
      <w:r w:rsidR="00A26D17" w:rsidRPr="00712323">
        <w:rPr>
          <w:rFonts w:ascii="Times New Roman" w:hAnsi="Times New Roman" w:cs="Times New Roman"/>
          <w:bCs/>
          <w:sz w:val="24"/>
          <w:szCs w:val="24"/>
          <w:lang w:val="ro-RO"/>
        </w:rPr>
        <w:t xml:space="preserve">tât comunitățile de energie din surse regenerabile cât și comunitățile de energie ale cetățenilor. </w:t>
      </w:r>
    </w:p>
    <w:p w14:paraId="21E3CB69" w14:textId="0BF997E2" w:rsidR="00954ABE" w:rsidRDefault="00954ABE" w:rsidP="003777C7">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Prezentul document stabilește, de asemenea, </w:t>
      </w:r>
      <w:r w:rsidRPr="00954ABE">
        <w:rPr>
          <w:rFonts w:ascii="Times New Roman" w:hAnsi="Times New Roman" w:cs="Times New Roman"/>
          <w:bCs/>
          <w:sz w:val="24"/>
          <w:szCs w:val="24"/>
          <w:lang w:val="ro-RO"/>
        </w:rPr>
        <w:t xml:space="preserve">condițiile utilizării capacităților de stocare aparținând unei comunități de energie și/sau cele aparținând membrilor acestora în vederea furnizării de servicii către operatorii de </w:t>
      </w:r>
      <w:r w:rsidR="002E7738">
        <w:rPr>
          <w:rFonts w:ascii="Times New Roman" w:hAnsi="Times New Roman" w:cs="Times New Roman"/>
          <w:bCs/>
          <w:sz w:val="24"/>
          <w:szCs w:val="24"/>
          <w:lang w:val="ro-RO"/>
        </w:rPr>
        <w:t>distribuție</w:t>
      </w:r>
      <w:r>
        <w:rPr>
          <w:rFonts w:ascii="Times New Roman" w:hAnsi="Times New Roman" w:cs="Times New Roman"/>
          <w:bCs/>
          <w:sz w:val="24"/>
          <w:szCs w:val="24"/>
          <w:lang w:val="ro-RO"/>
        </w:rPr>
        <w:t xml:space="preserve">. </w:t>
      </w:r>
    </w:p>
    <w:p w14:paraId="122AEE38" w14:textId="711240E6" w:rsidR="003777C7" w:rsidRPr="00954ABE" w:rsidRDefault="00954ABE" w:rsidP="00954ABE">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Regulile și condițiile stabilite </w:t>
      </w:r>
      <w:r w:rsidRPr="00954ABE">
        <w:rPr>
          <w:rFonts w:ascii="Times New Roman" w:hAnsi="Times New Roman" w:cs="Times New Roman"/>
          <w:bCs/>
          <w:sz w:val="24"/>
          <w:szCs w:val="24"/>
          <w:lang w:val="ro-RO"/>
        </w:rPr>
        <w:t xml:space="preserve">conform </w:t>
      </w:r>
      <w:r>
        <w:rPr>
          <w:rFonts w:ascii="Times New Roman" w:hAnsi="Times New Roman" w:cs="Times New Roman"/>
          <w:bCs/>
          <w:sz w:val="24"/>
          <w:szCs w:val="24"/>
          <w:lang w:val="ro-RO"/>
        </w:rPr>
        <w:t>prevederilor art. 1 și 2</w:t>
      </w:r>
      <w:r w:rsidR="003777C7" w:rsidRPr="00954ABE">
        <w:rPr>
          <w:rFonts w:ascii="Times New Roman" w:hAnsi="Times New Roman" w:cs="Times New Roman"/>
          <w:bCs/>
          <w:sz w:val="24"/>
          <w:szCs w:val="24"/>
          <w:lang w:val="ro-RO"/>
        </w:rPr>
        <w:t xml:space="preserve"> se aplică comunităților de energie </w:t>
      </w:r>
      <w:r w:rsidR="003A2383" w:rsidRPr="00954ABE">
        <w:rPr>
          <w:rFonts w:ascii="Times New Roman" w:hAnsi="Times New Roman" w:cs="Times New Roman"/>
          <w:bCs/>
          <w:sz w:val="24"/>
          <w:szCs w:val="24"/>
          <w:lang w:val="ro-RO"/>
        </w:rPr>
        <w:t xml:space="preserve">înregistrate în </w:t>
      </w:r>
      <w:r w:rsidR="003A2383" w:rsidRPr="00954ABE">
        <w:rPr>
          <w:rFonts w:ascii="Times New Roman" w:hAnsi="Times New Roman" w:cs="Times New Roman"/>
          <w:bCs/>
          <w:i/>
          <w:iCs/>
          <w:sz w:val="24"/>
          <w:szCs w:val="24"/>
          <w:lang w:val="ro-RO"/>
        </w:rPr>
        <w:t xml:space="preserve">Registrul </w:t>
      </w:r>
      <w:r w:rsidR="00214F5F" w:rsidRPr="00954ABE">
        <w:rPr>
          <w:rFonts w:ascii="Times New Roman" w:hAnsi="Times New Roman" w:cs="Times New Roman"/>
          <w:bCs/>
          <w:i/>
          <w:iCs/>
          <w:sz w:val="24"/>
          <w:szCs w:val="24"/>
          <w:lang w:val="ro-RO"/>
        </w:rPr>
        <w:t>național al comunităților de energie</w:t>
      </w:r>
      <w:r w:rsidR="001679CA" w:rsidRPr="00954ABE">
        <w:rPr>
          <w:rFonts w:ascii="Times New Roman" w:hAnsi="Times New Roman" w:cs="Times New Roman"/>
          <w:bCs/>
          <w:sz w:val="24"/>
          <w:szCs w:val="24"/>
          <w:lang w:val="ro-RO"/>
        </w:rPr>
        <w:t xml:space="preserve">, stabilit conform prevederilor reglementărilor ANRE, </w:t>
      </w:r>
      <w:r w:rsidR="003777C7" w:rsidRPr="00954ABE">
        <w:rPr>
          <w:rFonts w:ascii="Times New Roman" w:hAnsi="Times New Roman" w:cs="Times New Roman"/>
          <w:bCs/>
          <w:sz w:val="24"/>
          <w:szCs w:val="24"/>
          <w:lang w:val="ro-RO"/>
        </w:rPr>
        <w:t>care desfășoară activități de producere a energiei electrice.</w:t>
      </w:r>
    </w:p>
    <w:p w14:paraId="7318282B" w14:textId="14075ABA" w:rsidR="00BA229F" w:rsidRDefault="00BF1C53" w:rsidP="00BA229F">
      <w:pPr>
        <w:pStyle w:val="ListParagraph"/>
        <w:numPr>
          <w:ilvl w:val="0"/>
          <w:numId w:val="3"/>
        </w:numPr>
        <w:spacing w:after="0" w:line="276" w:lineRule="auto"/>
        <w:ind w:left="0" w:firstLine="0"/>
        <w:contextualSpacing w:val="0"/>
        <w:jc w:val="both"/>
        <w:rPr>
          <w:rFonts w:ascii="Times New Roman" w:hAnsi="Times New Roman" w:cs="Times New Roman"/>
          <w:bCs/>
          <w:sz w:val="24"/>
          <w:szCs w:val="24"/>
          <w:lang w:val="ro-RO"/>
        </w:rPr>
      </w:pPr>
      <w:r w:rsidRPr="00BF1C53">
        <w:rPr>
          <w:rFonts w:ascii="Times New Roman" w:hAnsi="Times New Roman" w:cs="Times New Roman"/>
          <w:bCs/>
          <w:sz w:val="24"/>
          <w:szCs w:val="24"/>
          <w:lang w:val="ro-RO"/>
        </w:rPr>
        <w:t xml:space="preserve">În înțelesul prezentului </w:t>
      </w:r>
      <w:r w:rsidR="00954ABE">
        <w:rPr>
          <w:rFonts w:ascii="Times New Roman" w:hAnsi="Times New Roman" w:cs="Times New Roman"/>
          <w:bCs/>
          <w:sz w:val="24"/>
          <w:szCs w:val="24"/>
          <w:lang w:val="ro-RO"/>
        </w:rPr>
        <w:t>document</w:t>
      </w:r>
      <w:r w:rsidRPr="00BF1C53">
        <w:rPr>
          <w:rFonts w:ascii="Times New Roman" w:hAnsi="Times New Roman" w:cs="Times New Roman"/>
          <w:bCs/>
          <w:sz w:val="24"/>
          <w:szCs w:val="24"/>
          <w:lang w:val="ro-RO"/>
        </w:rPr>
        <w:t>, abrevierile de mai jos au următoarele semnificații:</w:t>
      </w:r>
    </w:p>
    <w:p w14:paraId="331B3A12" w14:textId="0AEB9E03" w:rsidR="00BA229F" w:rsidRDefault="00BA229F" w:rsidP="00BF1C53">
      <w:pPr>
        <w:pStyle w:val="ListParagraph"/>
        <w:numPr>
          <w:ilvl w:val="0"/>
          <w:numId w:val="6"/>
        </w:numPr>
        <w:spacing w:after="0" w:line="276" w:lineRule="auto"/>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ANRE - </w:t>
      </w:r>
      <w:r w:rsidRPr="00BA229F">
        <w:rPr>
          <w:rFonts w:ascii="Times New Roman" w:hAnsi="Times New Roman" w:cs="Times New Roman"/>
          <w:bCs/>
          <w:sz w:val="24"/>
          <w:szCs w:val="24"/>
          <w:lang w:val="ro-RO"/>
        </w:rPr>
        <w:t>Autoritatea Națională de Reglementare în domeniul Energiei</w:t>
      </w:r>
    </w:p>
    <w:p w14:paraId="6789ABCF" w14:textId="58A40FD8" w:rsidR="00BA229F" w:rsidRDefault="00BF1C53" w:rsidP="00BF1C53">
      <w:pPr>
        <w:pStyle w:val="ListParagraph"/>
        <w:numPr>
          <w:ilvl w:val="0"/>
          <w:numId w:val="6"/>
        </w:numPr>
        <w:spacing w:after="0" w:line="276" w:lineRule="auto"/>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OR </w:t>
      </w:r>
      <w:r w:rsidR="00BA229F">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operatori de rețea (</w:t>
      </w:r>
      <w:r w:rsidR="00BA229F">
        <w:rPr>
          <w:rFonts w:ascii="Times New Roman" w:hAnsi="Times New Roman" w:cs="Times New Roman"/>
          <w:bCs/>
          <w:sz w:val="24"/>
          <w:szCs w:val="24"/>
          <w:lang w:val="ro-RO"/>
        </w:rPr>
        <w:t>operatorul de transport și de sistem, respectiv operatorii de distribuție</w:t>
      </w:r>
      <w:r>
        <w:rPr>
          <w:rFonts w:ascii="Times New Roman" w:hAnsi="Times New Roman" w:cs="Times New Roman"/>
          <w:bCs/>
          <w:sz w:val="24"/>
          <w:szCs w:val="24"/>
          <w:lang w:val="ro-RO"/>
        </w:rPr>
        <w:t>)</w:t>
      </w:r>
    </w:p>
    <w:p w14:paraId="595A1829" w14:textId="2900B427" w:rsidR="00BA229F" w:rsidRDefault="00BA229F" w:rsidP="00BF1C53">
      <w:pPr>
        <w:pStyle w:val="ListParagraph"/>
        <w:numPr>
          <w:ilvl w:val="0"/>
          <w:numId w:val="6"/>
        </w:numPr>
        <w:spacing w:after="0" w:line="276" w:lineRule="auto"/>
        <w:jc w:val="both"/>
        <w:rPr>
          <w:rFonts w:ascii="Times New Roman" w:hAnsi="Times New Roman" w:cs="Times New Roman"/>
          <w:bCs/>
          <w:sz w:val="24"/>
          <w:szCs w:val="24"/>
          <w:lang w:val="ro-RO"/>
        </w:rPr>
      </w:pPr>
      <w:r w:rsidRPr="00712323">
        <w:rPr>
          <w:rFonts w:ascii="Times New Roman" w:hAnsi="Times New Roman" w:cs="Times New Roman"/>
          <w:bCs/>
          <w:sz w:val="24"/>
          <w:szCs w:val="24"/>
          <w:lang w:val="ro-RO"/>
        </w:rPr>
        <w:t>Regulamentul (UE) 943/2019</w:t>
      </w:r>
      <w:r>
        <w:rPr>
          <w:rFonts w:ascii="Times New Roman" w:hAnsi="Times New Roman" w:cs="Times New Roman"/>
          <w:bCs/>
          <w:sz w:val="24"/>
          <w:szCs w:val="24"/>
          <w:lang w:val="ro-RO"/>
        </w:rPr>
        <w:t xml:space="preserve"> – </w:t>
      </w:r>
      <w:r w:rsidRPr="00712323">
        <w:rPr>
          <w:rFonts w:ascii="Times New Roman" w:hAnsi="Times New Roman" w:cs="Times New Roman"/>
          <w:bCs/>
          <w:sz w:val="24"/>
          <w:szCs w:val="24"/>
          <w:lang w:val="ro-RO"/>
        </w:rPr>
        <w:t>Regulamentul (UE) 943/2019</w:t>
      </w:r>
      <w:r>
        <w:rPr>
          <w:rFonts w:ascii="Times New Roman" w:hAnsi="Times New Roman" w:cs="Times New Roman"/>
          <w:bCs/>
          <w:sz w:val="24"/>
          <w:szCs w:val="24"/>
          <w:lang w:val="ro-RO"/>
        </w:rPr>
        <w:t xml:space="preserve"> </w:t>
      </w:r>
      <w:r w:rsidRPr="00BA229F">
        <w:rPr>
          <w:rFonts w:ascii="Times New Roman" w:hAnsi="Times New Roman" w:cs="Times New Roman"/>
          <w:bCs/>
          <w:sz w:val="24"/>
          <w:szCs w:val="24"/>
          <w:lang w:val="ro-RO"/>
        </w:rPr>
        <w:t>al Parlamentului European și al Consiliului</w:t>
      </w:r>
      <w:r>
        <w:rPr>
          <w:rFonts w:ascii="Times New Roman" w:hAnsi="Times New Roman" w:cs="Times New Roman"/>
          <w:bCs/>
          <w:sz w:val="24"/>
          <w:szCs w:val="24"/>
          <w:lang w:val="ro-RO"/>
        </w:rPr>
        <w:t xml:space="preserve"> </w:t>
      </w:r>
      <w:r w:rsidRPr="00BA229F">
        <w:rPr>
          <w:rFonts w:ascii="Times New Roman" w:hAnsi="Times New Roman" w:cs="Times New Roman"/>
          <w:bCs/>
          <w:sz w:val="24"/>
          <w:szCs w:val="24"/>
          <w:lang w:val="ro-RO"/>
        </w:rPr>
        <w:t>din 5 iunie 2019</w:t>
      </w:r>
      <w:r>
        <w:rPr>
          <w:rFonts w:ascii="Times New Roman" w:hAnsi="Times New Roman" w:cs="Times New Roman"/>
          <w:bCs/>
          <w:sz w:val="24"/>
          <w:szCs w:val="24"/>
          <w:lang w:val="ro-RO"/>
        </w:rPr>
        <w:t xml:space="preserve"> </w:t>
      </w:r>
      <w:r w:rsidRPr="00BA229F">
        <w:rPr>
          <w:rFonts w:ascii="Times New Roman" w:hAnsi="Times New Roman" w:cs="Times New Roman"/>
          <w:bCs/>
          <w:sz w:val="24"/>
          <w:szCs w:val="24"/>
          <w:lang w:val="ro-RO"/>
        </w:rPr>
        <w:t>privind piața internă de energie electrică</w:t>
      </w:r>
      <w:r>
        <w:rPr>
          <w:rFonts w:ascii="Times New Roman" w:hAnsi="Times New Roman" w:cs="Times New Roman"/>
          <w:bCs/>
          <w:sz w:val="24"/>
          <w:szCs w:val="24"/>
          <w:lang w:val="ro-RO"/>
        </w:rPr>
        <w:t xml:space="preserve"> </w:t>
      </w:r>
      <w:r w:rsidRPr="00BA229F">
        <w:rPr>
          <w:rFonts w:ascii="Times New Roman" w:hAnsi="Times New Roman" w:cs="Times New Roman"/>
          <w:bCs/>
          <w:sz w:val="24"/>
          <w:szCs w:val="24"/>
          <w:lang w:val="ro-RO"/>
        </w:rPr>
        <w:t>(reformare)</w:t>
      </w:r>
    </w:p>
    <w:p w14:paraId="35A601F9" w14:textId="24C1676A" w:rsidR="0095416A" w:rsidRDefault="0095416A" w:rsidP="00A87623">
      <w:pPr>
        <w:pStyle w:val="ListParagraph"/>
        <w:numPr>
          <w:ilvl w:val="0"/>
          <w:numId w:val="6"/>
        </w:numPr>
        <w:spacing w:after="120" w:line="276" w:lineRule="auto"/>
        <w:ind w:left="714" w:hanging="357"/>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OTS – operatorul de transport și de sistem</w:t>
      </w:r>
    </w:p>
    <w:p w14:paraId="26399898" w14:textId="71F4A588" w:rsidR="00A87623" w:rsidRPr="00A87623" w:rsidRDefault="00A87623" w:rsidP="00A87623">
      <w:pPr>
        <w:pStyle w:val="ListParagraph"/>
        <w:numPr>
          <w:ilvl w:val="0"/>
          <w:numId w:val="3"/>
        </w:numPr>
        <w:spacing w:after="0" w:line="276" w:lineRule="auto"/>
        <w:ind w:left="0" w:firstLine="0"/>
        <w:contextualSpacing w:val="0"/>
        <w:jc w:val="both"/>
        <w:rPr>
          <w:rFonts w:ascii="Times New Roman" w:hAnsi="Times New Roman" w:cs="Times New Roman"/>
          <w:bCs/>
          <w:sz w:val="24"/>
          <w:szCs w:val="24"/>
          <w:lang w:val="ro-RO"/>
        </w:rPr>
      </w:pPr>
      <w:r w:rsidRPr="00A87623">
        <w:rPr>
          <w:rFonts w:ascii="Times New Roman" w:hAnsi="Times New Roman" w:cs="Times New Roman"/>
          <w:bCs/>
          <w:sz w:val="24"/>
          <w:szCs w:val="24"/>
          <w:lang w:val="ro-RO"/>
        </w:rPr>
        <w:t xml:space="preserve">În </w:t>
      </w:r>
      <w:r w:rsidRPr="00A87623">
        <w:rPr>
          <w:rFonts w:ascii="Times New Roman" w:hAnsi="Times New Roman" w:cs="Times New Roman"/>
          <w:bCs/>
          <w:sz w:val="24"/>
          <w:szCs w:val="24"/>
          <w:lang w:val="ro-RO"/>
        </w:rPr>
        <w:t>înțelesul</w:t>
      </w:r>
      <w:r w:rsidRPr="00A87623">
        <w:rPr>
          <w:rFonts w:ascii="Times New Roman" w:hAnsi="Times New Roman" w:cs="Times New Roman"/>
          <w:bCs/>
          <w:sz w:val="24"/>
          <w:szCs w:val="24"/>
          <w:lang w:val="ro-RO"/>
        </w:rPr>
        <w:t xml:space="preserve"> prezentului regulament, termenii </w:t>
      </w:r>
      <w:r w:rsidRPr="00A87623">
        <w:rPr>
          <w:rFonts w:ascii="Times New Roman" w:hAnsi="Times New Roman" w:cs="Times New Roman"/>
          <w:bCs/>
          <w:sz w:val="24"/>
          <w:szCs w:val="24"/>
          <w:lang w:val="ro-RO"/>
        </w:rPr>
        <w:t>și</w:t>
      </w:r>
      <w:r w:rsidRPr="00A87623">
        <w:rPr>
          <w:rFonts w:ascii="Times New Roman" w:hAnsi="Times New Roman" w:cs="Times New Roman"/>
          <w:bCs/>
          <w:sz w:val="24"/>
          <w:szCs w:val="24"/>
          <w:lang w:val="ro-RO"/>
        </w:rPr>
        <w:t xml:space="preserve"> expresiile folosite au </w:t>
      </w:r>
      <w:r w:rsidRPr="00A87623">
        <w:rPr>
          <w:rFonts w:ascii="Times New Roman" w:hAnsi="Times New Roman" w:cs="Times New Roman"/>
          <w:bCs/>
          <w:sz w:val="24"/>
          <w:szCs w:val="24"/>
          <w:lang w:val="ro-RO"/>
        </w:rPr>
        <w:t>semnificațiile</w:t>
      </w:r>
      <w:r w:rsidRPr="00A87623">
        <w:rPr>
          <w:rFonts w:ascii="Times New Roman" w:hAnsi="Times New Roman" w:cs="Times New Roman"/>
          <w:bCs/>
          <w:sz w:val="24"/>
          <w:szCs w:val="24"/>
          <w:lang w:val="ro-RO"/>
        </w:rPr>
        <w:t xml:space="preserve"> definite în:</w:t>
      </w:r>
    </w:p>
    <w:p w14:paraId="0A9FD132" w14:textId="40A1BAEE" w:rsidR="00A87623" w:rsidRPr="00A87623" w:rsidRDefault="00A87623" w:rsidP="00A87623">
      <w:pPr>
        <w:pStyle w:val="NormalWeb"/>
        <w:numPr>
          <w:ilvl w:val="0"/>
          <w:numId w:val="7"/>
        </w:numPr>
        <w:jc w:val="both"/>
        <w:rPr>
          <w:lang w:val="pt-PT"/>
        </w:rPr>
      </w:pPr>
      <w:r w:rsidRPr="00A87623">
        <w:rPr>
          <w:rStyle w:val="slitbdy"/>
          <w:noProof/>
          <w:lang w:val="pt-PT"/>
        </w:rPr>
        <w:t xml:space="preserve">art. 2 din </w:t>
      </w:r>
      <w:hyperlink r:id="rId8" w:anchor="A0" w:tgtFrame="_blank" w:history="1">
        <w:r w:rsidRPr="00A87623">
          <w:rPr>
            <w:rStyle w:val="Hyperlink"/>
            <w:noProof/>
            <w:color w:val="auto"/>
            <w:u w:val="none"/>
            <w:lang w:val="pt-PT"/>
          </w:rPr>
          <w:t>Regulamentul (UE) 2019/943</w:t>
        </w:r>
      </w:hyperlink>
      <w:r w:rsidRPr="00A87623">
        <w:rPr>
          <w:rStyle w:val="slitbdy"/>
          <w:noProof/>
          <w:lang w:val="pt-PT"/>
        </w:rPr>
        <w:t xml:space="preserve"> al Parlamentului European şi al Consiliului din 5 iunie 2019 privind piaţa internă de energie electrică;</w:t>
      </w:r>
    </w:p>
    <w:p w14:paraId="302913B4" w14:textId="178D006C" w:rsidR="00A87623" w:rsidRPr="00A87623" w:rsidRDefault="00A87623" w:rsidP="00A87623">
      <w:pPr>
        <w:pStyle w:val="NormalWeb"/>
        <w:numPr>
          <w:ilvl w:val="0"/>
          <w:numId w:val="7"/>
        </w:numPr>
        <w:jc w:val="both"/>
        <w:rPr>
          <w:lang w:val="pt-PT"/>
        </w:rPr>
      </w:pPr>
      <w:r w:rsidRPr="00A87623">
        <w:rPr>
          <w:rStyle w:val="slitbdy"/>
          <w:noProof/>
          <w:lang w:val="pt-PT"/>
        </w:rPr>
        <w:t xml:space="preserve">art. 3 din </w:t>
      </w:r>
      <w:hyperlink r:id="rId9" w:anchor="A0" w:tgtFrame="_blank" w:history="1">
        <w:r w:rsidRPr="00A87623">
          <w:rPr>
            <w:rStyle w:val="Hyperlink"/>
            <w:noProof/>
            <w:color w:val="auto"/>
            <w:u w:val="none"/>
            <w:lang w:val="pt-PT"/>
          </w:rPr>
          <w:t>Regulamentul (UE) 2017/2.195</w:t>
        </w:r>
      </w:hyperlink>
      <w:r w:rsidRPr="00A87623">
        <w:rPr>
          <w:rStyle w:val="slitbdy"/>
          <w:noProof/>
          <w:lang w:val="pt-PT"/>
        </w:rPr>
        <w:t xml:space="preserve"> al Comisiei din 23 noiembrie 2017 de stabilire a unei linii directoare privind echilibrarea sistemului de energie electrică;</w:t>
      </w:r>
    </w:p>
    <w:p w14:paraId="36E8C45F" w14:textId="285B0B03" w:rsidR="00A87623" w:rsidRDefault="00A87623" w:rsidP="00A87623">
      <w:pPr>
        <w:pStyle w:val="NormalWeb"/>
        <w:numPr>
          <w:ilvl w:val="0"/>
          <w:numId w:val="7"/>
        </w:numPr>
        <w:jc w:val="both"/>
        <w:rPr>
          <w:rStyle w:val="slitbdy"/>
          <w:lang w:val="pt-PT"/>
        </w:rPr>
      </w:pPr>
      <w:hyperlink w:history="1">
        <w:r w:rsidRPr="00A87623">
          <w:rPr>
            <w:rStyle w:val="Hyperlink"/>
            <w:noProof/>
            <w:color w:val="auto"/>
            <w:u w:val="none"/>
            <w:lang w:val="pt-PT"/>
          </w:rPr>
          <w:t>art. 3 din Legea energiei electrice şi a gazelor naturale nr. 123/2012</w:t>
        </w:r>
      </w:hyperlink>
      <w:r w:rsidRPr="00A87623">
        <w:rPr>
          <w:rStyle w:val="slitbdy"/>
          <w:noProof/>
          <w:lang w:val="pt-PT"/>
        </w:rPr>
        <w:t>, cu modificările şi completările ulterioare;</w:t>
      </w:r>
    </w:p>
    <w:p w14:paraId="2DF04B9B" w14:textId="66CB0F95" w:rsidR="00A87623" w:rsidRPr="00A87623" w:rsidRDefault="00A87623" w:rsidP="00A87623">
      <w:pPr>
        <w:pStyle w:val="NormalWeb"/>
        <w:numPr>
          <w:ilvl w:val="0"/>
          <w:numId w:val="7"/>
        </w:numPr>
        <w:jc w:val="both"/>
        <w:rPr>
          <w:lang w:val="pt-PT"/>
        </w:rPr>
      </w:pPr>
      <w:r w:rsidRPr="00A87623">
        <w:rPr>
          <w:rStyle w:val="slitbdy"/>
          <w:noProof/>
          <w:lang w:val="pt-PT"/>
        </w:rPr>
        <w:t>Ordonanța de Urgență a Guvernului nr. 163 din 29 noiembrie 2022 pentru completarea cadrului legal de promovare a utilizării energiei din surse regenerabile,  precum și pentru modificarea și completarea unor acte normative, cu modificările și completările ulterioare.</w:t>
      </w:r>
    </w:p>
    <w:p w14:paraId="1B59B1D5" w14:textId="77777777" w:rsidR="00A87623" w:rsidRDefault="00A87623" w:rsidP="00A87623">
      <w:pPr>
        <w:pStyle w:val="ListParagraph"/>
        <w:spacing w:after="0" w:line="276" w:lineRule="auto"/>
        <w:ind w:left="0"/>
        <w:contextualSpacing w:val="0"/>
        <w:jc w:val="both"/>
        <w:rPr>
          <w:rFonts w:ascii="Times New Roman" w:hAnsi="Times New Roman" w:cs="Times New Roman"/>
          <w:bCs/>
          <w:sz w:val="24"/>
          <w:szCs w:val="24"/>
          <w:lang w:val="pt-PT"/>
        </w:rPr>
      </w:pPr>
    </w:p>
    <w:p w14:paraId="64770C5F" w14:textId="77777777" w:rsidR="00A87623" w:rsidRPr="00A87623" w:rsidRDefault="00A87623" w:rsidP="00A87623">
      <w:pPr>
        <w:pStyle w:val="ListParagraph"/>
        <w:spacing w:after="0" w:line="276" w:lineRule="auto"/>
        <w:ind w:left="0"/>
        <w:contextualSpacing w:val="0"/>
        <w:jc w:val="both"/>
        <w:rPr>
          <w:rFonts w:ascii="Times New Roman" w:hAnsi="Times New Roman" w:cs="Times New Roman"/>
          <w:bCs/>
          <w:sz w:val="24"/>
          <w:szCs w:val="24"/>
          <w:lang w:val="pt-PT"/>
        </w:rPr>
      </w:pPr>
    </w:p>
    <w:p w14:paraId="4C7BEB0C" w14:textId="4D793A28" w:rsidR="006F7A42" w:rsidRDefault="006F7A42" w:rsidP="006F7A42">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Capitolul </w:t>
      </w:r>
      <w:r w:rsidR="004D544B">
        <w:rPr>
          <w:rFonts w:ascii="Times New Roman" w:hAnsi="Times New Roman" w:cs="Times New Roman"/>
          <w:b/>
          <w:sz w:val="24"/>
          <w:szCs w:val="24"/>
          <w:lang w:val="ro-RO"/>
        </w:rPr>
        <w:t>2</w:t>
      </w:r>
      <w:r>
        <w:rPr>
          <w:rFonts w:ascii="Times New Roman" w:hAnsi="Times New Roman" w:cs="Times New Roman"/>
          <w:b/>
          <w:sz w:val="24"/>
          <w:szCs w:val="24"/>
          <w:lang w:val="ro-RO"/>
        </w:rPr>
        <w:t xml:space="preserve"> </w:t>
      </w:r>
      <w:r w:rsidRPr="00712323">
        <w:rPr>
          <w:rFonts w:ascii="Times New Roman" w:hAnsi="Times New Roman" w:cs="Times New Roman"/>
          <w:b/>
          <w:sz w:val="24"/>
          <w:szCs w:val="24"/>
          <w:lang w:val="ro-RO"/>
        </w:rPr>
        <w:t xml:space="preserve">Regulile privind </w:t>
      </w:r>
      <w:r w:rsidRPr="00926D05">
        <w:rPr>
          <w:rFonts w:ascii="Times New Roman" w:hAnsi="Times New Roman" w:cs="Times New Roman"/>
          <w:b/>
          <w:sz w:val="24"/>
          <w:szCs w:val="24"/>
          <w:lang w:val="ro-RO"/>
        </w:rPr>
        <w:t xml:space="preserve">participarea </w:t>
      </w:r>
      <w:r w:rsidR="002E7738" w:rsidRPr="004D544B">
        <w:rPr>
          <w:rFonts w:ascii="Times New Roman" w:hAnsi="Times New Roman" w:cs="Times New Roman"/>
          <w:b/>
          <w:sz w:val="24"/>
          <w:szCs w:val="24"/>
          <w:lang w:val="ro-RO"/>
        </w:rPr>
        <w:t>unei comunități de energie</w:t>
      </w:r>
      <w:r w:rsidR="002E7738" w:rsidRPr="00926D05">
        <w:rPr>
          <w:rFonts w:ascii="Times New Roman" w:hAnsi="Times New Roman" w:cs="Times New Roman"/>
          <w:b/>
          <w:sz w:val="24"/>
          <w:szCs w:val="24"/>
          <w:lang w:val="ro-RO"/>
        </w:rPr>
        <w:t xml:space="preserve"> </w:t>
      </w:r>
      <w:r w:rsidRPr="00926D05">
        <w:rPr>
          <w:rFonts w:ascii="Times New Roman" w:hAnsi="Times New Roman" w:cs="Times New Roman"/>
          <w:b/>
          <w:sz w:val="24"/>
          <w:szCs w:val="24"/>
          <w:lang w:val="ro-RO"/>
        </w:rPr>
        <w:t>la piețele angro de energie electrică</w:t>
      </w:r>
    </w:p>
    <w:p w14:paraId="48F5032D" w14:textId="77777777" w:rsidR="006F7A42" w:rsidRDefault="006F7A42" w:rsidP="006F7A42">
      <w:pPr>
        <w:spacing w:after="0" w:line="276" w:lineRule="auto"/>
        <w:jc w:val="center"/>
        <w:rPr>
          <w:rFonts w:ascii="Times New Roman" w:hAnsi="Times New Roman" w:cs="Times New Roman"/>
          <w:bCs/>
          <w:sz w:val="24"/>
          <w:szCs w:val="24"/>
          <w:lang w:val="ro-RO"/>
        </w:rPr>
      </w:pPr>
    </w:p>
    <w:p w14:paraId="15D22678" w14:textId="0D989AD2" w:rsidR="00BD0CD2" w:rsidRPr="00712323" w:rsidRDefault="002E7738" w:rsidP="003777C7">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O c</w:t>
      </w:r>
      <w:r w:rsidR="00BD0CD2" w:rsidRPr="00712323">
        <w:rPr>
          <w:rFonts w:ascii="Times New Roman" w:hAnsi="Times New Roman" w:cs="Times New Roman"/>
          <w:bCs/>
          <w:sz w:val="24"/>
          <w:szCs w:val="24"/>
          <w:lang w:val="ro-RO"/>
        </w:rPr>
        <w:t>omunit</w:t>
      </w:r>
      <w:r>
        <w:rPr>
          <w:rFonts w:ascii="Times New Roman" w:hAnsi="Times New Roman" w:cs="Times New Roman"/>
          <w:bCs/>
          <w:sz w:val="24"/>
          <w:szCs w:val="24"/>
          <w:lang w:val="ro-RO"/>
        </w:rPr>
        <w:t xml:space="preserve">ate </w:t>
      </w:r>
      <w:r w:rsidR="00BD0CD2" w:rsidRPr="00712323">
        <w:rPr>
          <w:rFonts w:ascii="Times New Roman" w:hAnsi="Times New Roman" w:cs="Times New Roman"/>
          <w:bCs/>
          <w:sz w:val="24"/>
          <w:szCs w:val="24"/>
          <w:lang w:val="ro-RO"/>
        </w:rPr>
        <w:t xml:space="preserve">de energie </w:t>
      </w:r>
      <w:r>
        <w:rPr>
          <w:rFonts w:ascii="Times New Roman" w:hAnsi="Times New Roman" w:cs="Times New Roman"/>
          <w:bCs/>
          <w:sz w:val="24"/>
          <w:szCs w:val="24"/>
          <w:lang w:val="ro-RO"/>
        </w:rPr>
        <w:t xml:space="preserve">este un </w:t>
      </w:r>
      <w:r w:rsidR="00BD0CD2" w:rsidRPr="00712323">
        <w:rPr>
          <w:rFonts w:ascii="Times New Roman" w:hAnsi="Times New Roman" w:cs="Times New Roman"/>
          <w:bCs/>
          <w:sz w:val="24"/>
          <w:szCs w:val="24"/>
          <w:lang w:val="ro-RO"/>
        </w:rPr>
        <w:t>participanți la piață în sensul prevederilor Regulamentului (UE) 943/2019</w:t>
      </w:r>
      <w:r w:rsidR="003A2383" w:rsidRPr="00712323">
        <w:rPr>
          <w:rFonts w:ascii="Times New Roman" w:hAnsi="Times New Roman" w:cs="Times New Roman"/>
          <w:bCs/>
          <w:sz w:val="24"/>
          <w:szCs w:val="24"/>
          <w:lang w:val="ro-RO"/>
        </w:rPr>
        <w:t xml:space="preserve"> și a</w:t>
      </w:r>
      <w:r>
        <w:rPr>
          <w:rFonts w:ascii="Times New Roman" w:hAnsi="Times New Roman" w:cs="Times New Roman"/>
          <w:bCs/>
          <w:sz w:val="24"/>
          <w:szCs w:val="24"/>
          <w:lang w:val="ro-RO"/>
        </w:rPr>
        <w:t>re</w:t>
      </w:r>
      <w:r w:rsidR="003A2383" w:rsidRPr="00712323">
        <w:rPr>
          <w:rFonts w:ascii="Times New Roman" w:hAnsi="Times New Roman" w:cs="Times New Roman"/>
          <w:bCs/>
          <w:sz w:val="24"/>
          <w:szCs w:val="24"/>
          <w:lang w:val="ro-RO"/>
        </w:rPr>
        <w:t xml:space="preserve"> dreptul să participe la oricare dintre piețele organizate de energie electrică sau la încheierea de contracte bilaterale în afara piețelor organizate, pe orice orizont de timp, inclusiv la piața de echilibrare</w:t>
      </w:r>
      <w:r w:rsidR="00473B92" w:rsidRPr="00712323">
        <w:rPr>
          <w:rFonts w:ascii="Times New Roman" w:hAnsi="Times New Roman" w:cs="Times New Roman"/>
          <w:bCs/>
          <w:sz w:val="24"/>
          <w:szCs w:val="24"/>
          <w:lang w:val="ro-RO"/>
        </w:rPr>
        <w:t xml:space="preserve">, cu respectarea cadrului de reglementare instituit pentru fiecare dintre </w:t>
      </w:r>
      <w:r w:rsidR="00214F5F" w:rsidRPr="00712323">
        <w:rPr>
          <w:rFonts w:ascii="Times New Roman" w:hAnsi="Times New Roman" w:cs="Times New Roman"/>
          <w:bCs/>
          <w:sz w:val="24"/>
          <w:szCs w:val="24"/>
          <w:lang w:val="ro-RO"/>
        </w:rPr>
        <w:t>respectivele piețe</w:t>
      </w:r>
      <w:r w:rsidR="0051208D" w:rsidRPr="00712323">
        <w:rPr>
          <w:rFonts w:ascii="Times New Roman" w:hAnsi="Times New Roman" w:cs="Times New Roman"/>
          <w:bCs/>
          <w:sz w:val="24"/>
          <w:szCs w:val="24"/>
          <w:lang w:val="ro-RO"/>
        </w:rPr>
        <w:t>.</w:t>
      </w:r>
    </w:p>
    <w:p w14:paraId="19F75F88" w14:textId="7A3C6B15" w:rsidR="0051208D" w:rsidRPr="00712323" w:rsidRDefault="00A26D17" w:rsidP="003777C7">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sidRPr="00712323">
        <w:rPr>
          <w:rFonts w:ascii="Times New Roman" w:hAnsi="Times New Roman" w:cs="Times New Roman"/>
          <w:bCs/>
          <w:sz w:val="24"/>
          <w:szCs w:val="24"/>
          <w:lang w:val="ro-RO"/>
        </w:rPr>
        <w:t xml:space="preserve">(1) </w:t>
      </w:r>
      <w:r w:rsidR="00473B92" w:rsidRPr="00712323">
        <w:rPr>
          <w:rFonts w:ascii="Times New Roman" w:hAnsi="Times New Roman" w:cs="Times New Roman"/>
          <w:bCs/>
          <w:sz w:val="24"/>
          <w:szCs w:val="24"/>
          <w:lang w:val="ro-RO"/>
        </w:rPr>
        <w:t>Pentru</w:t>
      </w:r>
      <w:r w:rsidR="002E7738">
        <w:rPr>
          <w:rFonts w:ascii="Times New Roman" w:hAnsi="Times New Roman" w:cs="Times New Roman"/>
          <w:bCs/>
          <w:sz w:val="24"/>
          <w:szCs w:val="24"/>
          <w:lang w:val="ro-RO"/>
        </w:rPr>
        <w:t xml:space="preserve"> a putea</w:t>
      </w:r>
      <w:r w:rsidR="00473B92" w:rsidRPr="00712323">
        <w:rPr>
          <w:rFonts w:ascii="Times New Roman" w:hAnsi="Times New Roman" w:cs="Times New Roman"/>
          <w:bCs/>
          <w:sz w:val="24"/>
          <w:szCs w:val="24"/>
          <w:lang w:val="ro-RO"/>
        </w:rPr>
        <w:t xml:space="preserve"> p</w:t>
      </w:r>
      <w:r w:rsidR="0051208D" w:rsidRPr="00712323">
        <w:rPr>
          <w:rFonts w:ascii="Times New Roman" w:hAnsi="Times New Roman" w:cs="Times New Roman"/>
          <w:bCs/>
          <w:sz w:val="24"/>
          <w:szCs w:val="24"/>
          <w:lang w:val="ro-RO"/>
        </w:rPr>
        <w:t>articipa</w:t>
      </w:r>
      <w:r w:rsidR="002E7738">
        <w:rPr>
          <w:rFonts w:ascii="Times New Roman" w:hAnsi="Times New Roman" w:cs="Times New Roman"/>
          <w:bCs/>
          <w:sz w:val="24"/>
          <w:szCs w:val="24"/>
          <w:lang w:val="ro-RO"/>
        </w:rPr>
        <w:t xml:space="preserve"> </w:t>
      </w:r>
      <w:r w:rsidR="002E7738" w:rsidRPr="00712323">
        <w:rPr>
          <w:rFonts w:ascii="Times New Roman" w:hAnsi="Times New Roman" w:cs="Times New Roman"/>
          <w:bCs/>
          <w:sz w:val="24"/>
          <w:szCs w:val="24"/>
          <w:lang w:val="ro-RO"/>
        </w:rPr>
        <w:t>la piețele angro de energie electrică</w:t>
      </w:r>
      <w:r w:rsidR="002E7738">
        <w:rPr>
          <w:rFonts w:ascii="Times New Roman" w:hAnsi="Times New Roman" w:cs="Times New Roman"/>
          <w:bCs/>
          <w:sz w:val="24"/>
          <w:szCs w:val="24"/>
          <w:lang w:val="ro-RO"/>
        </w:rPr>
        <w:t xml:space="preserve">, o </w:t>
      </w:r>
      <w:r w:rsidR="0051208D" w:rsidRPr="00712323">
        <w:rPr>
          <w:rFonts w:ascii="Times New Roman" w:hAnsi="Times New Roman" w:cs="Times New Roman"/>
          <w:bCs/>
          <w:sz w:val="24"/>
          <w:szCs w:val="24"/>
          <w:lang w:val="ro-RO"/>
        </w:rPr>
        <w:t>comunit</w:t>
      </w:r>
      <w:r w:rsidR="002E7738">
        <w:rPr>
          <w:rFonts w:ascii="Times New Roman" w:hAnsi="Times New Roman" w:cs="Times New Roman"/>
          <w:bCs/>
          <w:sz w:val="24"/>
          <w:szCs w:val="24"/>
          <w:lang w:val="ro-RO"/>
        </w:rPr>
        <w:t xml:space="preserve">ate </w:t>
      </w:r>
      <w:r w:rsidR="0051208D" w:rsidRPr="00712323">
        <w:rPr>
          <w:rFonts w:ascii="Times New Roman" w:hAnsi="Times New Roman" w:cs="Times New Roman"/>
          <w:bCs/>
          <w:sz w:val="24"/>
          <w:szCs w:val="24"/>
          <w:lang w:val="ro-RO"/>
        </w:rPr>
        <w:t>de energie</w:t>
      </w:r>
      <w:r w:rsidR="00214F5F" w:rsidRPr="00712323">
        <w:rPr>
          <w:rFonts w:ascii="Times New Roman" w:hAnsi="Times New Roman" w:cs="Times New Roman"/>
          <w:bCs/>
          <w:sz w:val="24"/>
          <w:szCs w:val="24"/>
          <w:lang w:val="ro-RO"/>
        </w:rPr>
        <w:t xml:space="preserve"> </w:t>
      </w:r>
      <w:r w:rsidR="00473B92" w:rsidRPr="00712323">
        <w:rPr>
          <w:rFonts w:ascii="Times New Roman" w:hAnsi="Times New Roman" w:cs="Times New Roman"/>
          <w:bCs/>
          <w:sz w:val="24"/>
          <w:szCs w:val="24"/>
          <w:lang w:val="ro-RO"/>
        </w:rPr>
        <w:t>trebuie să dețină licenț</w:t>
      </w:r>
      <w:r w:rsidR="002E7738">
        <w:rPr>
          <w:rFonts w:ascii="Times New Roman" w:hAnsi="Times New Roman" w:cs="Times New Roman"/>
          <w:bCs/>
          <w:sz w:val="24"/>
          <w:szCs w:val="24"/>
          <w:lang w:val="ro-RO"/>
        </w:rPr>
        <w:t>ă</w:t>
      </w:r>
      <w:r w:rsidR="00473B92" w:rsidRPr="00712323">
        <w:rPr>
          <w:rFonts w:ascii="Times New Roman" w:hAnsi="Times New Roman" w:cs="Times New Roman"/>
          <w:bCs/>
          <w:sz w:val="24"/>
          <w:szCs w:val="24"/>
          <w:lang w:val="ro-RO"/>
        </w:rPr>
        <w:t xml:space="preserve"> acordat</w:t>
      </w:r>
      <w:r w:rsidR="002E7738">
        <w:rPr>
          <w:rFonts w:ascii="Times New Roman" w:hAnsi="Times New Roman" w:cs="Times New Roman"/>
          <w:bCs/>
          <w:sz w:val="24"/>
          <w:szCs w:val="24"/>
          <w:lang w:val="ro-RO"/>
        </w:rPr>
        <w:t>ă</w:t>
      </w:r>
      <w:r w:rsidR="00473B92" w:rsidRPr="00712323">
        <w:rPr>
          <w:rFonts w:ascii="Times New Roman" w:hAnsi="Times New Roman" w:cs="Times New Roman"/>
          <w:bCs/>
          <w:sz w:val="24"/>
          <w:szCs w:val="24"/>
          <w:lang w:val="ro-RO"/>
        </w:rPr>
        <w:t xml:space="preserve"> de ANRE în </w:t>
      </w:r>
      <w:r w:rsidR="00214F5F" w:rsidRPr="00712323">
        <w:rPr>
          <w:rFonts w:ascii="Times New Roman" w:hAnsi="Times New Roman" w:cs="Times New Roman"/>
          <w:bCs/>
          <w:sz w:val="24"/>
          <w:szCs w:val="24"/>
          <w:lang w:val="ro-RO"/>
        </w:rPr>
        <w:t>conformitate</w:t>
      </w:r>
      <w:r w:rsidR="00473B92" w:rsidRPr="00712323">
        <w:rPr>
          <w:rFonts w:ascii="Times New Roman" w:hAnsi="Times New Roman" w:cs="Times New Roman"/>
          <w:bCs/>
          <w:sz w:val="24"/>
          <w:szCs w:val="24"/>
          <w:lang w:val="ro-RO"/>
        </w:rPr>
        <w:t xml:space="preserve"> cu prevederile legale </w:t>
      </w:r>
      <w:r w:rsidR="00214F5F" w:rsidRPr="00712323">
        <w:rPr>
          <w:rFonts w:ascii="Times New Roman" w:hAnsi="Times New Roman" w:cs="Times New Roman"/>
          <w:bCs/>
          <w:sz w:val="24"/>
          <w:szCs w:val="24"/>
          <w:lang w:val="ro-RO"/>
        </w:rPr>
        <w:t xml:space="preserve">în vigoare </w:t>
      </w:r>
      <w:r w:rsidR="00473B92" w:rsidRPr="00712323">
        <w:rPr>
          <w:rFonts w:ascii="Times New Roman" w:hAnsi="Times New Roman" w:cs="Times New Roman"/>
          <w:bCs/>
          <w:sz w:val="24"/>
          <w:szCs w:val="24"/>
          <w:lang w:val="ro-RO"/>
        </w:rPr>
        <w:t xml:space="preserve">și </w:t>
      </w:r>
      <w:r w:rsidR="00214F5F" w:rsidRPr="00712323">
        <w:rPr>
          <w:rFonts w:ascii="Times New Roman" w:hAnsi="Times New Roman" w:cs="Times New Roman"/>
          <w:bCs/>
          <w:sz w:val="24"/>
          <w:szCs w:val="24"/>
          <w:lang w:val="ro-RO"/>
        </w:rPr>
        <w:t>cu</w:t>
      </w:r>
      <w:r w:rsidR="00473B92" w:rsidRPr="00712323">
        <w:rPr>
          <w:rFonts w:ascii="Times New Roman" w:hAnsi="Times New Roman" w:cs="Times New Roman"/>
          <w:bCs/>
          <w:sz w:val="24"/>
          <w:szCs w:val="24"/>
          <w:lang w:val="ro-RO"/>
        </w:rPr>
        <w:t xml:space="preserve"> reglementăril</w:t>
      </w:r>
      <w:r w:rsidR="00214F5F" w:rsidRPr="00712323">
        <w:rPr>
          <w:rFonts w:ascii="Times New Roman" w:hAnsi="Times New Roman" w:cs="Times New Roman"/>
          <w:bCs/>
          <w:sz w:val="24"/>
          <w:szCs w:val="24"/>
          <w:lang w:val="ro-RO"/>
        </w:rPr>
        <w:t>e</w:t>
      </w:r>
      <w:r w:rsidR="00473B92" w:rsidRPr="00712323">
        <w:rPr>
          <w:rFonts w:ascii="Times New Roman" w:hAnsi="Times New Roman" w:cs="Times New Roman"/>
          <w:bCs/>
          <w:sz w:val="24"/>
          <w:szCs w:val="24"/>
          <w:lang w:val="ro-RO"/>
        </w:rPr>
        <w:t xml:space="preserve"> emise de ANRE. </w:t>
      </w:r>
      <w:r w:rsidR="002E7738">
        <w:rPr>
          <w:rFonts w:ascii="Times New Roman" w:hAnsi="Times New Roman" w:cs="Times New Roman"/>
          <w:bCs/>
          <w:sz w:val="24"/>
          <w:szCs w:val="24"/>
          <w:lang w:val="ro-RO"/>
        </w:rPr>
        <w:t xml:space="preserve">Aceasta are </w:t>
      </w:r>
      <w:r w:rsidR="002E7738" w:rsidRPr="00712323">
        <w:rPr>
          <w:rFonts w:ascii="Times New Roman" w:hAnsi="Times New Roman" w:cs="Times New Roman"/>
          <w:bCs/>
          <w:sz w:val="24"/>
          <w:szCs w:val="24"/>
          <w:lang w:val="ro-RO"/>
        </w:rPr>
        <w:t>obligația de a respecta condițiile asociate licențe</w:t>
      </w:r>
      <w:r w:rsidR="002E7738">
        <w:rPr>
          <w:rFonts w:ascii="Times New Roman" w:hAnsi="Times New Roman" w:cs="Times New Roman"/>
          <w:bCs/>
          <w:sz w:val="24"/>
          <w:szCs w:val="24"/>
          <w:lang w:val="ro-RO"/>
        </w:rPr>
        <w:t>i</w:t>
      </w:r>
      <w:r w:rsidR="002E7738" w:rsidRPr="00712323">
        <w:rPr>
          <w:rFonts w:ascii="Times New Roman" w:hAnsi="Times New Roman" w:cs="Times New Roman"/>
          <w:bCs/>
          <w:sz w:val="24"/>
          <w:szCs w:val="24"/>
          <w:lang w:val="ro-RO"/>
        </w:rPr>
        <w:t xml:space="preserve"> pe care </w:t>
      </w:r>
      <w:r w:rsidR="002E7738">
        <w:rPr>
          <w:rFonts w:ascii="Times New Roman" w:hAnsi="Times New Roman" w:cs="Times New Roman"/>
          <w:bCs/>
          <w:sz w:val="24"/>
          <w:szCs w:val="24"/>
          <w:lang w:val="ro-RO"/>
        </w:rPr>
        <w:t>o</w:t>
      </w:r>
      <w:r w:rsidR="002E7738" w:rsidRPr="00712323">
        <w:rPr>
          <w:rFonts w:ascii="Times New Roman" w:hAnsi="Times New Roman" w:cs="Times New Roman"/>
          <w:bCs/>
          <w:sz w:val="24"/>
          <w:szCs w:val="24"/>
          <w:lang w:val="ro-RO"/>
        </w:rPr>
        <w:t xml:space="preserve"> dețin</w:t>
      </w:r>
      <w:r w:rsidR="002E7738">
        <w:rPr>
          <w:rFonts w:ascii="Times New Roman" w:hAnsi="Times New Roman" w:cs="Times New Roman"/>
          <w:bCs/>
          <w:sz w:val="24"/>
          <w:szCs w:val="24"/>
          <w:lang w:val="ro-RO"/>
        </w:rPr>
        <w:t>e.</w:t>
      </w:r>
    </w:p>
    <w:p w14:paraId="6A584A80" w14:textId="6C69E22C" w:rsidR="00A26D17" w:rsidRPr="00712323" w:rsidRDefault="00A26D17" w:rsidP="00A26D17">
      <w:pPr>
        <w:pStyle w:val="ListParagraph"/>
        <w:spacing w:after="120" w:line="276" w:lineRule="auto"/>
        <w:ind w:left="0"/>
        <w:contextualSpacing w:val="0"/>
        <w:jc w:val="both"/>
        <w:rPr>
          <w:rFonts w:ascii="Times New Roman" w:hAnsi="Times New Roman" w:cs="Times New Roman"/>
          <w:bCs/>
          <w:sz w:val="24"/>
          <w:szCs w:val="24"/>
          <w:lang w:val="ro-RO"/>
        </w:rPr>
      </w:pPr>
      <w:r w:rsidRPr="00712323">
        <w:rPr>
          <w:rFonts w:ascii="Times New Roman" w:hAnsi="Times New Roman" w:cs="Times New Roman"/>
          <w:bCs/>
          <w:sz w:val="24"/>
          <w:szCs w:val="24"/>
          <w:lang w:val="ro-RO"/>
        </w:rPr>
        <w:t>(2)</w:t>
      </w:r>
      <w:r w:rsidR="002E7738">
        <w:rPr>
          <w:rFonts w:ascii="Times New Roman" w:hAnsi="Times New Roman" w:cs="Times New Roman"/>
          <w:bCs/>
          <w:sz w:val="24"/>
          <w:szCs w:val="24"/>
          <w:lang w:val="ro-RO"/>
        </w:rPr>
        <w:t xml:space="preserve"> În cazul în care o comunitate de </w:t>
      </w:r>
      <w:r w:rsidRPr="00712323">
        <w:rPr>
          <w:rFonts w:ascii="Times New Roman" w:hAnsi="Times New Roman" w:cs="Times New Roman"/>
          <w:bCs/>
          <w:sz w:val="24"/>
          <w:szCs w:val="24"/>
          <w:lang w:val="ro-RO"/>
        </w:rPr>
        <w:t xml:space="preserve">energie </w:t>
      </w:r>
      <w:r w:rsidR="002E7738">
        <w:rPr>
          <w:rFonts w:ascii="Times New Roman" w:hAnsi="Times New Roman" w:cs="Times New Roman"/>
          <w:bCs/>
          <w:sz w:val="24"/>
          <w:szCs w:val="24"/>
          <w:lang w:val="ro-RO"/>
        </w:rPr>
        <w:t xml:space="preserve">este scutită de la obligația deținerii unei licențe, aceasta </w:t>
      </w:r>
      <w:r w:rsidR="00D56D0F">
        <w:rPr>
          <w:rFonts w:ascii="Times New Roman" w:hAnsi="Times New Roman" w:cs="Times New Roman"/>
          <w:bCs/>
          <w:sz w:val="24"/>
          <w:szCs w:val="24"/>
          <w:lang w:val="ro-RO"/>
        </w:rPr>
        <w:t xml:space="preserve">poate participa la piețele angro de energie electrică în condițiile prevederilor art. 6 și </w:t>
      </w:r>
      <w:r w:rsidR="002E7738">
        <w:rPr>
          <w:rFonts w:ascii="Times New Roman" w:hAnsi="Times New Roman" w:cs="Times New Roman"/>
          <w:bCs/>
          <w:sz w:val="24"/>
          <w:szCs w:val="24"/>
          <w:lang w:val="ro-RO"/>
        </w:rPr>
        <w:t xml:space="preserve">trebuie să respecte prevederile </w:t>
      </w:r>
      <w:r w:rsidR="002E7738" w:rsidRPr="00712323">
        <w:rPr>
          <w:rFonts w:ascii="Times New Roman" w:hAnsi="Times New Roman" w:cs="Times New Roman"/>
          <w:bCs/>
          <w:sz w:val="24"/>
          <w:szCs w:val="24"/>
          <w:lang w:val="ro-RO"/>
        </w:rPr>
        <w:t>Regulamentul</w:t>
      </w:r>
      <w:r w:rsidR="002E7738">
        <w:rPr>
          <w:rFonts w:ascii="Times New Roman" w:hAnsi="Times New Roman" w:cs="Times New Roman"/>
          <w:bCs/>
          <w:sz w:val="24"/>
          <w:szCs w:val="24"/>
          <w:lang w:val="ro-RO"/>
        </w:rPr>
        <w:t>ui</w:t>
      </w:r>
      <w:r w:rsidR="002E7738" w:rsidRPr="00712323">
        <w:rPr>
          <w:rFonts w:ascii="Times New Roman" w:hAnsi="Times New Roman" w:cs="Times New Roman"/>
          <w:bCs/>
          <w:sz w:val="24"/>
          <w:szCs w:val="24"/>
          <w:lang w:val="ro-RO"/>
        </w:rPr>
        <w:t xml:space="preserve"> pentru acordarea licențelor și autorizațiilor în sectorul energiei electrice aprobat</w:t>
      </w:r>
      <w:r w:rsidRPr="00712323">
        <w:rPr>
          <w:rFonts w:ascii="Times New Roman" w:hAnsi="Times New Roman" w:cs="Times New Roman"/>
          <w:bCs/>
          <w:sz w:val="24"/>
          <w:szCs w:val="24"/>
          <w:lang w:val="ro-RO"/>
        </w:rPr>
        <w:t xml:space="preserve"> </w:t>
      </w:r>
      <w:r w:rsidR="002E7738">
        <w:rPr>
          <w:rFonts w:ascii="Times New Roman" w:hAnsi="Times New Roman" w:cs="Times New Roman"/>
          <w:bCs/>
          <w:sz w:val="24"/>
          <w:szCs w:val="24"/>
          <w:lang w:val="ro-RO"/>
        </w:rPr>
        <w:t xml:space="preserve">prin ordin al președintelui ANRE. </w:t>
      </w:r>
    </w:p>
    <w:p w14:paraId="54E9F9F7" w14:textId="16A6D8DC" w:rsidR="00473B92" w:rsidRPr="00712323" w:rsidRDefault="00473B92" w:rsidP="00473B92">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sidRPr="00712323">
        <w:rPr>
          <w:rFonts w:ascii="Times New Roman" w:hAnsi="Times New Roman" w:cs="Times New Roman"/>
          <w:bCs/>
          <w:sz w:val="24"/>
          <w:szCs w:val="24"/>
          <w:lang w:val="ro-RO"/>
        </w:rPr>
        <w:t xml:space="preserve">În calitate de participant la piață, comunitatea de energie are obligația de a-și asuma responsabilitatea </w:t>
      </w:r>
      <w:r w:rsidR="00214F5F" w:rsidRPr="00712323">
        <w:rPr>
          <w:rFonts w:ascii="Times New Roman" w:hAnsi="Times New Roman" w:cs="Times New Roman"/>
          <w:bCs/>
          <w:sz w:val="24"/>
          <w:szCs w:val="24"/>
          <w:lang w:val="ro-RO"/>
        </w:rPr>
        <w:t xml:space="preserve">financiară pentru plata dezechilibrelor pe care le generează pe piața de energie electrică prin înregistrarea ca parte responsabilă cu echilibrarea </w:t>
      </w:r>
      <w:r w:rsidRPr="00712323">
        <w:rPr>
          <w:rFonts w:ascii="Times New Roman" w:hAnsi="Times New Roman" w:cs="Times New Roman"/>
          <w:bCs/>
          <w:sz w:val="24"/>
          <w:szCs w:val="24"/>
          <w:lang w:val="ro-RO"/>
        </w:rPr>
        <w:t xml:space="preserve">sau </w:t>
      </w:r>
      <w:r w:rsidR="00214F5F" w:rsidRPr="00712323">
        <w:rPr>
          <w:rFonts w:ascii="Times New Roman" w:hAnsi="Times New Roman" w:cs="Times New Roman"/>
          <w:bCs/>
          <w:sz w:val="24"/>
          <w:szCs w:val="24"/>
          <w:lang w:val="ro-RO"/>
        </w:rPr>
        <w:t>poate să își transfere integral responsabilitatea echilibrării unei alte părți responsabile cu echilibrarea</w:t>
      </w:r>
      <w:r w:rsidRPr="00712323">
        <w:rPr>
          <w:rFonts w:ascii="Times New Roman" w:hAnsi="Times New Roman" w:cs="Times New Roman"/>
          <w:bCs/>
          <w:sz w:val="24"/>
          <w:szCs w:val="24"/>
          <w:lang w:val="ro-RO"/>
        </w:rPr>
        <w:t>, în acord cu reglementările în vigoare.</w:t>
      </w:r>
    </w:p>
    <w:p w14:paraId="0B2B92AA" w14:textId="78E12765" w:rsidR="008C0926" w:rsidRPr="00712323" w:rsidRDefault="002E7738" w:rsidP="003777C7">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O c</w:t>
      </w:r>
      <w:r w:rsidR="008C0926" w:rsidRPr="00712323">
        <w:rPr>
          <w:rFonts w:ascii="Times New Roman" w:hAnsi="Times New Roman" w:cs="Times New Roman"/>
          <w:bCs/>
          <w:sz w:val="24"/>
          <w:szCs w:val="24"/>
          <w:lang w:val="ro-RO"/>
        </w:rPr>
        <w:t>omunit</w:t>
      </w:r>
      <w:r>
        <w:rPr>
          <w:rFonts w:ascii="Times New Roman" w:hAnsi="Times New Roman" w:cs="Times New Roman"/>
          <w:bCs/>
          <w:sz w:val="24"/>
          <w:szCs w:val="24"/>
          <w:lang w:val="ro-RO"/>
        </w:rPr>
        <w:t xml:space="preserve">ate </w:t>
      </w:r>
      <w:r w:rsidR="008C0926" w:rsidRPr="00712323">
        <w:rPr>
          <w:rFonts w:ascii="Times New Roman" w:hAnsi="Times New Roman" w:cs="Times New Roman"/>
          <w:bCs/>
          <w:sz w:val="24"/>
          <w:szCs w:val="24"/>
          <w:lang w:val="ro-RO"/>
        </w:rPr>
        <w:t>de energie po</w:t>
      </w:r>
      <w:r>
        <w:rPr>
          <w:rFonts w:ascii="Times New Roman" w:hAnsi="Times New Roman" w:cs="Times New Roman"/>
          <w:bCs/>
          <w:sz w:val="24"/>
          <w:szCs w:val="24"/>
          <w:lang w:val="ro-RO"/>
        </w:rPr>
        <w:t>a</w:t>
      </w:r>
      <w:r w:rsidR="008C0926" w:rsidRPr="00712323">
        <w:rPr>
          <w:rFonts w:ascii="Times New Roman" w:hAnsi="Times New Roman" w:cs="Times New Roman"/>
          <w:bCs/>
          <w:sz w:val="24"/>
          <w:szCs w:val="24"/>
          <w:lang w:val="ro-RO"/>
        </w:rPr>
        <w:t>t</w:t>
      </w:r>
      <w:r>
        <w:rPr>
          <w:rFonts w:ascii="Times New Roman" w:hAnsi="Times New Roman" w:cs="Times New Roman"/>
          <w:bCs/>
          <w:sz w:val="24"/>
          <w:szCs w:val="24"/>
          <w:lang w:val="ro-RO"/>
        </w:rPr>
        <w:t>e</w:t>
      </w:r>
      <w:r w:rsidR="008C0926" w:rsidRPr="00712323">
        <w:rPr>
          <w:rFonts w:ascii="Times New Roman" w:hAnsi="Times New Roman" w:cs="Times New Roman"/>
          <w:bCs/>
          <w:sz w:val="24"/>
          <w:szCs w:val="24"/>
          <w:lang w:val="ro-RO"/>
        </w:rPr>
        <w:t xml:space="preserve"> participa la piețele angro de energie </w:t>
      </w:r>
      <w:r w:rsidR="00473B92" w:rsidRPr="00712323">
        <w:rPr>
          <w:rFonts w:ascii="Times New Roman" w:hAnsi="Times New Roman" w:cs="Times New Roman"/>
          <w:bCs/>
          <w:sz w:val="24"/>
          <w:szCs w:val="24"/>
          <w:lang w:val="ro-RO"/>
        </w:rPr>
        <w:t xml:space="preserve">electrică </w:t>
      </w:r>
      <w:r w:rsidR="008C0926" w:rsidRPr="00712323">
        <w:rPr>
          <w:rFonts w:ascii="Times New Roman" w:hAnsi="Times New Roman" w:cs="Times New Roman"/>
          <w:bCs/>
          <w:sz w:val="24"/>
          <w:szCs w:val="24"/>
          <w:lang w:val="ro-RO"/>
        </w:rPr>
        <w:t xml:space="preserve">direct sau prin intermediul unui </w:t>
      </w:r>
      <w:r w:rsidR="00473B92" w:rsidRPr="00712323">
        <w:rPr>
          <w:rFonts w:ascii="Times New Roman" w:hAnsi="Times New Roman" w:cs="Times New Roman"/>
          <w:bCs/>
          <w:sz w:val="24"/>
          <w:szCs w:val="24"/>
          <w:lang w:val="ro-RO"/>
        </w:rPr>
        <w:t>alt participant la piață cu care are încheiat un contract în acest scop</w:t>
      </w:r>
      <w:r w:rsidR="008C0926" w:rsidRPr="00712323">
        <w:rPr>
          <w:rFonts w:ascii="Times New Roman" w:hAnsi="Times New Roman" w:cs="Times New Roman"/>
          <w:bCs/>
          <w:sz w:val="24"/>
          <w:szCs w:val="24"/>
          <w:lang w:val="ro-RO"/>
        </w:rPr>
        <w:t>.</w:t>
      </w:r>
    </w:p>
    <w:p w14:paraId="1607477E" w14:textId="2AE93A31" w:rsidR="008C0926" w:rsidRDefault="00A87623" w:rsidP="00712323">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712323" w:rsidRPr="00712323">
        <w:rPr>
          <w:rFonts w:ascii="Times New Roman" w:hAnsi="Times New Roman" w:cs="Times New Roman"/>
          <w:bCs/>
          <w:sz w:val="24"/>
          <w:szCs w:val="24"/>
          <w:lang w:val="ro-RO"/>
        </w:rPr>
        <w:t xml:space="preserve">(1) </w:t>
      </w:r>
      <w:r w:rsidR="00A26D17" w:rsidRPr="00712323">
        <w:rPr>
          <w:rFonts w:ascii="Times New Roman" w:hAnsi="Times New Roman" w:cs="Times New Roman"/>
          <w:bCs/>
          <w:sz w:val="24"/>
          <w:szCs w:val="24"/>
          <w:lang w:val="ro-RO"/>
        </w:rPr>
        <w:t>În situația participării la pi</w:t>
      </w:r>
      <w:r w:rsidR="002E7738">
        <w:rPr>
          <w:rFonts w:ascii="Times New Roman" w:hAnsi="Times New Roman" w:cs="Times New Roman"/>
          <w:bCs/>
          <w:sz w:val="24"/>
          <w:szCs w:val="24"/>
          <w:lang w:val="ro-RO"/>
        </w:rPr>
        <w:t>e</w:t>
      </w:r>
      <w:r w:rsidR="00A26D17" w:rsidRPr="00712323">
        <w:rPr>
          <w:rFonts w:ascii="Times New Roman" w:hAnsi="Times New Roman" w:cs="Times New Roman"/>
          <w:bCs/>
          <w:sz w:val="24"/>
          <w:szCs w:val="24"/>
          <w:lang w:val="ro-RO"/>
        </w:rPr>
        <w:t>ț</w:t>
      </w:r>
      <w:r w:rsidR="002E7738">
        <w:rPr>
          <w:rFonts w:ascii="Times New Roman" w:hAnsi="Times New Roman" w:cs="Times New Roman"/>
          <w:bCs/>
          <w:sz w:val="24"/>
          <w:szCs w:val="24"/>
          <w:lang w:val="ro-RO"/>
        </w:rPr>
        <w:t>ele</w:t>
      </w:r>
      <w:r w:rsidR="00A26D17" w:rsidRPr="00712323">
        <w:rPr>
          <w:rFonts w:ascii="Times New Roman" w:hAnsi="Times New Roman" w:cs="Times New Roman"/>
          <w:bCs/>
          <w:sz w:val="24"/>
          <w:szCs w:val="24"/>
          <w:lang w:val="ro-RO"/>
        </w:rPr>
        <w:t xml:space="preserve"> angro</w:t>
      </w:r>
      <w:r w:rsidR="00214F5F" w:rsidRPr="00712323">
        <w:rPr>
          <w:rFonts w:ascii="Times New Roman" w:hAnsi="Times New Roman" w:cs="Times New Roman"/>
          <w:bCs/>
          <w:sz w:val="24"/>
          <w:szCs w:val="24"/>
          <w:lang w:val="ro-RO"/>
        </w:rPr>
        <w:t xml:space="preserve"> de energie electrică</w:t>
      </w:r>
      <w:r w:rsidR="00A26D17" w:rsidRPr="00712323">
        <w:rPr>
          <w:rFonts w:ascii="Times New Roman" w:hAnsi="Times New Roman" w:cs="Times New Roman"/>
          <w:bCs/>
          <w:sz w:val="24"/>
          <w:szCs w:val="24"/>
          <w:lang w:val="ro-RO"/>
        </w:rPr>
        <w:t>, comunit</w:t>
      </w:r>
      <w:r w:rsidR="002E7738">
        <w:rPr>
          <w:rFonts w:ascii="Times New Roman" w:hAnsi="Times New Roman" w:cs="Times New Roman"/>
          <w:bCs/>
          <w:sz w:val="24"/>
          <w:szCs w:val="24"/>
          <w:lang w:val="ro-RO"/>
        </w:rPr>
        <w:t xml:space="preserve">atea </w:t>
      </w:r>
      <w:r w:rsidR="00473B92" w:rsidRPr="00712323">
        <w:rPr>
          <w:rFonts w:ascii="Times New Roman" w:hAnsi="Times New Roman" w:cs="Times New Roman"/>
          <w:bCs/>
          <w:sz w:val="24"/>
          <w:szCs w:val="24"/>
          <w:lang w:val="ro-RO"/>
        </w:rPr>
        <w:t xml:space="preserve">de energie trebuie să </w:t>
      </w:r>
      <w:r w:rsidR="00A26D17" w:rsidRPr="00712323">
        <w:rPr>
          <w:rFonts w:ascii="Times New Roman" w:hAnsi="Times New Roman" w:cs="Times New Roman"/>
          <w:bCs/>
          <w:sz w:val="24"/>
          <w:szCs w:val="24"/>
          <w:lang w:val="ro-RO"/>
        </w:rPr>
        <w:t>r</w:t>
      </w:r>
      <w:r w:rsidR="00473B92" w:rsidRPr="00712323">
        <w:rPr>
          <w:rFonts w:ascii="Times New Roman" w:hAnsi="Times New Roman" w:cs="Times New Roman"/>
          <w:bCs/>
          <w:sz w:val="24"/>
          <w:szCs w:val="24"/>
          <w:lang w:val="ro-RO"/>
        </w:rPr>
        <w:t>especte</w:t>
      </w:r>
      <w:r w:rsidR="0043085C">
        <w:rPr>
          <w:rFonts w:ascii="Times New Roman" w:hAnsi="Times New Roman" w:cs="Times New Roman"/>
          <w:bCs/>
          <w:sz w:val="24"/>
          <w:szCs w:val="24"/>
          <w:lang w:val="ro-RO"/>
        </w:rPr>
        <w:t xml:space="preserve"> </w:t>
      </w:r>
      <w:r w:rsidR="00A26D17" w:rsidRPr="00712323">
        <w:rPr>
          <w:rFonts w:ascii="Times New Roman" w:hAnsi="Times New Roman" w:cs="Times New Roman"/>
          <w:bCs/>
          <w:sz w:val="24"/>
          <w:szCs w:val="24"/>
          <w:lang w:val="ro-RO"/>
        </w:rPr>
        <w:t>acte</w:t>
      </w:r>
      <w:r w:rsidR="006F7A42">
        <w:rPr>
          <w:rFonts w:ascii="Times New Roman" w:hAnsi="Times New Roman" w:cs="Times New Roman"/>
          <w:bCs/>
          <w:sz w:val="24"/>
          <w:szCs w:val="24"/>
          <w:lang w:val="ro-RO"/>
        </w:rPr>
        <w:t>le</w:t>
      </w:r>
      <w:r w:rsidR="00A26D17" w:rsidRPr="00712323">
        <w:rPr>
          <w:rFonts w:ascii="Times New Roman" w:hAnsi="Times New Roman" w:cs="Times New Roman"/>
          <w:bCs/>
          <w:sz w:val="24"/>
          <w:szCs w:val="24"/>
          <w:lang w:val="ro-RO"/>
        </w:rPr>
        <w:t xml:space="preserve"> normative</w:t>
      </w:r>
      <w:r w:rsidR="002E7738">
        <w:rPr>
          <w:rFonts w:ascii="Times New Roman" w:hAnsi="Times New Roman" w:cs="Times New Roman"/>
          <w:bCs/>
          <w:sz w:val="24"/>
          <w:szCs w:val="24"/>
          <w:lang w:val="ro-RO"/>
        </w:rPr>
        <w:t xml:space="preserve"> </w:t>
      </w:r>
      <w:r w:rsidR="006F7A42">
        <w:rPr>
          <w:rFonts w:ascii="Times New Roman" w:hAnsi="Times New Roman" w:cs="Times New Roman"/>
          <w:bCs/>
          <w:sz w:val="24"/>
          <w:szCs w:val="24"/>
          <w:lang w:val="ro-RO"/>
        </w:rPr>
        <w:t xml:space="preserve">prezentate în cadrul </w:t>
      </w:r>
      <w:r w:rsidR="002E7738">
        <w:rPr>
          <w:rFonts w:ascii="Times New Roman" w:hAnsi="Times New Roman" w:cs="Times New Roman"/>
          <w:bCs/>
          <w:sz w:val="24"/>
          <w:szCs w:val="24"/>
          <w:lang w:val="ro-RO"/>
        </w:rPr>
        <w:t xml:space="preserve">unei </w:t>
      </w:r>
      <w:r w:rsidR="006F7A42">
        <w:rPr>
          <w:rFonts w:ascii="Times New Roman" w:hAnsi="Times New Roman" w:cs="Times New Roman"/>
          <w:bCs/>
          <w:sz w:val="24"/>
          <w:szCs w:val="24"/>
          <w:lang w:val="ro-RO"/>
        </w:rPr>
        <w:t xml:space="preserve">liste </w:t>
      </w:r>
      <w:r w:rsidR="002E7738">
        <w:rPr>
          <w:rFonts w:ascii="Times New Roman" w:hAnsi="Times New Roman" w:cs="Times New Roman"/>
          <w:bCs/>
          <w:sz w:val="24"/>
          <w:szCs w:val="24"/>
          <w:lang w:val="ro-RO"/>
        </w:rPr>
        <w:t xml:space="preserve">publicată pe pagina de internet a ANRE. </w:t>
      </w:r>
      <w:r w:rsidR="006F7A42">
        <w:rPr>
          <w:rFonts w:ascii="Times New Roman" w:hAnsi="Times New Roman" w:cs="Times New Roman"/>
          <w:bCs/>
          <w:sz w:val="24"/>
          <w:szCs w:val="24"/>
          <w:lang w:val="ro-RO"/>
        </w:rPr>
        <w:t xml:space="preserve"> </w:t>
      </w:r>
    </w:p>
    <w:p w14:paraId="1B1A26D4" w14:textId="5ADFA428" w:rsidR="006F7A42" w:rsidRDefault="006F7A42" w:rsidP="006F7A42">
      <w:pPr>
        <w:pStyle w:val="ListParagraph"/>
        <w:spacing w:after="120" w:line="276" w:lineRule="auto"/>
        <w:ind w:left="0"/>
        <w:contextualSpacing w:val="0"/>
        <w:jc w:val="both"/>
        <w:rPr>
          <w:rFonts w:ascii="Times New Roman" w:hAnsi="Times New Roman" w:cs="Times New Roman"/>
          <w:bCs/>
          <w:sz w:val="24"/>
          <w:szCs w:val="24"/>
          <w:lang w:val="ro-RO"/>
        </w:rPr>
      </w:pPr>
      <w:r w:rsidRPr="006F7A42">
        <w:rPr>
          <w:rFonts w:ascii="Times New Roman" w:hAnsi="Times New Roman" w:cs="Times New Roman"/>
          <w:bCs/>
          <w:sz w:val="24"/>
          <w:szCs w:val="24"/>
          <w:lang w:val="ro-RO"/>
        </w:rPr>
        <w:t xml:space="preserve">(2) În cazul participării la piețele organizate de energie electrică, comunitățile de energie  trebuie să respecte </w:t>
      </w:r>
      <w:r>
        <w:rPr>
          <w:rFonts w:ascii="Times New Roman" w:hAnsi="Times New Roman" w:cs="Times New Roman"/>
          <w:bCs/>
          <w:sz w:val="24"/>
          <w:szCs w:val="24"/>
          <w:lang w:val="ro-RO"/>
        </w:rPr>
        <w:t xml:space="preserve">deopotrivă și </w:t>
      </w:r>
      <w:r w:rsidRPr="006F7A42">
        <w:rPr>
          <w:rFonts w:ascii="Times New Roman" w:hAnsi="Times New Roman" w:cs="Times New Roman"/>
          <w:bCs/>
          <w:sz w:val="24"/>
          <w:szCs w:val="24"/>
          <w:lang w:val="ro-RO"/>
        </w:rPr>
        <w:t>regulamentele, procedurile, convențiile etc. aferente piețelor respective</w:t>
      </w:r>
      <w:r w:rsidR="00BF1C53">
        <w:rPr>
          <w:rFonts w:ascii="Times New Roman" w:hAnsi="Times New Roman" w:cs="Times New Roman"/>
          <w:bCs/>
          <w:sz w:val="24"/>
          <w:szCs w:val="24"/>
          <w:lang w:val="ro-RO"/>
        </w:rPr>
        <w:t>.</w:t>
      </w:r>
    </w:p>
    <w:p w14:paraId="04091D50" w14:textId="77777777" w:rsidR="006F7A42" w:rsidRDefault="006F7A42" w:rsidP="006F7A42">
      <w:pPr>
        <w:pStyle w:val="ListParagraph"/>
        <w:spacing w:after="120" w:line="276" w:lineRule="auto"/>
        <w:ind w:left="0"/>
        <w:contextualSpacing w:val="0"/>
        <w:jc w:val="both"/>
        <w:rPr>
          <w:rFonts w:ascii="Times New Roman" w:hAnsi="Times New Roman" w:cs="Times New Roman"/>
          <w:bCs/>
          <w:sz w:val="24"/>
          <w:szCs w:val="24"/>
          <w:lang w:val="ro-RO"/>
        </w:rPr>
      </w:pPr>
    </w:p>
    <w:p w14:paraId="2A1839D8" w14:textId="77777777" w:rsidR="00A87623" w:rsidRDefault="00A87623" w:rsidP="006F7A42">
      <w:pPr>
        <w:pStyle w:val="ListParagraph"/>
        <w:spacing w:after="120" w:line="276" w:lineRule="auto"/>
        <w:ind w:left="0"/>
        <w:contextualSpacing w:val="0"/>
        <w:jc w:val="both"/>
        <w:rPr>
          <w:rFonts w:ascii="Times New Roman" w:hAnsi="Times New Roman" w:cs="Times New Roman"/>
          <w:bCs/>
          <w:sz w:val="24"/>
          <w:szCs w:val="24"/>
          <w:lang w:val="ro-RO"/>
        </w:rPr>
      </w:pPr>
    </w:p>
    <w:p w14:paraId="249F9C04" w14:textId="77777777" w:rsidR="00A87623" w:rsidRDefault="00A87623" w:rsidP="006F7A42">
      <w:pPr>
        <w:pStyle w:val="ListParagraph"/>
        <w:spacing w:after="120" w:line="276" w:lineRule="auto"/>
        <w:ind w:left="0"/>
        <w:contextualSpacing w:val="0"/>
        <w:jc w:val="both"/>
        <w:rPr>
          <w:rFonts w:ascii="Times New Roman" w:hAnsi="Times New Roman" w:cs="Times New Roman"/>
          <w:bCs/>
          <w:sz w:val="24"/>
          <w:szCs w:val="24"/>
          <w:lang w:val="ro-RO"/>
        </w:rPr>
      </w:pPr>
    </w:p>
    <w:p w14:paraId="7A310276" w14:textId="16F2396B" w:rsidR="00132613" w:rsidRDefault="00132613" w:rsidP="00132613">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Capitolul </w:t>
      </w:r>
      <w:r w:rsidR="004D544B">
        <w:rPr>
          <w:rFonts w:ascii="Times New Roman" w:hAnsi="Times New Roman" w:cs="Times New Roman"/>
          <w:b/>
          <w:sz w:val="24"/>
          <w:szCs w:val="24"/>
          <w:lang w:val="ro-RO"/>
        </w:rPr>
        <w:t>3</w:t>
      </w:r>
      <w:r>
        <w:rPr>
          <w:rFonts w:ascii="Times New Roman" w:hAnsi="Times New Roman" w:cs="Times New Roman"/>
          <w:b/>
          <w:sz w:val="24"/>
          <w:szCs w:val="24"/>
          <w:lang w:val="ro-RO"/>
        </w:rPr>
        <w:t xml:space="preserve"> </w:t>
      </w:r>
      <w:r w:rsidR="002E7738">
        <w:rPr>
          <w:rFonts w:ascii="Times New Roman" w:hAnsi="Times New Roman" w:cs="Times New Roman"/>
          <w:b/>
          <w:sz w:val="24"/>
          <w:szCs w:val="24"/>
          <w:lang w:val="ro-RO"/>
        </w:rPr>
        <w:t>C</w:t>
      </w:r>
      <w:r w:rsidR="002E7738" w:rsidRPr="004D544B">
        <w:rPr>
          <w:rFonts w:ascii="Times New Roman" w:hAnsi="Times New Roman" w:cs="Times New Roman"/>
          <w:b/>
          <w:sz w:val="24"/>
          <w:szCs w:val="24"/>
          <w:lang w:val="ro-RO"/>
        </w:rPr>
        <w:t>ondițiil</w:t>
      </w:r>
      <w:r w:rsidR="002E7738">
        <w:rPr>
          <w:rFonts w:ascii="Times New Roman" w:hAnsi="Times New Roman" w:cs="Times New Roman"/>
          <w:b/>
          <w:sz w:val="24"/>
          <w:szCs w:val="24"/>
          <w:lang w:val="ro-RO"/>
        </w:rPr>
        <w:t>e</w:t>
      </w:r>
      <w:r w:rsidR="002E7738" w:rsidRPr="004D544B">
        <w:rPr>
          <w:rFonts w:ascii="Times New Roman" w:hAnsi="Times New Roman" w:cs="Times New Roman"/>
          <w:b/>
          <w:sz w:val="24"/>
          <w:szCs w:val="24"/>
          <w:lang w:val="ro-RO"/>
        </w:rPr>
        <w:t xml:space="preserve"> utilizării capacităților de stocare aparținând unei comunități de energie și/sau cele aparținând membrilor acest</w:t>
      </w:r>
      <w:r w:rsidR="002E7738">
        <w:rPr>
          <w:rFonts w:ascii="Times New Roman" w:hAnsi="Times New Roman" w:cs="Times New Roman"/>
          <w:b/>
          <w:sz w:val="24"/>
          <w:szCs w:val="24"/>
          <w:lang w:val="ro-RO"/>
        </w:rPr>
        <w:t>eia</w:t>
      </w:r>
      <w:r w:rsidR="002E7738" w:rsidRPr="004D544B">
        <w:rPr>
          <w:rFonts w:ascii="Times New Roman" w:hAnsi="Times New Roman" w:cs="Times New Roman"/>
          <w:b/>
          <w:sz w:val="24"/>
          <w:szCs w:val="24"/>
          <w:lang w:val="ro-RO"/>
        </w:rPr>
        <w:t xml:space="preserve"> în vederea furnizării de servicii către operatorii de </w:t>
      </w:r>
      <w:r w:rsidR="00A87623">
        <w:rPr>
          <w:rFonts w:ascii="Times New Roman" w:hAnsi="Times New Roman" w:cs="Times New Roman"/>
          <w:b/>
          <w:sz w:val="24"/>
          <w:szCs w:val="24"/>
          <w:lang w:val="ro-RO"/>
        </w:rPr>
        <w:t>rețea</w:t>
      </w:r>
    </w:p>
    <w:p w14:paraId="1F8987F2" w14:textId="77777777" w:rsidR="00132613" w:rsidRDefault="00132613" w:rsidP="006F7A42">
      <w:pPr>
        <w:pStyle w:val="ListParagraph"/>
        <w:spacing w:after="120" w:line="276" w:lineRule="auto"/>
        <w:ind w:left="0"/>
        <w:contextualSpacing w:val="0"/>
        <w:jc w:val="both"/>
        <w:rPr>
          <w:rFonts w:ascii="Times New Roman" w:hAnsi="Times New Roman" w:cs="Times New Roman"/>
          <w:bCs/>
          <w:sz w:val="24"/>
          <w:szCs w:val="24"/>
          <w:lang w:val="ro-RO"/>
        </w:rPr>
      </w:pPr>
    </w:p>
    <w:p w14:paraId="616F4334" w14:textId="0BF878D9" w:rsidR="0095416A" w:rsidRDefault="004A6E31" w:rsidP="00132613">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B17D21">
        <w:rPr>
          <w:rFonts w:ascii="Times New Roman" w:hAnsi="Times New Roman" w:cs="Times New Roman"/>
          <w:bCs/>
          <w:sz w:val="24"/>
          <w:szCs w:val="24"/>
          <w:lang w:val="ro-RO"/>
        </w:rPr>
        <w:t>O c</w:t>
      </w:r>
      <w:r w:rsidR="0095416A">
        <w:rPr>
          <w:rFonts w:ascii="Times New Roman" w:hAnsi="Times New Roman" w:cs="Times New Roman"/>
          <w:bCs/>
          <w:sz w:val="24"/>
          <w:szCs w:val="24"/>
          <w:lang w:val="ro-RO"/>
        </w:rPr>
        <w:t>omunit</w:t>
      </w:r>
      <w:r w:rsidR="00B17D21">
        <w:rPr>
          <w:rFonts w:ascii="Times New Roman" w:hAnsi="Times New Roman" w:cs="Times New Roman"/>
          <w:bCs/>
          <w:sz w:val="24"/>
          <w:szCs w:val="24"/>
          <w:lang w:val="ro-RO"/>
        </w:rPr>
        <w:t>ate</w:t>
      </w:r>
      <w:r w:rsidR="0095416A">
        <w:rPr>
          <w:rFonts w:ascii="Times New Roman" w:hAnsi="Times New Roman" w:cs="Times New Roman"/>
          <w:bCs/>
          <w:sz w:val="24"/>
          <w:szCs w:val="24"/>
          <w:lang w:val="ro-RO"/>
        </w:rPr>
        <w:t xml:space="preserve"> de energie care </w:t>
      </w:r>
      <w:r w:rsidR="0095416A" w:rsidRPr="00E2345E">
        <w:rPr>
          <w:rFonts w:ascii="Times New Roman" w:hAnsi="Times New Roman" w:cs="Times New Roman"/>
          <w:bCs/>
          <w:sz w:val="24"/>
          <w:szCs w:val="24"/>
          <w:lang w:val="ro-RO"/>
        </w:rPr>
        <w:t>dețin</w:t>
      </w:r>
      <w:r w:rsidR="00B17D21">
        <w:rPr>
          <w:rFonts w:ascii="Times New Roman" w:hAnsi="Times New Roman" w:cs="Times New Roman"/>
          <w:bCs/>
          <w:sz w:val="24"/>
          <w:szCs w:val="24"/>
          <w:lang w:val="ro-RO"/>
        </w:rPr>
        <w:t>e</w:t>
      </w:r>
      <w:r w:rsidR="0095416A">
        <w:rPr>
          <w:rFonts w:ascii="Times New Roman" w:hAnsi="Times New Roman" w:cs="Times New Roman"/>
          <w:bCs/>
          <w:sz w:val="24"/>
          <w:szCs w:val="24"/>
          <w:lang w:val="ro-RO"/>
        </w:rPr>
        <w:t xml:space="preserve"> </w:t>
      </w:r>
      <w:r w:rsidR="0095416A" w:rsidRPr="00E2345E">
        <w:rPr>
          <w:rFonts w:ascii="Times New Roman" w:hAnsi="Times New Roman" w:cs="Times New Roman"/>
          <w:bCs/>
          <w:sz w:val="24"/>
          <w:szCs w:val="24"/>
          <w:lang w:val="ro-RO"/>
        </w:rPr>
        <w:t xml:space="preserve">una sau mai multe instalații de producere </w:t>
      </w:r>
      <w:r w:rsidR="0095416A">
        <w:rPr>
          <w:rFonts w:ascii="Times New Roman" w:hAnsi="Times New Roman" w:cs="Times New Roman"/>
          <w:bCs/>
          <w:sz w:val="24"/>
          <w:szCs w:val="24"/>
          <w:lang w:val="ro-RO"/>
        </w:rPr>
        <w:t xml:space="preserve">și </w:t>
      </w:r>
      <w:r w:rsidR="0095416A" w:rsidRPr="00E2345E">
        <w:rPr>
          <w:rFonts w:ascii="Times New Roman" w:hAnsi="Times New Roman" w:cs="Times New Roman"/>
          <w:bCs/>
          <w:sz w:val="24"/>
          <w:szCs w:val="24"/>
          <w:lang w:val="ro-RO"/>
        </w:rPr>
        <w:t xml:space="preserve">de stocare a energiei electrice </w:t>
      </w:r>
      <w:r w:rsidR="0095416A" w:rsidRPr="00926D05">
        <w:rPr>
          <w:rFonts w:ascii="Times New Roman" w:hAnsi="Times New Roman" w:cs="Times New Roman"/>
          <w:sz w:val="24"/>
          <w:szCs w:val="24"/>
          <w:lang w:val="ro-RO"/>
        </w:rPr>
        <w:t>în același amplasament</w:t>
      </w:r>
      <w:r w:rsidR="0095416A" w:rsidRPr="00E2345E">
        <w:rPr>
          <w:rFonts w:ascii="Times New Roman" w:hAnsi="Times New Roman" w:cs="Times New Roman"/>
          <w:bCs/>
          <w:sz w:val="24"/>
          <w:szCs w:val="24"/>
          <w:lang w:val="ro-RO"/>
        </w:rPr>
        <w:t xml:space="preserve"> sau instalații </w:t>
      </w:r>
      <w:r w:rsidR="0095416A">
        <w:rPr>
          <w:rFonts w:ascii="Times New Roman" w:hAnsi="Times New Roman" w:cs="Times New Roman"/>
          <w:bCs/>
          <w:sz w:val="24"/>
          <w:szCs w:val="24"/>
          <w:lang w:val="ro-RO"/>
        </w:rPr>
        <w:t>de</w:t>
      </w:r>
      <w:r w:rsidR="0095416A" w:rsidRPr="00E2345E">
        <w:rPr>
          <w:rFonts w:ascii="Times New Roman" w:hAnsi="Times New Roman" w:cs="Times New Roman"/>
          <w:bCs/>
          <w:sz w:val="24"/>
          <w:szCs w:val="24"/>
          <w:lang w:val="ro-RO"/>
        </w:rPr>
        <w:t xml:space="preserve"> stocare racordate </w:t>
      </w:r>
      <w:r w:rsidR="0095416A">
        <w:rPr>
          <w:rFonts w:ascii="Times New Roman" w:hAnsi="Times New Roman" w:cs="Times New Roman"/>
          <w:bCs/>
          <w:sz w:val="24"/>
          <w:szCs w:val="24"/>
          <w:lang w:val="ro-RO"/>
        </w:rPr>
        <w:t xml:space="preserve">individual </w:t>
      </w:r>
      <w:r w:rsidR="0095416A" w:rsidRPr="00E2345E">
        <w:rPr>
          <w:rFonts w:ascii="Times New Roman" w:hAnsi="Times New Roman" w:cs="Times New Roman"/>
          <w:bCs/>
          <w:sz w:val="24"/>
          <w:szCs w:val="24"/>
          <w:lang w:val="ro-RO"/>
        </w:rPr>
        <w:t>la rețeaua electrică</w:t>
      </w:r>
      <w:r w:rsidR="00B17D21">
        <w:rPr>
          <w:rFonts w:ascii="Times New Roman" w:hAnsi="Times New Roman" w:cs="Times New Roman"/>
          <w:bCs/>
          <w:sz w:val="24"/>
          <w:szCs w:val="24"/>
          <w:lang w:val="ro-RO"/>
        </w:rPr>
        <w:t xml:space="preserve">, respectiv membrii unei comunități de energie care </w:t>
      </w:r>
      <w:r w:rsidR="00B17D21" w:rsidRPr="00E2345E">
        <w:rPr>
          <w:rFonts w:ascii="Times New Roman" w:hAnsi="Times New Roman" w:cs="Times New Roman"/>
          <w:bCs/>
          <w:sz w:val="24"/>
          <w:szCs w:val="24"/>
          <w:lang w:val="ro-RO"/>
        </w:rPr>
        <w:t>dețin</w:t>
      </w:r>
      <w:r w:rsidR="00B17D21">
        <w:rPr>
          <w:rFonts w:ascii="Times New Roman" w:hAnsi="Times New Roman" w:cs="Times New Roman"/>
          <w:bCs/>
          <w:sz w:val="24"/>
          <w:szCs w:val="24"/>
          <w:lang w:val="ro-RO"/>
        </w:rPr>
        <w:t xml:space="preserve"> </w:t>
      </w:r>
      <w:r w:rsidR="00B17D21" w:rsidRPr="00E2345E">
        <w:rPr>
          <w:rFonts w:ascii="Times New Roman" w:hAnsi="Times New Roman" w:cs="Times New Roman"/>
          <w:bCs/>
          <w:sz w:val="24"/>
          <w:szCs w:val="24"/>
          <w:lang w:val="ro-RO"/>
        </w:rPr>
        <w:t xml:space="preserve">una sau mai multe instalații de producere </w:t>
      </w:r>
      <w:r w:rsidR="00B17D21">
        <w:rPr>
          <w:rFonts w:ascii="Times New Roman" w:hAnsi="Times New Roman" w:cs="Times New Roman"/>
          <w:bCs/>
          <w:sz w:val="24"/>
          <w:szCs w:val="24"/>
          <w:lang w:val="ro-RO"/>
        </w:rPr>
        <w:t xml:space="preserve">și </w:t>
      </w:r>
      <w:r w:rsidR="00B17D21" w:rsidRPr="00E2345E">
        <w:rPr>
          <w:rFonts w:ascii="Times New Roman" w:hAnsi="Times New Roman" w:cs="Times New Roman"/>
          <w:bCs/>
          <w:sz w:val="24"/>
          <w:szCs w:val="24"/>
          <w:lang w:val="ro-RO"/>
        </w:rPr>
        <w:t xml:space="preserve">de stocare a energiei electrice </w:t>
      </w:r>
      <w:r w:rsidR="00B17D21" w:rsidRPr="00926D05">
        <w:rPr>
          <w:rFonts w:ascii="Times New Roman" w:hAnsi="Times New Roman" w:cs="Times New Roman"/>
          <w:sz w:val="24"/>
          <w:szCs w:val="24"/>
          <w:lang w:val="ro-RO"/>
        </w:rPr>
        <w:t>în același amplasament</w:t>
      </w:r>
      <w:r w:rsidR="00B17D21" w:rsidRPr="00E2345E">
        <w:rPr>
          <w:rFonts w:ascii="Times New Roman" w:hAnsi="Times New Roman" w:cs="Times New Roman"/>
          <w:bCs/>
          <w:sz w:val="24"/>
          <w:szCs w:val="24"/>
          <w:lang w:val="ro-RO"/>
        </w:rPr>
        <w:t xml:space="preserve"> sau instalații </w:t>
      </w:r>
      <w:r w:rsidR="00B17D21">
        <w:rPr>
          <w:rFonts w:ascii="Times New Roman" w:hAnsi="Times New Roman" w:cs="Times New Roman"/>
          <w:bCs/>
          <w:sz w:val="24"/>
          <w:szCs w:val="24"/>
          <w:lang w:val="ro-RO"/>
        </w:rPr>
        <w:t>de</w:t>
      </w:r>
      <w:r w:rsidR="00B17D21" w:rsidRPr="00E2345E">
        <w:rPr>
          <w:rFonts w:ascii="Times New Roman" w:hAnsi="Times New Roman" w:cs="Times New Roman"/>
          <w:bCs/>
          <w:sz w:val="24"/>
          <w:szCs w:val="24"/>
          <w:lang w:val="ro-RO"/>
        </w:rPr>
        <w:t xml:space="preserve"> stocare racordate </w:t>
      </w:r>
      <w:r w:rsidR="00B17D21">
        <w:rPr>
          <w:rFonts w:ascii="Times New Roman" w:hAnsi="Times New Roman" w:cs="Times New Roman"/>
          <w:bCs/>
          <w:sz w:val="24"/>
          <w:szCs w:val="24"/>
          <w:lang w:val="ro-RO"/>
        </w:rPr>
        <w:t xml:space="preserve">individual </w:t>
      </w:r>
      <w:r w:rsidR="00B17D21" w:rsidRPr="00E2345E">
        <w:rPr>
          <w:rFonts w:ascii="Times New Roman" w:hAnsi="Times New Roman" w:cs="Times New Roman"/>
          <w:bCs/>
          <w:sz w:val="24"/>
          <w:szCs w:val="24"/>
          <w:lang w:val="ro-RO"/>
        </w:rPr>
        <w:t>la rețeaua electrică</w:t>
      </w:r>
      <w:r w:rsidR="00B17D21">
        <w:rPr>
          <w:rFonts w:ascii="Times New Roman" w:hAnsi="Times New Roman" w:cs="Times New Roman"/>
          <w:bCs/>
          <w:sz w:val="24"/>
          <w:szCs w:val="24"/>
          <w:lang w:val="ro-RO"/>
        </w:rPr>
        <w:t xml:space="preserve"> și care au acord</w:t>
      </w:r>
      <w:r w:rsidR="00983DBE">
        <w:rPr>
          <w:rFonts w:ascii="Times New Roman" w:hAnsi="Times New Roman" w:cs="Times New Roman"/>
          <w:bCs/>
          <w:sz w:val="24"/>
          <w:szCs w:val="24"/>
          <w:lang w:val="ro-RO"/>
        </w:rPr>
        <w:t xml:space="preserve">uri </w:t>
      </w:r>
      <w:r w:rsidR="00983DBE" w:rsidRPr="00BA229F">
        <w:rPr>
          <w:rFonts w:ascii="Times New Roman" w:eastAsia="Times New Roman" w:hAnsi="Times New Roman" w:cs="Times New Roman"/>
          <w:sz w:val="24"/>
          <w:szCs w:val="24"/>
          <w:lang w:val="ro-RO"/>
        </w:rPr>
        <w:t>contractuale interne</w:t>
      </w:r>
      <w:r w:rsidR="00B17D21">
        <w:rPr>
          <w:rFonts w:ascii="Times New Roman" w:hAnsi="Times New Roman" w:cs="Times New Roman"/>
          <w:bCs/>
          <w:sz w:val="24"/>
          <w:szCs w:val="24"/>
          <w:lang w:val="ro-RO"/>
        </w:rPr>
        <w:t xml:space="preserve"> încheiat</w:t>
      </w:r>
      <w:r w:rsidR="00983DBE">
        <w:rPr>
          <w:rFonts w:ascii="Times New Roman" w:hAnsi="Times New Roman" w:cs="Times New Roman"/>
          <w:bCs/>
          <w:sz w:val="24"/>
          <w:szCs w:val="24"/>
          <w:lang w:val="ro-RO"/>
        </w:rPr>
        <w:t>e</w:t>
      </w:r>
      <w:r w:rsidR="00B17D21">
        <w:rPr>
          <w:rFonts w:ascii="Times New Roman" w:hAnsi="Times New Roman" w:cs="Times New Roman"/>
          <w:bCs/>
          <w:sz w:val="24"/>
          <w:szCs w:val="24"/>
          <w:lang w:val="ro-RO"/>
        </w:rPr>
        <w:t xml:space="preserve"> cu </w:t>
      </w:r>
      <w:r w:rsidR="00983DBE">
        <w:rPr>
          <w:rFonts w:ascii="Times New Roman" w:hAnsi="Times New Roman" w:cs="Times New Roman"/>
          <w:bCs/>
          <w:sz w:val="24"/>
          <w:szCs w:val="24"/>
          <w:lang w:val="ro-RO"/>
        </w:rPr>
        <w:t>comunitatea</w:t>
      </w:r>
      <w:r w:rsidR="00B17D21">
        <w:rPr>
          <w:rFonts w:ascii="Times New Roman" w:hAnsi="Times New Roman" w:cs="Times New Roman"/>
          <w:bCs/>
          <w:sz w:val="24"/>
          <w:szCs w:val="24"/>
          <w:lang w:val="ro-RO"/>
        </w:rPr>
        <w:t xml:space="preserve"> </w:t>
      </w:r>
      <w:r w:rsidR="006D50AA">
        <w:rPr>
          <w:rFonts w:ascii="Times New Roman" w:hAnsi="Times New Roman" w:cs="Times New Roman"/>
          <w:bCs/>
          <w:sz w:val="24"/>
          <w:szCs w:val="24"/>
          <w:lang w:val="ro-RO"/>
        </w:rPr>
        <w:t xml:space="preserve">de energie din care fac parte </w:t>
      </w:r>
      <w:r w:rsidR="00983DBE">
        <w:rPr>
          <w:rFonts w:ascii="Times New Roman" w:hAnsi="Times New Roman" w:cs="Times New Roman"/>
          <w:bCs/>
          <w:sz w:val="24"/>
          <w:szCs w:val="24"/>
          <w:lang w:val="ro-RO"/>
        </w:rPr>
        <w:t>cu scopul ca respectivele capacități energetice să fie puse la dispoziția acesteia</w:t>
      </w:r>
      <w:r w:rsidR="00A87623">
        <w:rPr>
          <w:rFonts w:ascii="Times New Roman" w:hAnsi="Times New Roman" w:cs="Times New Roman"/>
          <w:bCs/>
          <w:sz w:val="24"/>
          <w:szCs w:val="24"/>
          <w:lang w:val="ro-RO"/>
        </w:rPr>
        <w:t>,</w:t>
      </w:r>
      <w:r w:rsidR="00983DBE">
        <w:rPr>
          <w:rFonts w:ascii="Times New Roman" w:hAnsi="Times New Roman" w:cs="Times New Roman"/>
          <w:bCs/>
          <w:sz w:val="24"/>
          <w:szCs w:val="24"/>
          <w:lang w:val="ro-RO"/>
        </w:rPr>
        <w:t xml:space="preserve"> </w:t>
      </w:r>
      <w:r w:rsidR="00B17D21">
        <w:rPr>
          <w:rFonts w:ascii="Times New Roman" w:hAnsi="Times New Roman" w:cs="Times New Roman"/>
          <w:bCs/>
          <w:sz w:val="24"/>
          <w:szCs w:val="24"/>
          <w:lang w:val="ro-RO"/>
        </w:rPr>
        <w:t xml:space="preserve">pot furniza servicii către operatorii de </w:t>
      </w:r>
      <w:r w:rsidR="00A87623">
        <w:rPr>
          <w:rFonts w:ascii="Times New Roman" w:hAnsi="Times New Roman" w:cs="Times New Roman"/>
          <w:bCs/>
          <w:sz w:val="24"/>
          <w:szCs w:val="24"/>
          <w:lang w:val="ro-RO"/>
        </w:rPr>
        <w:t>rețea</w:t>
      </w:r>
      <w:r w:rsidR="00983DBE">
        <w:rPr>
          <w:rFonts w:ascii="Times New Roman" w:hAnsi="Times New Roman" w:cs="Times New Roman"/>
          <w:bCs/>
          <w:sz w:val="24"/>
          <w:szCs w:val="24"/>
          <w:lang w:val="ro-RO"/>
        </w:rPr>
        <w:t xml:space="preserve"> </w:t>
      </w:r>
      <w:r w:rsidR="00983DBE">
        <w:rPr>
          <w:rFonts w:ascii="Times New Roman" w:hAnsi="Times New Roman" w:cs="Times New Roman"/>
          <w:bCs/>
          <w:sz w:val="24"/>
          <w:szCs w:val="24"/>
          <w:lang w:val="ro-RO"/>
        </w:rPr>
        <w:t xml:space="preserve">cu respectarea </w:t>
      </w:r>
      <w:r w:rsidR="00983DBE">
        <w:rPr>
          <w:rFonts w:ascii="Times New Roman" w:hAnsi="Times New Roman" w:cs="Times New Roman"/>
          <w:bCs/>
          <w:sz w:val="24"/>
          <w:szCs w:val="24"/>
          <w:lang w:val="ro-RO"/>
        </w:rPr>
        <w:t xml:space="preserve">tuturor </w:t>
      </w:r>
      <w:r w:rsidR="00983DBE">
        <w:rPr>
          <w:rFonts w:ascii="Times New Roman" w:hAnsi="Times New Roman" w:cs="Times New Roman"/>
          <w:bCs/>
          <w:sz w:val="24"/>
          <w:szCs w:val="24"/>
          <w:lang w:val="ro-RO"/>
        </w:rPr>
        <w:t>prevederilor legale și de reglementare</w:t>
      </w:r>
      <w:r w:rsidR="006D50AA">
        <w:rPr>
          <w:rFonts w:ascii="Times New Roman" w:hAnsi="Times New Roman" w:cs="Times New Roman"/>
          <w:bCs/>
          <w:sz w:val="24"/>
          <w:szCs w:val="24"/>
          <w:lang w:val="ro-RO"/>
        </w:rPr>
        <w:t xml:space="preserve"> în vigoare</w:t>
      </w:r>
      <w:r w:rsidR="0095416A">
        <w:rPr>
          <w:rFonts w:ascii="Times New Roman" w:hAnsi="Times New Roman" w:cs="Times New Roman"/>
          <w:bCs/>
          <w:sz w:val="24"/>
          <w:szCs w:val="24"/>
          <w:lang w:val="ro-RO"/>
        </w:rPr>
        <w:t>.</w:t>
      </w:r>
    </w:p>
    <w:p w14:paraId="665A8994" w14:textId="06C242D5" w:rsidR="0095416A" w:rsidRDefault="00983DBE" w:rsidP="00132613">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95416A">
        <w:rPr>
          <w:rFonts w:ascii="Times New Roman" w:eastAsia="Times New Roman" w:hAnsi="Times New Roman" w:cs="Times New Roman"/>
          <w:sz w:val="24"/>
          <w:szCs w:val="24"/>
          <w:lang w:val="ro-RO"/>
        </w:rPr>
        <w:t xml:space="preserve">Serviciile care pot fi furnizate de </w:t>
      </w:r>
      <w:r w:rsidR="004A6E31">
        <w:rPr>
          <w:rFonts w:ascii="Times New Roman" w:eastAsia="Times New Roman" w:hAnsi="Times New Roman" w:cs="Times New Roman"/>
          <w:sz w:val="24"/>
          <w:szCs w:val="24"/>
          <w:lang w:val="ro-RO"/>
        </w:rPr>
        <w:t xml:space="preserve">capacitățile energetice ale </w:t>
      </w:r>
      <w:r w:rsidR="0095416A">
        <w:rPr>
          <w:rFonts w:ascii="Times New Roman" w:eastAsia="Times New Roman" w:hAnsi="Times New Roman" w:cs="Times New Roman"/>
          <w:sz w:val="24"/>
          <w:szCs w:val="24"/>
          <w:lang w:val="ro-RO"/>
        </w:rPr>
        <w:t>comunitățil</w:t>
      </w:r>
      <w:r w:rsidR="004A6E31">
        <w:rPr>
          <w:rFonts w:ascii="Times New Roman" w:eastAsia="Times New Roman" w:hAnsi="Times New Roman" w:cs="Times New Roman"/>
          <w:sz w:val="24"/>
          <w:szCs w:val="24"/>
          <w:lang w:val="ro-RO"/>
        </w:rPr>
        <w:t>or</w:t>
      </w:r>
      <w:r w:rsidR="0095416A">
        <w:rPr>
          <w:rFonts w:ascii="Times New Roman" w:eastAsia="Times New Roman" w:hAnsi="Times New Roman" w:cs="Times New Roman"/>
          <w:sz w:val="24"/>
          <w:szCs w:val="24"/>
          <w:lang w:val="ro-RO"/>
        </w:rPr>
        <w:t xml:space="preserve"> de energie către operatorii de rețea pot include servicii de flexibilitate, servicii de </w:t>
      </w:r>
      <w:r>
        <w:rPr>
          <w:rFonts w:ascii="Times New Roman" w:eastAsia="Times New Roman" w:hAnsi="Times New Roman" w:cs="Times New Roman"/>
          <w:sz w:val="24"/>
          <w:szCs w:val="24"/>
          <w:lang w:val="ro-RO"/>
        </w:rPr>
        <w:t xml:space="preserve">sistem, respectiv servicii de sistem care nu au ca scop stabilitatea frecvenței, </w:t>
      </w:r>
      <w:r w:rsidR="00A87623">
        <w:rPr>
          <w:rFonts w:ascii="Times New Roman" w:eastAsia="Times New Roman" w:hAnsi="Times New Roman" w:cs="Times New Roman"/>
          <w:sz w:val="24"/>
          <w:szCs w:val="24"/>
          <w:lang w:val="ro-RO"/>
        </w:rPr>
        <w:t xml:space="preserve">servicii de stocare, </w:t>
      </w:r>
      <w:r w:rsidR="00A93FEA">
        <w:rPr>
          <w:rFonts w:ascii="Times New Roman" w:eastAsia="Times New Roman" w:hAnsi="Times New Roman" w:cs="Times New Roman"/>
          <w:sz w:val="24"/>
          <w:szCs w:val="24"/>
          <w:lang w:val="ro-RO"/>
        </w:rPr>
        <w:t>fiecare dintre acestea având reguli de aplicare instituite prin reglementări ANRE</w:t>
      </w:r>
      <w:r>
        <w:rPr>
          <w:rFonts w:ascii="Times New Roman" w:eastAsia="Times New Roman" w:hAnsi="Times New Roman" w:cs="Times New Roman"/>
          <w:sz w:val="24"/>
          <w:szCs w:val="24"/>
          <w:lang w:val="ro-RO"/>
        </w:rPr>
        <w:t xml:space="preserve"> specifice</w:t>
      </w:r>
      <w:r w:rsidR="0095416A">
        <w:rPr>
          <w:rFonts w:ascii="Times New Roman" w:eastAsia="Times New Roman" w:hAnsi="Times New Roman" w:cs="Times New Roman"/>
          <w:sz w:val="24"/>
          <w:szCs w:val="24"/>
          <w:lang w:val="ro-RO"/>
        </w:rPr>
        <w:t xml:space="preserve">. </w:t>
      </w:r>
    </w:p>
    <w:p w14:paraId="5E3416D2" w14:textId="5826F0FA" w:rsidR="0095416A" w:rsidRDefault="0095416A" w:rsidP="00132613">
      <w:pPr>
        <w:pStyle w:val="ListParagraph"/>
        <w:numPr>
          <w:ilvl w:val="0"/>
          <w:numId w:val="3"/>
        </w:numPr>
        <w:spacing w:after="120" w:line="276" w:lineRule="auto"/>
        <w:ind w:left="0" w:firstLine="0"/>
        <w:contextualSpacing w:val="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Pentru a furniza servicii către operatorii de </w:t>
      </w:r>
      <w:r w:rsidR="00A87623">
        <w:rPr>
          <w:rFonts w:ascii="Times New Roman" w:hAnsi="Times New Roman" w:cs="Times New Roman"/>
          <w:bCs/>
          <w:sz w:val="24"/>
          <w:szCs w:val="24"/>
          <w:lang w:val="ro-RO"/>
        </w:rPr>
        <w:t>rețea</w:t>
      </w:r>
      <w:r>
        <w:rPr>
          <w:rFonts w:ascii="Times New Roman" w:hAnsi="Times New Roman" w:cs="Times New Roman"/>
          <w:bCs/>
          <w:sz w:val="24"/>
          <w:szCs w:val="24"/>
          <w:lang w:val="ro-RO"/>
        </w:rPr>
        <w:t xml:space="preserve">, </w:t>
      </w:r>
      <w:r w:rsidR="004A6E31">
        <w:rPr>
          <w:rFonts w:ascii="Times New Roman" w:hAnsi="Times New Roman" w:cs="Times New Roman"/>
          <w:bCs/>
          <w:sz w:val="24"/>
          <w:szCs w:val="24"/>
          <w:lang w:val="ro-RO"/>
        </w:rPr>
        <w:t xml:space="preserve">capacitățile energetice aflate în proprietatea sau în custodia </w:t>
      </w:r>
      <w:r>
        <w:rPr>
          <w:rFonts w:ascii="Times New Roman" w:hAnsi="Times New Roman" w:cs="Times New Roman"/>
          <w:bCs/>
          <w:sz w:val="24"/>
          <w:szCs w:val="24"/>
          <w:lang w:val="ro-RO"/>
        </w:rPr>
        <w:t>comunitățil</w:t>
      </w:r>
      <w:r w:rsidR="004A6E31">
        <w:rPr>
          <w:rFonts w:ascii="Times New Roman" w:hAnsi="Times New Roman" w:cs="Times New Roman"/>
          <w:bCs/>
          <w:sz w:val="24"/>
          <w:szCs w:val="24"/>
          <w:lang w:val="ro-RO"/>
        </w:rPr>
        <w:t>or</w:t>
      </w:r>
      <w:r>
        <w:rPr>
          <w:rFonts w:ascii="Times New Roman" w:hAnsi="Times New Roman" w:cs="Times New Roman"/>
          <w:bCs/>
          <w:sz w:val="24"/>
          <w:szCs w:val="24"/>
          <w:lang w:val="ro-RO"/>
        </w:rPr>
        <w:t xml:space="preserve"> de energie trebuie să fie calificate tehnic de către OTS. </w:t>
      </w:r>
    </w:p>
    <w:sectPr w:rsidR="0095416A" w:rsidSect="004A6E31">
      <w:headerReference w:type="default" r:id="rId10"/>
      <w:footerReference w:type="default" r:id="rId11"/>
      <w:headerReference w:type="first" r:id="rId12"/>
      <w:footerReference w:type="first" r:id="rId13"/>
      <w:pgSz w:w="12240" w:h="15840"/>
      <w:pgMar w:top="1418" w:right="1440" w:bottom="993" w:left="1440" w:header="709" w:footer="2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8672" w14:textId="77777777" w:rsidR="00497CA7" w:rsidRDefault="00497CA7" w:rsidP="003B3071">
      <w:pPr>
        <w:spacing w:after="0" w:line="240" w:lineRule="auto"/>
      </w:pPr>
      <w:r>
        <w:separator/>
      </w:r>
    </w:p>
  </w:endnote>
  <w:endnote w:type="continuationSeparator" w:id="0">
    <w:p w14:paraId="0BD59B64" w14:textId="77777777" w:rsidR="00497CA7" w:rsidRDefault="00497CA7" w:rsidP="003B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060153"/>
      <w:docPartObj>
        <w:docPartGallery w:val="Page Numbers (Bottom of Page)"/>
        <w:docPartUnique/>
      </w:docPartObj>
    </w:sdtPr>
    <w:sdtEndPr>
      <w:rPr>
        <w:noProof/>
      </w:rPr>
    </w:sdtEndPr>
    <w:sdtContent>
      <w:p w14:paraId="2EA55CED" w14:textId="2F60693C" w:rsidR="003B3071" w:rsidRDefault="003B3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52684" w14:textId="77777777" w:rsidR="003B3071" w:rsidRDefault="003B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429585"/>
      <w:docPartObj>
        <w:docPartGallery w:val="Page Numbers (Bottom of Page)"/>
        <w:docPartUnique/>
      </w:docPartObj>
    </w:sdtPr>
    <w:sdtEndPr>
      <w:rPr>
        <w:noProof/>
      </w:rPr>
    </w:sdtEndPr>
    <w:sdtContent>
      <w:p w14:paraId="4CF7C3E8" w14:textId="3A2DF7BC" w:rsidR="003777C7" w:rsidRDefault="003777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F3BC4" w14:textId="77777777" w:rsidR="003777C7" w:rsidRDefault="0037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A596" w14:textId="77777777" w:rsidR="00497CA7" w:rsidRDefault="00497CA7" w:rsidP="003B3071">
      <w:pPr>
        <w:spacing w:after="0" w:line="240" w:lineRule="auto"/>
      </w:pPr>
      <w:r>
        <w:separator/>
      </w:r>
    </w:p>
  </w:footnote>
  <w:footnote w:type="continuationSeparator" w:id="0">
    <w:p w14:paraId="6583F182" w14:textId="77777777" w:rsidR="00497CA7" w:rsidRDefault="00497CA7" w:rsidP="003B3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17EA" w14:textId="5B2879A0" w:rsidR="003777C7" w:rsidRDefault="003777C7" w:rsidP="003777C7">
    <w:pPr>
      <w:pStyle w:val="Header"/>
      <w:tabs>
        <w:tab w:val="clear" w:pos="4680"/>
        <w:tab w:val="clear" w:pos="9360"/>
        <w:tab w:val="left" w:pos="86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828" w14:textId="22221293" w:rsidR="003777C7" w:rsidRPr="003777C7" w:rsidRDefault="003777C7" w:rsidP="00A93FEA">
    <w:pPr>
      <w:spacing w:after="0" w:line="360"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 xml:space="preserve">Anexa </w:t>
    </w:r>
    <w:r w:rsidR="000E2578">
      <w:rPr>
        <w:rFonts w:ascii="Times New Roman" w:hAnsi="Times New Roman" w:cs="Times New Roman"/>
        <w:b/>
        <w:sz w:val="24"/>
        <w:szCs w:val="24"/>
        <w:lang w:val="ro-RO"/>
      </w:rPr>
      <w:t>la ordin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9C6"/>
    <w:multiLevelType w:val="hybridMultilevel"/>
    <w:tmpl w:val="2F3A4D66"/>
    <w:lvl w:ilvl="0" w:tplc="FFFFFFFF">
      <w:start w:val="1"/>
      <w:numFmt w:val="lowerLetter"/>
      <w:lvlText w:val="%1)"/>
      <w:lvlJc w:val="left"/>
      <w:pPr>
        <w:ind w:left="720" w:hanging="360"/>
      </w:pPr>
      <w:rPr>
        <w:rFonts w:ascii="Times New Roman" w:hAnsi="Times New Roman" w:cs="Times New Roman" w:hint="default"/>
        <w:b w:val="0"/>
        <w:b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7350B"/>
    <w:multiLevelType w:val="hybridMultilevel"/>
    <w:tmpl w:val="2F3A4D66"/>
    <w:lvl w:ilvl="0" w:tplc="B09015C4">
      <w:start w:val="1"/>
      <w:numFmt w:val="lowerLetter"/>
      <w:lvlText w:val="%1)"/>
      <w:lvlJc w:val="left"/>
      <w:pPr>
        <w:ind w:left="720" w:hanging="360"/>
      </w:pPr>
      <w:rPr>
        <w:rFonts w:ascii="Times New Roman" w:hAnsi="Times New Roman" w:cs="Times New Roman"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F67DA"/>
    <w:multiLevelType w:val="hybridMultilevel"/>
    <w:tmpl w:val="D902A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D0D2E"/>
    <w:multiLevelType w:val="hybridMultilevel"/>
    <w:tmpl w:val="9A9003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108C6"/>
    <w:multiLevelType w:val="hybridMultilevel"/>
    <w:tmpl w:val="A81498B8"/>
    <w:lvl w:ilvl="0" w:tplc="F514A76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72106"/>
    <w:multiLevelType w:val="hybridMultilevel"/>
    <w:tmpl w:val="7FD82676"/>
    <w:lvl w:ilvl="0" w:tplc="11FE8346">
      <w:start w:val="1"/>
      <w:numFmt w:val="decimal"/>
      <w:lvlText w:val="Art. %1"/>
      <w:lvlJc w:val="left"/>
      <w:pPr>
        <w:ind w:left="720" w:hanging="360"/>
      </w:pPr>
      <w:rPr>
        <w:rFonts w:hint="default"/>
        <w:b/>
        <w:color w:val="auto"/>
        <w:sz w:val="24"/>
        <w:szCs w:val="24"/>
      </w:rPr>
    </w:lvl>
    <w:lvl w:ilvl="1" w:tplc="F514A7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B2B6C"/>
    <w:multiLevelType w:val="multilevel"/>
    <w:tmpl w:val="132E1E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87410">
    <w:abstractNumId w:val="6"/>
  </w:num>
  <w:num w:numId="2" w16cid:durableId="975645447">
    <w:abstractNumId w:val="1"/>
  </w:num>
  <w:num w:numId="3" w16cid:durableId="1386485836">
    <w:abstractNumId w:val="5"/>
  </w:num>
  <w:num w:numId="4" w16cid:durableId="399179986">
    <w:abstractNumId w:val="0"/>
  </w:num>
  <w:num w:numId="5" w16cid:durableId="1334605812">
    <w:abstractNumId w:val="2"/>
  </w:num>
  <w:num w:numId="6" w16cid:durableId="521210637">
    <w:abstractNumId w:val="3"/>
  </w:num>
  <w:num w:numId="7" w16cid:durableId="517423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6"/>
    <w:rsid w:val="00001FF9"/>
    <w:rsid w:val="000021A4"/>
    <w:rsid w:val="000068A8"/>
    <w:rsid w:val="0001061E"/>
    <w:rsid w:val="00011780"/>
    <w:rsid w:val="00017A83"/>
    <w:rsid w:val="00020BAA"/>
    <w:rsid w:val="000302E2"/>
    <w:rsid w:val="00043016"/>
    <w:rsid w:val="000619E4"/>
    <w:rsid w:val="000735FD"/>
    <w:rsid w:val="00073921"/>
    <w:rsid w:val="00077E8E"/>
    <w:rsid w:val="000871C1"/>
    <w:rsid w:val="00090133"/>
    <w:rsid w:val="00092873"/>
    <w:rsid w:val="00097772"/>
    <w:rsid w:val="000A02B7"/>
    <w:rsid w:val="000B68A1"/>
    <w:rsid w:val="000D07FE"/>
    <w:rsid w:val="000E2578"/>
    <w:rsid w:val="000F7F64"/>
    <w:rsid w:val="001004CA"/>
    <w:rsid w:val="00105268"/>
    <w:rsid w:val="00115438"/>
    <w:rsid w:val="00117E4C"/>
    <w:rsid w:val="001220BA"/>
    <w:rsid w:val="00122C61"/>
    <w:rsid w:val="00132613"/>
    <w:rsid w:val="001473A0"/>
    <w:rsid w:val="0015249F"/>
    <w:rsid w:val="001554FC"/>
    <w:rsid w:val="00163CE1"/>
    <w:rsid w:val="001679CA"/>
    <w:rsid w:val="00174751"/>
    <w:rsid w:val="00181802"/>
    <w:rsid w:val="00191388"/>
    <w:rsid w:val="00192DE5"/>
    <w:rsid w:val="0019552F"/>
    <w:rsid w:val="001A6C5C"/>
    <w:rsid w:val="001A6F64"/>
    <w:rsid w:val="001B44C3"/>
    <w:rsid w:val="001B4B36"/>
    <w:rsid w:val="001C3F15"/>
    <w:rsid w:val="001C7982"/>
    <w:rsid w:val="001D450C"/>
    <w:rsid w:val="001D5459"/>
    <w:rsid w:val="001E5AC8"/>
    <w:rsid w:val="001F17A5"/>
    <w:rsid w:val="001F2650"/>
    <w:rsid w:val="002127B2"/>
    <w:rsid w:val="00214F5F"/>
    <w:rsid w:val="002268E9"/>
    <w:rsid w:val="0024262E"/>
    <w:rsid w:val="00244FA7"/>
    <w:rsid w:val="00250FBB"/>
    <w:rsid w:val="00251CAE"/>
    <w:rsid w:val="00252A44"/>
    <w:rsid w:val="002635C9"/>
    <w:rsid w:val="002666E3"/>
    <w:rsid w:val="00270419"/>
    <w:rsid w:val="002807D2"/>
    <w:rsid w:val="00280A46"/>
    <w:rsid w:val="0029453C"/>
    <w:rsid w:val="00297DC0"/>
    <w:rsid w:val="002A3AA8"/>
    <w:rsid w:val="002B3274"/>
    <w:rsid w:val="002C5C20"/>
    <w:rsid w:val="002D31DE"/>
    <w:rsid w:val="002E564C"/>
    <w:rsid w:val="002E7738"/>
    <w:rsid w:val="002F3E40"/>
    <w:rsid w:val="002F5B4F"/>
    <w:rsid w:val="002F6024"/>
    <w:rsid w:val="00303772"/>
    <w:rsid w:val="003207D5"/>
    <w:rsid w:val="00322BB8"/>
    <w:rsid w:val="003247B6"/>
    <w:rsid w:val="00327F26"/>
    <w:rsid w:val="003423AF"/>
    <w:rsid w:val="003537B9"/>
    <w:rsid w:val="00361032"/>
    <w:rsid w:val="00373D18"/>
    <w:rsid w:val="003777C7"/>
    <w:rsid w:val="00381364"/>
    <w:rsid w:val="00394ADE"/>
    <w:rsid w:val="00394FFC"/>
    <w:rsid w:val="00396931"/>
    <w:rsid w:val="003A2383"/>
    <w:rsid w:val="003A4411"/>
    <w:rsid w:val="003A4C49"/>
    <w:rsid w:val="003A70D2"/>
    <w:rsid w:val="003B3071"/>
    <w:rsid w:val="003B5514"/>
    <w:rsid w:val="003B604F"/>
    <w:rsid w:val="003C0359"/>
    <w:rsid w:val="003D36F4"/>
    <w:rsid w:val="003D3EA4"/>
    <w:rsid w:val="003D4639"/>
    <w:rsid w:val="003D471B"/>
    <w:rsid w:val="003E021B"/>
    <w:rsid w:val="003F5CDD"/>
    <w:rsid w:val="00402E3C"/>
    <w:rsid w:val="00405EC7"/>
    <w:rsid w:val="00406CFE"/>
    <w:rsid w:val="004217C1"/>
    <w:rsid w:val="0043085C"/>
    <w:rsid w:val="00443B3F"/>
    <w:rsid w:val="004442D5"/>
    <w:rsid w:val="00452EC2"/>
    <w:rsid w:val="00456EB1"/>
    <w:rsid w:val="004602EC"/>
    <w:rsid w:val="00462BA7"/>
    <w:rsid w:val="00463012"/>
    <w:rsid w:val="0046521B"/>
    <w:rsid w:val="00473B92"/>
    <w:rsid w:val="00494A99"/>
    <w:rsid w:val="00494C66"/>
    <w:rsid w:val="00497CA7"/>
    <w:rsid w:val="004A268E"/>
    <w:rsid w:val="004A58C0"/>
    <w:rsid w:val="004A6E31"/>
    <w:rsid w:val="004A7340"/>
    <w:rsid w:val="004A77F8"/>
    <w:rsid w:val="004B4A64"/>
    <w:rsid w:val="004B7E7E"/>
    <w:rsid w:val="004C35BB"/>
    <w:rsid w:val="004D254D"/>
    <w:rsid w:val="004D544B"/>
    <w:rsid w:val="004E0ED3"/>
    <w:rsid w:val="004F7C6D"/>
    <w:rsid w:val="00500841"/>
    <w:rsid w:val="005101A5"/>
    <w:rsid w:val="0051208D"/>
    <w:rsid w:val="00513E08"/>
    <w:rsid w:val="00514B8E"/>
    <w:rsid w:val="00531B00"/>
    <w:rsid w:val="005327D1"/>
    <w:rsid w:val="00560283"/>
    <w:rsid w:val="00563090"/>
    <w:rsid w:val="00566C55"/>
    <w:rsid w:val="00573BA5"/>
    <w:rsid w:val="00573DAC"/>
    <w:rsid w:val="005872CD"/>
    <w:rsid w:val="00587386"/>
    <w:rsid w:val="005A3EE0"/>
    <w:rsid w:val="005A6866"/>
    <w:rsid w:val="005B2495"/>
    <w:rsid w:val="005C38DA"/>
    <w:rsid w:val="005C5A92"/>
    <w:rsid w:val="005D6C93"/>
    <w:rsid w:val="005E06C5"/>
    <w:rsid w:val="005E19F0"/>
    <w:rsid w:val="005E23DE"/>
    <w:rsid w:val="005E440A"/>
    <w:rsid w:val="005E4E31"/>
    <w:rsid w:val="005F3A39"/>
    <w:rsid w:val="0060349A"/>
    <w:rsid w:val="006139D6"/>
    <w:rsid w:val="00613E59"/>
    <w:rsid w:val="00614699"/>
    <w:rsid w:val="00620532"/>
    <w:rsid w:val="00621222"/>
    <w:rsid w:val="0062136E"/>
    <w:rsid w:val="00641979"/>
    <w:rsid w:val="006432C3"/>
    <w:rsid w:val="00643EE3"/>
    <w:rsid w:val="006444F5"/>
    <w:rsid w:val="00645D44"/>
    <w:rsid w:val="00654D1B"/>
    <w:rsid w:val="00670A80"/>
    <w:rsid w:val="00681B60"/>
    <w:rsid w:val="006904A1"/>
    <w:rsid w:val="00694AF2"/>
    <w:rsid w:val="00695DA2"/>
    <w:rsid w:val="006A12D1"/>
    <w:rsid w:val="006A6404"/>
    <w:rsid w:val="006B00E2"/>
    <w:rsid w:val="006B2DAF"/>
    <w:rsid w:val="006B3CFC"/>
    <w:rsid w:val="006C0A06"/>
    <w:rsid w:val="006C0A11"/>
    <w:rsid w:val="006D50AA"/>
    <w:rsid w:val="006E60FF"/>
    <w:rsid w:val="006E6E6C"/>
    <w:rsid w:val="006F3229"/>
    <w:rsid w:val="006F7A42"/>
    <w:rsid w:val="00712323"/>
    <w:rsid w:val="0072198C"/>
    <w:rsid w:val="00722DA6"/>
    <w:rsid w:val="007266A3"/>
    <w:rsid w:val="00741215"/>
    <w:rsid w:val="00745088"/>
    <w:rsid w:val="00751DB5"/>
    <w:rsid w:val="00757EE5"/>
    <w:rsid w:val="00762BBA"/>
    <w:rsid w:val="00763E3E"/>
    <w:rsid w:val="007812D3"/>
    <w:rsid w:val="007851DA"/>
    <w:rsid w:val="00787720"/>
    <w:rsid w:val="00796175"/>
    <w:rsid w:val="00796310"/>
    <w:rsid w:val="007B2B49"/>
    <w:rsid w:val="007B7784"/>
    <w:rsid w:val="007C2AF2"/>
    <w:rsid w:val="007D10C3"/>
    <w:rsid w:val="007D164C"/>
    <w:rsid w:val="007D5955"/>
    <w:rsid w:val="007D6160"/>
    <w:rsid w:val="007D7982"/>
    <w:rsid w:val="007E47D4"/>
    <w:rsid w:val="007E5C21"/>
    <w:rsid w:val="007E7287"/>
    <w:rsid w:val="007F2D87"/>
    <w:rsid w:val="007F4432"/>
    <w:rsid w:val="007F7759"/>
    <w:rsid w:val="008036F0"/>
    <w:rsid w:val="008045A2"/>
    <w:rsid w:val="008133A3"/>
    <w:rsid w:val="008159CE"/>
    <w:rsid w:val="00831E4A"/>
    <w:rsid w:val="008354DE"/>
    <w:rsid w:val="00844907"/>
    <w:rsid w:val="0085687F"/>
    <w:rsid w:val="008604F1"/>
    <w:rsid w:val="00866894"/>
    <w:rsid w:val="0087220E"/>
    <w:rsid w:val="00876B09"/>
    <w:rsid w:val="00884726"/>
    <w:rsid w:val="008A167A"/>
    <w:rsid w:val="008A2003"/>
    <w:rsid w:val="008B2340"/>
    <w:rsid w:val="008B2726"/>
    <w:rsid w:val="008B4351"/>
    <w:rsid w:val="008C0926"/>
    <w:rsid w:val="008C3B10"/>
    <w:rsid w:val="008E3366"/>
    <w:rsid w:val="008E5B70"/>
    <w:rsid w:val="008F1F29"/>
    <w:rsid w:val="00903EBB"/>
    <w:rsid w:val="00922313"/>
    <w:rsid w:val="0092352B"/>
    <w:rsid w:val="00926D05"/>
    <w:rsid w:val="0093423D"/>
    <w:rsid w:val="0094104C"/>
    <w:rsid w:val="0094311E"/>
    <w:rsid w:val="009455F8"/>
    <w:rsid w:val="0095416A"/>
    <w:rsid w:val="00954ABE"/>
    <w:rsid w:val="009552EA"/>
    <w:rsid w:val="00962DC4"/>
    <w:rsid w:val="009637FF"/>
    <w:rsid w:val="0098272E"/>
    <w:rsid w:val="00983DBE"/>
    <w:rsid w:val="00984114"/>
    <w:rsid w:val="009944F1"/>
    <w:rsid w:val="009A04F3"/>
    <w:rsid w:val="009A30D3"/>
    <w:rsid w:val="009A423F"/>
    <w:rsid w:val="009A7431"/>
    <w:rsid w:val="009B1181"/>
    <w:rsid w:val="009B1421"/>
    <w:rsid w:val="009C607A"/>
    <w:rsid w:val="009F662A"/>
    <w:rsid w:val="009F7A27"/>
    <w:rsid w:val="00A07E5D"/>
    <w:rsid w:val="00A17B4A"/>
    <w:rsid w:val="00A26A17"/>
    <w:rsid w:val="00A26D17"/>
    <w:rsid w:val="00A32CA5"/>
    <w:rsid w:val="00A37518"/>
    <w:rsid w:val="00A5209B"/>
    <w:rsid w:val="00A619AF"/>
    <w:rsid w:val="00A65543"/>
    <w:rsid w:val="00A664D0"/>
    <w:rsid w:val="00A73877"/>
    <w:rsid w:val="00A75EE1"/>
    <w:rsid w:val="00A87623"/>
    <w:rsid w:val="00A87C45"/>
    <w:rsid w:val="00A93FEA"/>
    <w:rsid w:val="00AA1AFB"/>
    <w:rsid w:val="00AB3F8E"/>
    <w:rsid w:val="00AB74CB"/>
    <w:rsid w:val="00AC1A54"/>
    <w:rsid w:val="00AC39E2"/>
    <w:rsid w:val="00AD3364"/>
    <w:rsid w:val="00AD4174"/>
    <w:rsid w:val="00AE224E"/>
    <w:rsid w:val="00AF27A3"/>
    <w:rsid w:val="00B1380C"/>
    <w:rsid w:val="00B140F4"/>
    <w:rsid w:val="00B14F98"/>
    <w:rsid w:val="00B15E6E"/>
    <w:rsid w:val="00B16770"/>
    <w:rsid w:val="00B17D21"/>
    <w:rsid w:val="00B22E15"/>
    <w:rsid w:val="00B31D61"/>
    <w:rsid w:val="00B508A4"/>
    <w:rsid w:val="00B559DA"/>
    <w:rsid w:val="00B62BCF"/>
    <w:rsid w:val="00B63514"/>
    <w:rsid w:val="00B707C3"/>
    <w:rsid w:val="00B713BC"/>
    <w:rsid w:val="00B715FB"/>
    <w:rsid w:val="00B74C7C"/>
    <w:rsid w:val="00B830DB"/>
    <w:rsid w:val="00B83EF5"/>
    <w:rsid w:val="00B86FAA"/>
    <w:rsid w:val="00B878C0"/>
    <w:rsid w:val="00B91AD8"/>
    <w:rsid w:val="00BA229F"/>
    <w:rsid w:val="00BB3A50"/>
    <w:rsid w:val="00BB7714"/>
    <w:rsid w:val="00BB79E2"/>
    <w:rsid w:val="00BD0CD2"/>
    <w:rsid w:val="00BE2012"/>
    <w:rsid w:val="00BF1C53"/>
    <w:rsid w:val="00C02F9F"/>
    <w:rsid w:val="00C1037E"/>
    <w:rsid w:val="00C14DC2"/>
    <w:rsid w:val="00C22B4F"/>
    <w:rsid w:val="00C2345F"/>
    <w:rsid w:val="00C33112"/>
    <w:rsid w:val="00C42158"/>
    <w:rsid w:val="00C43C34"/>
    <w:rsid w:val="00C56ADA"/>
    <w:rsid w:val="00C74B7E"/>
    <w:rsid w:val="00C86259"/>
    <w:rsid w:val="00C90E68"/>
    <w:rsid w:val="00C935FA"/>
    <w:rsid w:val="00C96500"/>
    <w:rsid w:val="00CA1E7D"/>
    <w:rsid w:val="00CB24A6"/>
    <w:rsid w:val="00CB2C58"/>
    <w:rsid w:val="00CC28FD"/>
    <w:rsid w:val="00CC6D00"/>
    <w:rsid w:val="00CD1328"/>
    <w:rsid w:val="00CD3B96"/>
    <w:rsid w:val="00CE10D7"/>
    <w:rsid w:val="00CE5695"/>
    <w:rsid w:val="00CF13F0"/>
    <w:rsid w:val="00D075D0"/>
    <w:rsid w:val="00D13E1E"/>
    <w:rsid w:val="00D22AAE"/>
    <w:rsid w:val="00D24134"/>
    <w:rsid w:val="00D255BA"/>
    <w:rsid w:val="00D30591"/>
    <w:rsid w:val="00D305D9"/>
    <w:rsid w:val="00D308E2"/>
    <w:rsid w:val="00D51842"/>
    <w:rsid w:val="00D52599"/>
    <w:rsid w:val="00D56D0F"/>
    <w:rsid w:val="00D62029"/>
    <w:rsid w:val="00D6429A"/>
    <w:rsid w:val="00D70911"/>
    <w:rsid w:val="00D77DE1"/>
    <w:rsid w:val="00D81C1B"/>
    <w:rsid w:val="00D84DA0"/>
    <w:rsid w:val="00D86009"/>
    <w:rsid w:val="00D94090"/>
    <w:rsid w:val="00D953C5"/>
    <w:rsid w:val="00DB3BF3"/>
    <w:rsid w:val="00DB3C15"/>
    <w:rsid w:val="00DB5959"/>
    <w:rsid w:val="00DC1287"/>
    <w:rsid w:val="00DC52E3"/>
    <w:rsid w:val="00DC668F"/>
    <w:rsid w:val="00DD2190"/>
    <w:rsid w:val="00DE1067"/>
    <w:rsid w:val="00DF222C"/>
    <w:rsid w:val="00E2345E"/>
    <w:rsid w:val="00E463B5"/>
    <w:rsid w:val="00E54F7F"/>
    <w:rsid w:val="00E57EF8"/>
    <w:rsid w:val="00E62E67"/>
    <w:rsid w:val="00E65490"/>
    <w:rsid w:val="00E81643"/>
    <w:rsid w:val="00E84256"/>
    <w:rsid w:val="00E84AA0"/>
    <w:rsid w:val="00E92B64"/>
    <w:rsid w:val="00E94F74"/>
    <w:rsid w:val="00EA4370"/>
    <w:rsid w:val="00EB01CF"/>
    <w:rsid w:val="00EC1DA9"/>
    <w:rsid w:val="00EC5D95"/>
    <w:rsid w:val="00ED061E"/>
    <w:rsid w:val="00ED3E54"/>
    <w:rsid w:val="00EE59E7"/>
    <w:rsid w:val="00EE60A9"/>
    <w:rsid w:val="00EF0654"/>
    <w:rsid w:val="00EF3CE3"/>
    <w:rsid w:val="00EF4C4B"/>
    <w:rsid w:val="00F145BE"/>
    <w:rsid w:val="00F219A7"/>
    <w:rsid w:val="00F22264"/>
    <w:rsid w:val="00F2460A"/>
    <w:rsid w:val="00F25E09"/>
    <w:rsid w:val="00F27B6A"/>
    <w:rsid w:val="00F315C5"/>
    <w:rsid w:val="00F44C6F"/>
    <w:rsid w:val="00F46F12"/>
    <w:rsid w:val="00F8502D"/>
    <w:rsid w:val="00F86527"/>
    <w:rsid w:val="00F9705E"/>
    <w:rsid w:val="00FA5131"/>
    <w:rsid w:val="00FA734D"/>
    <w:rsid w:val="00FB4F3C"/>
    <w:rsid w:val="00FB5C4F"/>
    <w:rsid w:val="00FB7E81"/>
    <w:rsid w:val="00FC0A97"/>
    <w:rsid w:val="00FD371D"/>
    <w:rsid w:val="00FE07A3"/>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60D99"/>
  <w15:chartTrackingRefBased/>
  <w15:docId w15:val="{FD9ED06C-5B61-41EC-B57B-41EA5244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49"/>
    <w:pPr>
      <w:ind w:left="720"/>
      <w:contextualSpacing/>
    </w:pPr>
  </w:style>
  <w:style w:type="character" w:styleId="CommentReference">
    <w:name w:val="annotation reference"/>
    <w:basedOn w:val="DefaultParagraphFont"/>
    <w:uiPriority w:val="99"/>
    <w:semiHidden/>
    <w:unhideWhenUsed/>
    <w:rsid w:val="008B4351"/>
    <w:rPr>
      <w:sz w:val="16"/>
      <w:szCs w:val="16"/>
    </w:rPr>
  </w:style>
  <w:style w:type="paragraph" w:styleId="CommentText">
    <w:name w:val="annotation text"/>
    <w:basedOn w:val="Normal"/>
    <w:link w:val="CommentTextChar"/>
    <w:uiPriority w:val="99"/>
    <w:unhideWhenUsed/>
    <w:rsid w:val="008B4351"/>
    <w:pPr>
      <w:spacing w:line="240" w:lineRule="auto"/>
    </w:pPr>
    <w:rPr>
      <w:sz w:val="20"/>
      <w:szCs w:val="20"/>
    </w:rPr>
  </w:style>
  <w:style w:type="character" w:customStyle="1" w:styleId="CommentTextChar">
    <w:name w:val="Comment Text Char"/>
    <w:basedOn w:val="DefaultParagraphFont"/>
    <w:link w:val="CommentText"/>
    <w:uiPriority w:val="99"/>
    <w:rsid w:val="008B4351"/>
    <w:rPr>
      <w:sz w:val="20"/>
      <w:szCs w:val="20"/>
    </w:rPr>
  </w:style>
  <w:style w:type="paragraph" w:styleId="CommentSubject">
    <w:name w:val="annotation subject"/>
    <w:basedOn w:val="CommentText"/>
    <w:next w:val="CommentText"/>
    <w:link w:val="CommentSubjectChar"/>
    <w:uiPriority w:val="99"/>
    <w:semiHidden/>
    <w:unhideWhenUsed/>
    <w:rsid w:val="008B4351"/>
    <w:rPr>
      <w:b/>
      <w:bCs/>
    </w:rPr>
  </w:style>
  <w:style w:type="character" w:customStyle="1" w:styleId="CommentSubjectChar">
    <w:name w:val="Comment Subject Char"/>
    <w:basedOn w:val="CommentTextChar"/>
    <w:link w:val="CommentSubject"/>
    <w:uiPriority w:val="99"/>
    <w:semiHidden/>
    <w:rsid w:val="008B4351"/>
    <w:rPr>
      <w:b/>
      <w:bCs/>
      <w:sz w:val="20"/>
      <w:szCs w:val="20"/>
    </w:rPr>
  </w:style>
  <w:style w:type="paragraph" w:styleId="Revision">
    <w:name w:val="Revision"/>
    <w:hidden/>
    <w:uiPriority w:val="99"/>
    <w:semiHidden/>
    <w:rsid w:val="008B4351"/>
    <w:pPr>
      <w:spacing w:after="0" w:line="240" w:lineRule="auto"/>
    </w:pPr>
  </w:style>
  <w:style w:type="paragraph" w:styleId="BalloonText">
    <w:name w:val="Balloon Text"/>
    <w:basedOn w:val="Normal"/>
    <w:link w:val="BalloonTextChar"/>
    <w:uiPriority w:val="99"/>
    <w:semiHidden/>
    <w:unhideWhenUsed/>
    <w:rsid w:val="008B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51"/>
    <w:rPr>
      <w:rFonts w:ascii="Segoe UI" w:hAnsi="Segoe UI" w:cs="Segoe UI"/>
      <w:sz w:val="18"/>
      <w:szCs w:val="18"/>
    </w:rPr>
  </w:style>
  <w:style w:type="paragraph" w:styleId="Header">
    <w:name w:val="header"/>
    <w:basedOn w:val="Normal"/>
    <w:link w:val="HeaderChar"/>
    <w:uiPriority w:val="99"/>
    <w:unhideWhenUsed/>
    <w:rsid w:val="003B3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71"/>
  </w:style>
  <w:style w:type="paragraph" w:styleId="Footer">
    <w:name w:val="footer"/>
    <w:basedOn w:val="Normal"/>
    <w:link w:val="FooterChar"/>
    <w:uiPriority w:val="99"/>
    <w:unhideWhenUsed/>
    <w:rsid w:val="003B3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71"/>
  </w:style>
  <w:style w:type="paragraph" w:customStyle="1" w:styleId="rvps1">
    <w:name w:val="rvps1"/>
    <w:basedOn w:val="Normal"/>
    <w:uiPriority w:val="99"/>
    <w:semiHidden/>
    <w:rsid w:val="00E94F74"/>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1364"/>
    <w:rPr>
      <w:rFonts w:ascii="Times New Roman" w:hAnsi="Times New Roman" w:cs="Times New Roman"/>
      <w:sz w:val="24"/>
      <w:szCs w:val="24"/>
    </w:rPr>
  </w:style>
  <w:style w:type="character" w:customStyle="1" w:styleId="rvts11">
    <w:name w:val="rvts11"/>
    <w:rsid w:val="00494A99"/>
    <w:rPr>
      <w:b/>
      <w:bCs/>
    </w:rPr>
  </w:style>
  <w:style w:type="character" w:styleId="Hyperlink">
    <w:name w:val="Hyperlink"/>
    <w:basedOn w:val="DefaultParagraphFont"/>
    <w:uiPriority w:val="99"/>
    <w:unhideWhenUsed/>
    <w:rsid w:val="00494A99"/>
    <w:rPr>
      <w:color w:val="0563C1" w:themeColor="hyperlink"/>
      <w:u w:val="single"/>
    </w:rPr>
  </w:style>
  <w:style w:type="character" w:styleId="UnresolvedMention">
    <w:name w:val="Unresolved Mention"/>
    <w:basedOn w:val="DefaultParagraphFont"/>
    <w:uiPriority w:val="99"/>
    <w:semiHidden/>
    <w:unhideWhenUsed/>
    <w:rsid w:val="00494A99"/>
    <w:rPr>
      <w:color w:val="605E5C"/>
      <w:shd w:val="clear" w:color="auto" w:fill="E1DFDD"/>
    </w:rPr>
  </w:style>
  <w:style w:type="character" w:customStyle="1" w:styleId="slitttl">
    <w:name w:val="s_lit_ttl"/>
    <w:basedOn w:val="DefaultParagraphFont"/>
    <w:rsid w:val="00A87623"/>
  </w:style>
  <w:style w:type="character" w:customStyle="1" w:styleId="slitbdy">
    <w:name w:val="s_lit_bdy"/>
    <w:basedOn w:val="DefaultParagraphFont"/>
    <w:rsid w:val="00A8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urolegis/ro/index/act/6946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eurolegis/ro/index/act/599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9698-F71B-42AD-AEB7-1E3287A3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3</Pages>
  <Words>1043</Words>
  <Characters>5946</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Viviana BITOIU</cp:lastModifiedBy>
  <cp:revision>24</cp:revision>
  <cp:lastPrinted>2026-02-06T08:12:00Z</cp:lastPrinted>
  <dcterms:created xsi:type="dcterms:W3CDTF">2026-02-05T14:06:00Z</dcterms:created>
  <dcterms:modified xsi:type="dcterms:W3CDTF">2026-02-11T12:32:00Z</dcterms:modified>
</cp:coreProperties>
</file>