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2B36" w14:textId="3DED8749" w:rsidR="0002616F" w:rsidRDefault="0002616F" w:rsidP="0002616F">
      <w:pPr>
        <w:spacing w:after="0"/>
        <w:jc w:val="right"/>
        <w:rPr>
          <w:lang w:val="ro-RO"/>
        </w:rPr>
      </w:pPr>
      <w:r>
        <w:rPr>
          <w:lang w:val="ro-RO"/>
        </w:rPr>
        <w:t>ANEXA</w:t>
      </w:r>
    </w:p>
    <w:p w14:paraId="78FFE534" w14:textId="77777777" w:rsidR="0002616F" w:rsidRDefault="0002616F" w:rsidP="0031538A">
      <w:pPr>
        <w:spacing w:after="0"/>
        <w:jc w:val="center"/>
        <w:rPr>
          <w:lang w:val="ro-RO"/>
        </w:rPr>
      </w:pPr>
    </w:p>
    <w:p w14:paraId="5E76CFC9" w14:textId="3EDE80CC" w:rsidR="0031538A" w:rsidRPr="008A7E58" w:rsidRDefault="0031538A" w:rsidP="0031538A">
      <w:pPr>
        <w:spacing w:after="0"/>
        <w:jc w:val="center"/>
        <w:rPr>
          <w:lang w:val="ro-RO"/>
        </w:rPr>
      </w:pPr>
      <w:r w:rsidRPr="008A7E58">
        <w:rPr>
          <w:lang w:val="ro-RO"/>
        </w:rPr>
        <w:t>Metodologia de realizare a unei analize transparente a costurilor şi beneficiilor surselor de energie distribuite în vederea determinării costurilor totale ale sistemului de distribuţie aplicabile partajării energiei regenerabile în cadrul unei comunităţi de energie din surse regenerabile</w:t>
      </w:r>
    </w:p>
    <w:p w14:paraId="30F14359" w14:textId="77777777" w:rsidR="0031538A" w:rsidRPr="008A7E58" w:rsidRDefault="0031538A" w:rsidP="0031538A">
      <w:pPr>
        <w:spacing w:after="0"/>
        <w:jc w:val="center"/>
        <w:rPr>
          <w:lang w:val="ro-RO"/>
        </w:rPr>
      </w:pPr>
    </w:p>
    <w:p w14:paraId="5FE6314B" w14:textId="77777777" w:rsidR="0031538A" w:rsidRPr="008A7E58" w:rsidRDefault="0031538A" w:rsidP="0005137F">
      <w:pPr>
        <w:spacing w:after="0"/>
        <w:jc w:val="both"/>
        <w:rPr>
          <w:lang w:val="ro-RO"/>
        </w:rPr>
      </w:pPr>
    </w:p>
    <w:p w14:paraId="75A3CEFF" w14:textId="32B1891F" w:rsidR="0005137F" w:rsidRPr="008A7E58" w:rsidRDefault="0005137F" w:rsidP="0005137F">
      <w:pPr>
        <w:spacing w:after="0"/>
        <w:jc w:val="both"/>
        <w:rPr>
          <w:lang w:val="ro-RO"/>
        </w:rPr>
      </w:pPr>
      <w:r w:rsidRPr="008A7E58">
        <w:rPr>
          <w:lang w:val="ro-RO"/>
        </w:rPr>
        <w:t>CAPITOLUL I</w:t>
      </w:r>
    </w:p>
    <w:p w14:paraId="28490F77" w14:textId="77777777" w:rsidR="0005137F" w:rsidRPr="008A7E58" w:rsidRDefault="0005137F" w:rsidP="0005137F">
      <w:pPr>
        <w:spacing w:after="0"/>
        <w:jc w:val="both"/>
        <w:rPr>
          <w:lang w:val="ro-RO"/>
        </w:rPr>
      </w:pPr>
      <w:r w:rsidRPr="008A7E58">
        <w:rPr>
          <w:lang w:val="ro-RO"/>
        </w:rPr>
        <w:t>Dispoziții generale</w:t>
      </w:r>
    </w:p>
    <w:p w14:paraId="15E30167" w14:textId="77777777" w:rsidR="0005137F" w:rsidRPr="008A7E58" w:rsidRDefault="0005137F" w:rsidP="0005137F">
      <w:pPr>
        <w:spacing w:after="0"/>
        <w:jc w:val="both"/>
        <w:rPr>
          <w:lang w:val="ro-RO"/>
        </w:rPr>
      </w:pPr>
      <w:r w:rsidRPr="008A7E58">
        <w:rPr>
          <w:b/>
          <w:bCs/>
          <w:lang w:val="ro-RO"/>
        </w:rPr>
        <w:t>Art. 1 – Scopul metodologiei</w:t>
      </w:r>
    </w:p>
    <w:p w14:paraId="40B99699" w14:textId="4921CCDC" w:rsidR="0005137F" w:rsidRPr="00CD284E" w:rsidRDefault="0005137F" w:rsidP="00CD284E">
      <w:pPr>
        <w:pStyle w:val="ListParagraph"/>
        <w:numPr>
          <w:ilvl w:val="0"/>
          <w:numId w:val="1"/>
        </w:numPr>
        <w:spacing w:after="0"/>
        <w:jc w:val="both"/>
        <w:rPr>
          <w:lang w:val="ro-RO"/>
        </w:rPr>
      </w:pPr>
      <w:r w:rsidRPr="00CD284E">
        <w:rPr>
          <w:lang w:val="ro-RO"/>
        </w:rPr>
        <w:t xml:space="preserve">Prezenta metodologie stabilește cadrul procedural și </w:t>
      </w:r>
      <w:r w:rsidR="00DD025E" w:rsidRPr="00CD284E">
        <w:rPr>
          <w:lang w:val="ro-RO"/>
        </w:rPr>
        <w:t>condiţiile de</w:t>
      </w:r>
      <w:r w:rsidRPr="00CD284E">
        <w:rPr>
          <w:lang w:val="ro-RO"/>
        </w:rPr>
        <w:t xml:space="preserve"> realizare</w:t>
      </w:r>
      <w:r w:rsidR="00DD025E" w:rsidRPr="00CD284E">
        <w:rPr>
          <w:lang w:val="ro-RO"/>
        </w:rPr>
        <w:t xml:space="preserve"> </w:t>
      </w:r>
      <w:r w:rsidRPr="00CD284E">
        <w:rPr>
          <w:lang w:val="ro-RO"/>
        </w:rPr>
        <w:t xml:space="preserve">a analizei transparente a costurilor și beneficiilor asociate surselor de energie distribuite </w:t>
      </w:r>
      <w:r w:rsidR="008A7E58" w:rsidRPr="00CD284E">
        <w:rPr>
          <w:lang w:val="ro-RO"/>
        </w:rPr>
        <w:t>deţinute</w:t>
      </w:r>
      <w:r w:rsidR="00E41C5A" w:rsidRPr="00CD284E">
        <w:rPr>
          <w:lang w:val="ro-RO"/>
        </w:rPr>
        <w:t xml:space="preserve"> de o</w:t>
      </w:r>
      <w:r w:rsidRPr="00CD284E">
        <w:rPr>
          <w:lang w:val="ro-RO"/>
        </w:rPr>
        <w:t xml:space="preserve"> comunit</w:t>
      </w:r>
      <w:r w:rsidR="00E41C5A" w:rsidRPr="00CD284E">
        <w:rPr>
          <w:lang w:val="ro-RO"/>
        </w:rPr>
        <w:t>ate</w:t>
      </w:r>
      <w:r w:rsidRPr="00CD284E">
        <w:rPr>
          <w:lang w:val="ro-RO"/>
        </w:rPr>
        <w:t xml:space="preserve"> de energie din surse regenerabile</w:t>
      </w:r>
      <w:r w:rsidR="00E41C5A" w:rsidRPr="00CD284E">
        <w:rPr>
          <w:lang w:val="ro-RO"/>
        </w:rPr>
        <w:t xml:space="preserve"> sau de membrii acesteia</w:t>
      </w:r>
      <w:r w:rsidRPr="00CD284E">
        <w:rPr>
          <w:lang w:val="ro-RO"/>
        </w:rPr>
        <w:t xml:space="preserve">. </w:t>
      </w:r>
    </w:p>
    <w:p w14:paraId="2AD33EAE" w14:textId="494C7B6E" w:rsidR="0005137F" w:rsidRPr="008A7E58" w:rsidRDefault="0005137F" w:rsidP="0005137F">
      <w:pPr>
        <w:pStyle w:val="ListParagraph"/>
        <w:numPr>
          <w:ilvl w:val="0"/>
          <w:numId w:val="1"/>
        </w:numPr>
        <w:spacing w:after="0"/>
        <w:jc w:val="both"/>
        <w:rPr>
          <w:lang w:val="ro-RO"/>
        </w:rPr>
      </w:pPr>
      <w:r w:rsidRPr="008A7E58">
        <w:rPr>
          <w:lang w:val="ro-RO"/>
        </w:rPr>
        <w:t>Analiza</w:t>
      </w:r>
      <w:r w:rsidR="001530FC">
        <w:rPr>
          <w:lang w:val="ro-RO"/>
        </w:rPr>
        <w:t xml:space="preserve"> prevăzută la alin, (1)</w:t>
      </w:r>
      <w:r w:rsidRPr="008A7E58">
        <w:rPr>
          <w:lang w:val="ro-RO"/>
        </w:rPr>
        <w:t xml:space="preserve"> are ca scop determinarea costurilor totale ale sistemului de distribuție </w:t>
      </w:r>
      <w:r w:rsidR="003A5D28">
        <w:rPr>
          <w:lang w:val="ro-RO"/>
        </w:rPr>
        <w:t>aplicabile</w:t>
      </w:r>
      <w:r w:rsidR="001530FC">
        <w:rPr>
          <w:lang w:val="ro-RO"/>
        </w:rPr>
        <w:t xml:space="preserve"> partajării</w:t>
      </w:r>
      <w:r w:rsidRPr="008A7E58">
        <w:rPr>
          <w:lang w:val="ro-RO"/>
        </w:rPr>
        <w:t xml:space="preserve"> energiei regenerabile în cadrul unei comunități de energie din surse regenerabile, în conformitate cu prevederile art. 22^6, alin. (2) din Ordonanța de urgență a Guvernului nr. 163/2022, cu modificările și completările ulterioare.</w:t>
      </w:r>
    </w:p>
    <w:p w14:paraId="040B9667" w14:textId="77777777" w:rsidR="001F2590" w:rsidRPr="008A7E58" w:rsidRDefault="001F2590" w:rsidP="0005137F">
      <w:pPr>
        <w:spacing w:after="0"/>
        <w:jc w:val="both"/>
        <w:rPr>
          <w:b/>
          <w:bCs/>
          <w:lang w:val="ro-RO"/>
        </w:rPr>
      </w:pPr>
    </w:p>
    <w:p w14:paraId="05185D8D" w14:textId="4CB2D7BF" w:rsidR="0005137F" w:rsidRPr="008A7E58" w:rsidRDefault="0005137F" w:rsidP="0005137F">
      <w:pPr>
        <w:spacing w:after="0"/>
        <w:jc w:val="both"/>
        <w:rPr>
          <w:lang w:val="ro-RO"/>
        </w:rPr>
      </w:pPr>
      <w:r w:rsidRPr="008A7E58">
        <w:rPr>
          <w:b/>
          <w:bCs/>
          <w:lang w:val="ro-RO"/>
        </w:rPr>
        <w:t>Art. 2 – Domeniul de aplicare</w:t>
      </w:r>
    </w:p>
    <w:p w14:paraId="12C99084" w14:textId="77777777" w:rsidR="0005137F" w:rsidRPr="008A7E58" w:rsidRDefault="0005137F" w:rsidP="0005137F">
      <w:pPr>
        <w:spacing w:after="0"/>
        <w:jc w:val="both"/>
        <w:rPr>
          <w:lang w:val="ro-RO"/>
        </w:rPr>
      </w:pPr>
      <w:r w:rsidRPr="008A7E58">
        <w:rPr>
          <w:lang w:val="ro-RO"/>
        </w:rPr>
        <w:t>Prezenta metodologie se aplică:</w:t>
      </w:r>
    </w:p>
    <w:p w14:paraId="59B9C476" w14:textId="7E80C9D6" w:rsidR="0005137F" w:rsidRPr="008A7E58" w:rsidRDefault="0005137F" w:rsidP="00CD284E">
      <w:pPr>
        <w:pStyle w:val="ListParagraph"/>
        <w:numPr>
          <w:ilvl w:val="0"/>
          <w:numId w:val="23"/>
        </w:numPr>
        <w:spacing w:after="0"/>
        <w:jc w:val="both"/>
        <w:rPr>
          <w:lang w:val="ro-RO"/>
        </w:rPr>
      </w:pPr>
      <w:r w:rsidRPr="008A7E58">
        <w:rPr>
          <w:lang w:val="ro-RO"/>
        </w:rPr>
        <w:t>comunităților de energie din surse regenerabile</w:t>
      </w:r>
      <w:r w:rsidR="005D1FC2" w:rsidRPr="008A7E58">
        <w:rPr>
          <w:lang w:val="ro-RO"/>
        </w:rPr>
        <w:t xml:space="preserve"> înregistrate în Registrul </w:t>
      </w:r>
      <w:r w:rsidR="00777BCB" w:rsidRPr="008A7E58">
        <w:rPr>
          <w:lang w:val="ro-RO"/>
        </w:rPr>
        <w:t xml:space="preserve">de </w:t>
      </w:r>
      <w:r w:rsidR="005D1FC2" w:rsidRPr="008A7E58">
        <w:rPr>
          <w:lang w:val="ro-RO"/>
        </w:rPr>
        <w:t>comunități de energie</w:t>
      </w:r>
      <w:r w:rsidR="003A5D28">
        <w:rPr>
          <w:lang w:val="ro-RO"/>
        </w:rPr>
        <w:t xml:space="preserve">, pentru </w:t>
      </w:r>
      <w:r w:rsidR="00C16F05">
        <w:rPr>
          <w:lang w:val="ro-RO"/>
        </w:rPr>
        <w:t>solicitarea de efectuare a analizei cost-beneficiu</w:t>
      </w:r>
      <w:r w:rsidRPr="008A7E58">
        <w:rPr>
          <w:lang w:val="ro-RO"/>
        </w:rPr>
        <w:t>;</w:t>
      </w:r>
    </w:p>
    <w:p w14:paraId="46B2B8A9" w14:textId="33F218FC" w:rsidR="0005137F" w:rsidRPr="008A7E58" w:rsidRDefault="0005137F" w:rsidP="00CD284E">
      <w:pPr>
        <w:pStyle w:val="ListParagraph"/>
        <w:numPr>
          <w:ilvl w:val="0"/>
          <w:numId w:val="23"/>
        </w:numPr>
        <w:spacing w:after="0"/>
        <w:jc w:val="both"/>
        <w:rPr>
          <w:lang w:val="ro-RO"/>
        </w:rPr>
      </w:pPr>
      <w:r w:rsidRPr="008A7E58">
        <w:rPr>
          <w:lang w:val="ro-RO"/>
        </w:rPr>
        <w:t>operatorilor de distribuție concesionari</w:t>
      </w:r>
      <w:r w:rsidR="00C16F05">
        <w:rPr>
          <w:lang w:val="ro-RO"/>
        </w:rPr>
        <w:t xml:space="preserve">, pentru </w:t>
      </w:r>
      <w:r w:rsidR="00AD48F3">
        <w:rPr>
          <w:lang w:val="ro-RO"/>
        </w:rPr>
        <w:t xml:space="preserve">furnizarea </w:t>
      </w:r>
      <w:r w:rsidR="00D520A1">
        <w:rPr>
          <w:lang w:val="ro-RO"/>
        </w:rPr>
        <w:t>datel</w:t>
      </w:r>
      <w:r w:rsidR="00AD48F3">
        <w:rPr>
          <w:lang w:val="ro-RO"/>
        </w:rPr>
        <w:t>or</w:t>
      </w:r>
      <w:r w:rsidR="00D520A1">
        <w:rPr>
          <w:lang w:val="ro-RO"/>
        </w:rPr>
        <w:t>/informațiil</w:t>
      </w:r>
      <w:r w:rsidR="00AD48F3">
        <w:rPr>
          <w:lang w:val="ro-RO"/>
        </w:rPr>
        <w:t>or</w:t>
      </w:r>
      <w:r w:rsidR="00D520A1">
        <w:rPr>
          <w:lang w:val="ro-RO"/>
        </w:rPr>
        <w:t xml:space="preserve"> </w:t>
      </w:r>
      <w:r w:rsidR="00AD48F3">
        <w:rPr>
          <w:lang w:val="ro-RO"/>
        </w:rPr>
        <w:t>necesare</w:t>
      </w:r>
      <w:r w:rsidR="00D520A1">
        <w:rPr>
          <w:lang w:val="ro-RO"/>
        </w:rPr>
        <w:t xml:space="preserve"> în vederea efectuării analizei cost-beneficiu</w:t>
      </w:r>
      <w:r w:rsidRPr="008A7E58">
        <w:rPr>
          <w:lang w:val="ro-RO"/>
        </w:rPr>
        <w:t>;</w:t>
      </w:r>
    </w:p>
    <w:p w14:paraId="51630469" w14:textId="09D2E240" w:rsidR="0005137F" w:rsidRPr="008A7E58" w:rsidRDefault="0005137F" w:rsidP="00CD284E">
      <w:pPr>
        <w:pStyle w:val="ListParagraph"/>
        <w:numPr>
          <w:ilvl w:val="0"/>
          <w:numId w:val="23"/>
        </w:numPr>
        <w:spacing w:after="0"/>
        <w:jc w:val="both"/>
        <w:rPr>
          <w:lang w:val="ro-RO"/>
        </w:rPr>
      </w:pPr>
      <w:r w:rsidRPr="008A7E58">
        <w:rPr>
          <w:lang w:val="ro-RO"/>
        </w:rPr>
        <w:t xml:space="preserve">ANRE, în procesul de analiză a datelor şi informaţiilor </w:t>
      </w:r>
      <w:r w:rsidR="00AD48F3">
        <w:rPr>
          <w:lang w:val="ro-RO"/>
        </w:rPr>
        <w:t>furnizate</w:t>
      </w:r>
      <w:r w:rsidR="00AD48F3" w:rsidRPr="008A7E58">
        <w:rPr>
          <w:lang w:val="ro-RO"/>
        </w:rPr>
        <w:t xml:space="preserve"> </w:t>
      </w:r>
      <w:r w:rsidRPr="008A7E58">
        <w:rPr>
          <w:lang w:val="ro-RO"/>
        </w:rPr>
        <w:t>de comunitățile de energie din surse regenerabile și operatorii de distribuţie concesionari, în vederea efectuării analizei costurilor și beneficiilor asociate surselor de energie distribuite utilizate în cadrul unei comunități de energie din surse regenerabile.</w:t>
      </w:r>
    </w:p>
    <w:p w14:paraId="72781781" w14:textId="77777777" w:rsidR="002B5FC6" w:rsidRPr="008A7E58" w:rsidRDefault="002B5FC6" w:rsidP="0005137F">
      <w:pPr>
        <w:spacing w:after="0"/>
        <w:jc w:val="both"/>
        <w:rPr>
          <w:lang w:val="ro-RO"/>
        </w:rPr>
      </w:pPr>
    </w:p>
    <w:p w14:paraId="518654AB" w14:textId="73111C50" w:rsidR="0005137F" w:rsidRPr="008A7E58" w:rsidRDefault="0005137F" w:rsidP="0005137F">
      <w:pPr>
        <w:spacing w:after="0"/>
        <w:jc w:val="both"/>
        <w:rPr>
          <w:lang w:val="ro-RO"/>
        </w:rPr>
      </w:pPr>
      <w:r w:rsidRPr="008A7E58">
        <w:rPr>
          <w:lang w:val="ro-RO"/>
        </w:rPr>
        <w:t>CAPITOLUL II</w:t>
      </w:r>
    </w:p>
    <w:p w14:paraId="296AFCFD" w14:textId="77777777" w:rsidR="0005137F" w:rsidRPr="008A7E58" w:rsidRDefault="0005137F" w:rsidP="0005137F">
      <w:pPr>
        <w:spacing w:after="0"/>
        <w:jc w:val="both"/>
        <w:rPr>
          <w:lang w:val="ro-RO"/>
        </w:rPr>
      </w:pPr>
      <w:r w:rsidRPr="008A7E58">
        <w:rPr>
          <w:lang w:val="ro-RO"/>
        </w:rPr>
        <w:t>Definiții și abrevieri</w:t>
      </w:r>
    </w:p>
    <w:p w14:paraId="087839B9" w14:textId="16C770E3" w:rsidR="0005137F" w:rsidRPr="008A7E58" w:rsidRDefault="0005137F" w:rsidP="0005137F">
      <w:pPr>
        <w:spacing w:after="0"/>
        <w:jc w:val="both"/>
        <w:rPr>
          <w:lang w:val="ro-RO"/>
        </w:rPr>
      </w:pPr>
      <w:r w:rsidRPr="008A7E58">
        <w:rPr>
          <w:b/>
          <w:bCs/>
          <w:lang w:val="ro-RO"/>
        </w:rPr>
        <w:t xml:space="preserve">Art. </w:t>
      </w:r>
      <w:r w:rsidR="00DE5F2C" w:rsidRPr="008A7E58">
        <w:rPr>
          <w:b/>
          <w:bCs/>
          <w:lang w:val="ro-RO"/>
        </w:rPr>
        <w:t xml:space="preserve">3 </w:t>
      </w:r>
      <w:r w:rsidRPr="008A7E58">
        <w:rPr>
          <w:b/>
          <w:bCs/>
          <w:lang w:val="ro-RO"/>
        </w:rPr>
        <w:t>– Definiții și abrevieri</w:t>
      </w:r>
    </w:p>
    <w:p w14:paraId="074B3073" w14:textId="77777777" w:rsidR="0005137F" w:rsidRPr="008A7E58" w:rsidRDefault="0005137F" w:rsidP="0005137F">
      <w:pPr>
        <w:spacing w:after="0"/>
        <w:jc w:val="both"/>
        <w:rPr>
          <w:lang w:val="ro-RO"/>
        </w:rPr>
      </w:pPr>
      <w:r w:rsidRPr="008A7E58">
        <w:rPr>
          <w:lang w:val="ro-RO"/>
        </w:rPr>
        <w:t>În înţelesul prezentei metodologii, termenii şi abrevierile utilizate au următoarele semnificaţii:</w:t>
      </w:r>
    </w:p>
    <w:p w14:paraId="6A8E4EC4" w14:textId="77777777" w:rsidR="0005137F" w:rsidRPr="008A7E58" w:rsidRDefault="0005137F" w:rsidP="0005137F">
      <w:pPr>
        <w:pStyle w:val="ListParagraph"/>
        <w:numPr>
          <w:ilvl w:val="0"/>
          <w:numId w:val="4"/>
        </w:numPr>
        <w:spacing w:after="0"/>
        <w:jc w:val="both"/>
        <w:rPr>
          <w:lang w:val="ro-RO"/>
        </w:rPr>
      </w:pPr>
      <w:r w:rsidRPr="008A7E58">
        <w:rPr>
          <w:lang w:val="ro-RO"/>
        </w:rPr>
        <w:t>Definiții</w:t>
      </w:r>
    </w:p>
    <w:tbl>
      <w:tblPr>
        <w:tblStyle w:val="TableGrid"/>
        <w:tblW w:w="0" w:type="auto"/>
        <w:tblLook w:val="04A0" w:firstRow="1" w:lastRow="0" w:firstColumn="1" w:lastColumn="0" w:noHBand="0" w:noVBand="1"/>
      </w:tblPr>
      <w:tblGrid>
        <w:gridCol w:w="2405"/>
        <w:gridCol w:w="6945"/>
      </w:tblGrid>
      <w:tr w:rsidR="0005137F" w:rsidRPr="008A7E58" w14:paraId="5E5DF356" w14:textId="77777777">
        <w:tc>
          <w:tcPr>
            <w:tcW w:w="2405" w:type="dxa"/>
          </w:tcPr>
          <w:p w14:paraId="7070AEBC" w14:textId="77777777" w:rsidR="0005137F" w:rsidRPr="008A7E58" w:rsidRDefault="0005137F">
            <w:pPr>
              <w:jc w:val="both"/>
              <w:rPr>
                <w:lang w:val="ro-RO"/>
              </w:rPr>
            </w:pPr>
            <w:r w:rsidRPr="008A7E58">
              <w:rPr>
                <w:i/>
                <w:iCs/>
                <w:lang w:val="ro-RO"/>
              </w:rPr>
              <w:t>analiză cost–beneficiu</w:t>
            </w:r>
          </w:p>
        </w:tc>
        <w:tc>
          <w:tcPr>
            <w:tcW w:w="6945" w:type="dxa"/>
          </w:tcPr>
          <w:p w14:paraId="2DEC53F7" w14:textId="3250D55B" w:rsidR="0005137F" w:rsidRPr="008A7E58" w:rsidRDefault="0005137F">
            <w:pPr>
              <w:jc w:val="both"/>
              <w:rPr>
                <w:lang w:val="ro-RO"/>
              </w:rPr>
            </w:pPr>
            <w:r w:rsidRPr="008A7E58">
              <w:rPr>
                <w:lang w:val="ro-RO"/>
              </w:rPr>
              <w:t>evaluarea cantitativă și calitativă a impactului CESR asupra sistemului de distribuție, incluzând costurile suplimentare și beneficiile identificate</w:t>
            </w:r>
            <w:r w:rsidR="002913D2">
              <w:rPr>
                <w:lang w:val="ro-RO"/>
              </w:rPr>
              <w:t xml:space="preserve"> ce constau în </w:t>
            </w:r>
            <w:r w:rsidR="002913D2" w:rsidRPr="008A7E58">
              <w:rPr>
                <w:lang w:val="ro-RO"/>
              </w:rPr>
              <w:t>costurile evitate</w:t>
            </w:r>
          </w:p>
        </w:tc>
      </w:tr>
      <w:tr w:rsidR="0005137F" w:rsidRPr="008A7E58" w14:paraId="475B53D1" w14:textId="77777777">
        <w:tc>
          <w:tcPr>
            <w:tcW w:w="2405" w:type="dxa"/>
          </w:tcPr>
          <w:p w14:paraId="554D0474" w14:textId="7C428250" w:rsidR="0005137F" w:rsidRPr="008A7E58" w:rsidRDefault="0005137F">
            <w:pPr>
              <w:jc w:val="both"/>
              <w:rPr>
                <w:lang w:val="ro-RO"/>
              </w:rPr>
            </w:pPr>
            <w:r w:rsidRPr="008A7E58">
              <w:rPr>
                <w:i/>
                <w:iCs/>
                <w:lang w:val="ro-RO"/>
              </w:rPr>
              <w:t>date tehnice</w:t>
            </w:r>
          </w:p>
        </w:tc>
        <w:tc>
          <w:tcPr>
            <w:tcW w:w="6945" w:type="dxa"/>
          </w:tcPr>
          <w:p w14:paraId="06B0CAA8" w14:textId="790333D9" w:rsidR="0005137F" w:rsidRPr="008A7E58" w:rsidRDefault="0005137F">
            <w:pPr>
              <w:jc w:val="both"/>
              <w:rPr>
                <w:lang w:val="ro-RO"/>
              </w:rPr>
            </w:pPr>
            <w:r w:rsidRPr="008A7E58">
              <w:rPr>
                <w:lang w:val="ro-RO"/>
              </w:rPr>
              <w:t>informațiile privind capacitățile de produc</w:t>
            </w:r>
            <w:r w:rsidR="002913D2">
              <w:rPr>
                <w:lang w:val="ro-RO"/>
              </w:rPr>
              <w:t>ere</w:t>
            </w:r>
            <w:r w:rsidRPr="008A7E58">
              <w:rPr>
                <w:lang w:val="ro-RO"/>
              </w:rPr>
              <w:t xml:space="preserve">, consum, stocare, profilurile de sarcină, pierderile </w:t>
            </w:r>
            <w:r w:rsidR="00C030EC" w:rsidRPr="008A7E58">
              <w:rPr>
                <w:lang w:val="ro-RO"/>
              </w:rPr>
              <w:t xml:space="preserve">în reţelele electrice de distribuţie (CPT) </w:t>
            </w:r>
            <w:r w:rsidRPr="008A7E58">
              <w:rPr>
                <w:lang w:val="ro-RO"/>
              </w:rPr>
              <w:t>și congestiile locale</w:t>
            </w:r>
          </w:p>
        </w:tc>
      </w:tr>
      <w:tr w:rsidR="00C818E8" w:rsidRPr="008A7E58" w14:paraId="32F8C895" w14:textId="77777777">
        <w:tc>
          <w:tcPr>
            <w:tcW w:w="2405" w:type="dxa"/>
          </w:tcPr>
          <w:p w14:paraId="489B6C9D" w14:textId="4765D8EF" w:rsidR="00C818E8" w:rsidRPr="008A7E58" w:rsidRDefault="00C818E8">
            <w:pPr>
              <w:jc w:val="both"/>
              <w:rPr>
                <w:i/>
                <w:iCs/>
                <w:lang w:val="ro-RO"/>
              </w:rPr>
            </w:pPr>
            <w:r w:rsidRPr="008A7E58">
              <w:rPr>
                <w:i/>
                <w:iCs/>
                <w:lang w:val="ro-RO"/>
              </w:rPr>
              <w:t xml:space="preserve">energia </w:t>
            </w:r>
            <w:r w:rsidR="002A3B81" w:rsidRPr="008A7E58">
              <w:rPr>
                <w:i/>
                <w:iCs/>
                <w:lang w:val="ro-RO"/>
              </w:rPr>
              <w:t xml:space="preserve">electrică </w:t>
            </w:r>
            <w:r w:rsidRPr="008A7E58">
              <w:rPr>
                <w:i/>
                <w:iCs/>
                <w:lang w:val="ro-RO"/>
              </w:rPr>
              <w:t>partajată</w:t>
            </w:r>
          </w:p>
        </w:tc>
        <w:tc>
          <w:tcPr>
            <w:tcW w:w="6945" w:type="dxa"/>
          </w:tcPr>
          <w:p w14:paraId="0DA2A0A0" w14:textId="38EA92A3" w:rsidR="00C818E8" w:rsidRPr="008A7E58" w:rsidRDefault="00C818E8">
            <w:pPr>
              <w:jc w:val="both"/>
              <w:rPr>
                <w:lang w:val="ro-RO"/>
              </w:rPr>
            </w:pPr>
            <w:r w:rsidRPr="008A7E58">
              <w:rPr>
                <w:lang w:val="ro-RO"/>
              </w:rPr>
              <w:t>energi</w:t>
            </w:r>
            <w:r w:rsidR="00F87D06" w:rsidRPr="008A7E58">
              <w:rPr>
                <w:lang w:val="ro-RO"/>
              </w:rPr>
              <w:t>a</w:t>
            </w:r>
            <w:r w:rsidRPr="008A7E58">
              <w:rPr>
                <w:lang w:val="ro-RO"/>
              </w:rPr>
              <w:t xml:space="preserve"> </w:t>
            </w:r>
            <w:r w:rsidR="002A3B81" w:rsidRPr="008A7E58">
              <w:rPr>
                <w:lang w:val="ro-RO"/>
              </w:rPr>
              <w:t xml:space="preserve">electrică </w:t>
            </w:r>
            <w:r w:rsidR="00096F08" w:rsidRPr="008A7E58">
              <w:rPr>
                <w:lang w:val="ro-RO"/>
              </w:rPr>
              <w:t xml:space="preserve">consumată de membrii CESR din energia produsă </w:t>
            </w:r>
            <w:r w:rsidR="002913D2">
              <w:rPr>
                <w:lang w:val="ro-RO"/>
              </w:rPr>
              <w:t xml:space="preserve">cu capacităţi de producere </w:t>
            </w:r>
            <w:r w:rsidR="00096F08" w:rsidRPr="008A7E58">
              <w:rPr>
                <w:lang w:val="ro-RO"/>
              </w:rPr>
              <w:t>deținute de CESR sau</w:t>
            </w:r>
            <w:r w:rsidR="00F65BC2">
              <w:rPr>
                <w:lang w:val="ro-RO"/>
              </w:rPr>
              <w:t xml:space="preserve"> de</w:t>
            </w:r>
            <w:r w:rsidR="00096F08" w:rsidRPr="008A7E58">
              <w:rPr>
                <w:lang w:val="ro-RO"/>
              </w:rPr>
              <w:t xml:space="preserve"> membrii CESR</w:t>
            </w:r>
            <w:r w:rsidR="00610314" w:rsidRPr="008A7E58">
              <w:rPr>
                <w:lang w:val="ro-RO"/>
              </w:rPr>
              <w:t>; aceasta tranziteazǎ</w:t>
            </w:r>
            <w:r w:rsidR="002913D2">
              <w:rPr>
                <w:lang w:val="ro-RO"/>
              </w:rPr>
              <w:t xml:space="preserve"> exclusiv</w:t>
            </w:r>
            <w:r w:rsidR="00610314" w:rsidRPr="008A7E58">
              <w:rPr>
                <w:lang w:val="ro-RO"/>
              </w:rPr>
              <w:t xml:space="preserve"> reţeaua electricǎ de distribuţie </w:t>
            </w:r>
            <w:r w:rsidR="002913D2">
              <w:rPr>
                <w:lang w:val="ro-RO"/>
              </w:rPr>
              <w:t xml:space="preserve">dintr-o zonă limitată, </w:t>
            </w:r>
            <w:r w:rsidR="00610314" w:rsidRPr="008A7E58">
              <w:rPr>
                <w:lang w:val="ro-RO"/>
              </w:rPr>
              <w:t>cu un anumit nivel de tensiune</w:t>
            </w:r>
          </w:p>
        </w:tc>
      </w:tr>
      <w:tr w:rsidR="0005137F" w:rsidRPr="008A7E58" w14:paraId="69ED76FA" w14:textId="77777777">
        <w:tc>
          <w:tcPr>
            <w:tcW w:w="2405" w:type="dxa"/>
          </w:tcPr>
          <w:p w14:paraId="15AB4907" w14:textId="77777777" w:rsidR="0005137F" w:rsidRPr="008A7E58" w:rsidRDefault="0005137F">
            <w:pPr>
              <w:jc w:val="both"/>
              <w:rPr>
                <w:lang w:val="ro-RO"/>
              </w:rPr>
            </w:pPr>
            <w:r w:rsidRPr="008A7E58">
              <w:rPr>
                <w:i/>
                <w:iCs/>
                <w:lang w:val="ro-RO"/>
              </w:rPr>
              <w:lastRenderedPageBreak/>
              <w:t>scenariu de referință</w:t>
            </w:r>
          </w:p>
        </w:tc>
        <w:tc>
          <w:tcPr>
            <w:tcW w:w="6945" w:type="dxa"/>
          </w:tcPr>
          <w:p w14:paraId="671D4BAF" w14:textId="77777777" w:rsidR="0005137F" w:rsidRPr="008A7E58" w:rsidRDefault="0005137F">
            <w:pPr>
              <w:jc w:val="both"/>
              <w:rPr>
                <w:lang w:val="ro-RO"/>
              </w:rPr>
            </w:pPr>
            <w:r w:rsidRPr="008A7E58">
              <w:rPr>
                <w:lang w:val="ro-RO"/>
              </w:rPr>
              <w:t>situația tehnico</w:t>
            </w:r>
            <w:r w:rsidRPr="008A7E58">
              <w:rPr>
                <w:lang w:val="ro-RO"/>
              </w:rPr>
              <w:noBreakHyphen/>
              <w:t>economică a rețelei în absența CESR</w:t>
            </w:r>
          </w:p>
        </w:tc>
      </w:tr>
      <w:tr w:rsidR="0005137F" w:rsidRPr="008A7E58" w14:paraId="7F098A9E" w14:textId="77777777">
        <w:tc>
          <w:tcPr>
            <w:tcW w:w="2405" w:type="dxa"/>
          </w:tcPr>
          <w:p w14:paraId="55FA3F11" w14:textId="2544926D" w:rsidR="0005137F" w:rsidRPr="008A7E58" w:rsidRDefault="002B5FC6" w:rsidP="005B7CB7">
            <w:pPr>
              <w:jc w:val="both"/>
              <w:rPr>
                <w:lang w:val="ro-RO"/>
              </w:rPr>
            </w:pPr>
            <w:r w:rsidRPr="008A7E58">
              <w:rPr>
                <w:i/>
                <w:iCs/>
                <w:lang w:val="ro-RO"/>
              </w:rPr>
              <w:t xml:space="preserve">scenariul </w:t>
            </w:r>
            <w:r w:rsidR="005B7CB7" w:rsidRPr="008A7E58">
              <w:rPr>
                <w:i/>
                <w:iCs/>
                <w:lang w:val="ro-RO"/>
              </w:rPr>
              <w:t>CESR</w:t>
            </w:r>
          </w:p>
        </w:tc>
        <w:tc>
          <w:tcPr>
            <w:tcW w:w="6945" w:type="dxa"/>
          </w:tcPr>
          <w:p w14:paraId="7C525EBE" w14:textId="050A9574" w:rsidR="0005137F" w:rsidRPr="008A7E58" w:rsidRDefault="0005137F" w:rsidP="006660C2">
            <w:pPr>
              <w:jc w:val="both"/>
              <w:rPr>
                <w:lang w:val="ro-RO"/>
              </w:rPr>
            </w:pPr>
            <w:r w:rsidRPr="008A7E58">
              <w:rPr>
                <w:lang w:val="ro-RO"/>
              </w:rPr>
              <w:t>situați</w:t>
            </w:r>
            <w:r w:rsidR="00F65BC2">
              <w:rPr>
                <w:lang w:val="ro-RO"/>
              </w:rPr>
              <w:t>a</w:t>
            </w:r>
            <w:r w:rsidRPr="008A7E58">
              <w:rPr>
                <w:lang w:val="ro-RO"/>
              </w:rPr>
              <w:t xml:space="preserve"> tehnico</w:t>
            </w:r>
            <w:r w:rsidRPr="008A7E58">
              <w:rPr>
                <w:lang w:val="ro-RO"/>
              </w:rPr>
              <w:noBreakHyphen/>
              <w:t>economic</w:t>
            </w:r>
            <w:r w:rsidR="00F65BC2">
              <w:rPr>
                <w:lang w:val="ro-RO"/>
              </w:rPr>
              <w:t>ă</w:t>
            </w:r>
            <w:r w:rsidRPr="008A7E58">
              <w:rPr>
                <w:lang w:val="ro-RO"/>
              </w:rPr>
              <w:t xml:space="preserve"> </w:t>
            </w:r>
            <w:r w:rsidR="00F65BC2">
              <w:rPr>
                <w:lang w:val="ro-RO"/>
              </w:rPr>
              <w:t xml:space="preserve">a reţelei </w:t>
            </w:r>
            <w:r w:rsidRPr="008A7E58">
              <w:rPr>
                <w:lang w:val="ro-RO"/>
              </w:rPr>
              <w:t>rezultat</w:t>
            </w:r>
            <w:r w:rsidR="00F65BC2">
              <w:rPr>
                <w:lang w:val="ro-RO"/>
              </w:rPr>
              <w:t>ă</w:t>
            </w:r>
            <w:r w:rsidRPr="008A7E58">
              <w:rPr>
                <w:lang w:val="ro-RO"/>
              </w:rPr>
              <w:t xml:space="preserve"> din funcționarea CESR</w:t>
            </w:r>
            <w:r w:rsidR="00C848E0">
              <w:rPr>
                <w:lang w:val="ro-RO"/>
              </w:rPr>
              <w:t>, ca urmare a partajării energiei electrice în cadrul CESR</w:t>
            </w:r>
          </w:p>
        </w:tc>
      </w:tr>
    </w:tbl>
    <w:p w14:paraId="4B6CA437" w14:textId="77777777" w:rsidR="0005137F" w:rsidRPr="008A7E58" w:rsidRDefault="0005137F" w:rsidP="0005137F">
      <w:pPr>
        <w:spacing w:after="0"/>
        <w:jc w:val="both"/>
        <w:rPr>
          <w:lang w:val="ro-RO"/>
        </w:rPr>
      </w:pPr>
    </w:p>
    <w:p w14:paraId="21E4BDA8" w14:textId="77777777" w:rsidR="0005137F" w:rsidRPr="008A7E58" w:rsidRDefault="0005137F" w:rsidP="0005137F">
      <w:pPr>
        <w:pStyle w:val="ListParagraph"/>
        <w:numPr>
          <w:ilvl w:val="0"/>
          <w:numId w:val="4"/>
        </w:numPr>
        <w:spacing w:after="0"/>
        <w:jc w:val="both"/>
        <w:rPr>
          <w:lang w:val="ro-RO"/>
        </w:rPr>
      </w:pPr>
      <w:r w:rsidRPr="008A7E58">
        <w:rPr>
          <w:lang w:val="ro-RO"/>
        </w:rPr>
        <w:t>Abrevieri</w:t>
      </w:r>
    </w:p>
    <w:tbl>
      <w:tblPr>
        <w:tblStyle w:val="TableGrid"/>
        <w:tblW w:w="0" w:type="auto"/>
        <w:tblLook w:val="04A0" w:firstRow="1" w:lastRow="0" w:firstColumn="1" w:lastColumn="0" w:noHBand="0" w:noVBand="1"/>
      </w:tblPr>
      <w:tblGrid>
        <w:gridCol w:w="2405"/>
        <w:gridCol w:w="6945"/>
      </w:tblGrid>
      <w:tr w:rsidR="0005137F" w:rsidRPr="008A7E58" w14:paraId="2CE936F6" w14:textId="77777777">
        <w:tc>
          <w:tcPr>
            <w:tcW w:w="2405" w:type="dxa"/>
          </w:tcPr>
          <w:p w14:paraId="5F4C8A2E" w14:textId="77777777" w:rsidR="0005137F" w:rsidRPr="008A7E58" w:rsidRDefault="0005137F">
            <w:pPr>
              <w:jc w:val="both"/>
              <w:rPr>
                <w:lang w:val="ro-RO"/>
              </w:rPr>
            </w:pPr>
            <w:r w:rsidRPr="008A7E58">
              <w:rPr>
                <w:lang w:val="ro-RO"/>
              </w:rPr>
              <w:t>ANRE</w:t>
            </w:r>
          </w:p>
        </w:tc>
        <w:tc>
          <w:tcPr>
            <w:tcW w:w="6945" w:type="dxa"/>
          </w:tcPr>
          <w:p w14:paraId="165DF0BD" w14:textId="52B2171E" w:rsidR="0005137F" w:rsidRPr="008A7E58" w:rsidRDefault="0005137F">
            <w:pPr>
              <w:jc w:val="both"/>
              <w:rPr>
                <w:lang w:val="ro-RO"/>
              </w:rPr>
            </w:pPr>
            <w:r w:rsidRPr="008A7E58">
              <w:rPr>
                <w:lang w:val="ro-RO"/>
              </w:rPr>
              <w:t xml:space="preserve">Autoritatea Naţională de Reglementare în </w:t>
            </w:r>
            <w:r w:rsidR="002B5FC6" w:rsidRPr="008A7E58">
              <w:rPr>
                <w:lang w:val="ro-RO"/>
              </w:rPr>
              <w:t>d</w:t>
            </w:r>
            <w:r w:rsidRPr="008A7E58">
              <w:rPr>
                <w:lang w:val="ro-RO"/>
              </w:rPr>
              <w:t>omeniul Energiei</w:t>
            </w:r>
          </w:p>
        </w:tc>
      </w:tr>
      <w:tr w:rsidR="0005137F" w:rsidRPr="008A7E58" w14:paraId="50271483" w14:textId="77777777">
        <w:tc>
          <w:tcPr>
            <w:tcW w:w="2405" w:type="dxa"/>
          </w:tcPr>
          <w:p w14:paraId="09EE4CF8" w14:textId="77777777" w:rsidR="0005137F" w:rsidRPr="008A7E58" w:rsidRDefault="0005137F">
            <w:pPr>
              <w:spacing w:line="259" w:lineRule="auto"/>
              <w:jc w:val="both"/>
              <w:rPr>
                <w:lang w:val="ro-RO"/>
              </w:rPr>
            </w:pPr>
            <w:r w:rsidRPr="008A7E58">
              <w:rPr>
                <w:lang w:val="ro-RO"/>
              </w:rPr>
              <w:t>CESR</w:t>
            </w:r>
          </w:p>
        </w:tc>
        <w:tc>
          <w:tcPr>
            <w:tcW w:w="6945" w:type="dxa"/>
          </w:tcPr>
          <w:p w14:paraId="160B7228" w14:textId="77777777" w:rsidR="0005137F" w:rsidRPr="008A7E58" w:rsidRDefault="0005137F">
            <w:pPr>
              <w:jc w:val="both"/>
              <w:rPr>
                <w:lang w:val="ro-RO"/>
              </w:rPr>
            </w:pPr>
            <w:r w:rsidRPr="008A7E58">
              <w:rPr>
                <w:lang w:val="ro-RO"/>
              </w:rPr>
              <w:t>Comunitate de Energie din Surse Regenerabile</w:t>
            </w:r>
          </w:p>
        </w:tc>
      </w:tr>
      <w:tr w:rsidR="0005137F" w:rsidRPr="008A7E58" w14:paraId="58A9035D" w14:textId="77777777">
        <w:tc>
          <w:tcPr>
            <w:tcW w:w="2405" w:type="dxa"/>
          </w:tcPr>
          <w:p w14:paraId="064AD756" w14:textId="77777777" w:rsidR="0005137F" w:rsidRPr="008A7E58" w:rsidRDefault="0005137F">
            <w:pPr>
              <w:jc w:val="both"/>
              <w:rPr>
                <w:lang w:val="ro-RO"/>
              </w:rPr>
            </w:pPr>
            <w:r w:rsidRPr="008A7E58">
              <w:rPr>
                <w:lang w:val="ro-RO"/>
              </w:rPr>
              <w:t>ODC</w:t>
            </w:r>
          </w:p>
        </w:tc>
        <w:tc>
          <w:tcPr>
            <w:tcW w:w="6945" w:type="dxa"/>
          </w:tcPr>
          <w:p w14:paraId="0033A762" w14:textId="77777777" w:rsidR="0005137F" w:rsidRPr="008A7E58" w:rsidRDefault="0005137F">
            <w:pPr>
              <w:jc w:val="both"/>
              <w:rPr>
                <w:lang w:val="ro-RO"/>
              </w:rPr>
            </w:pPr>
            <w:r w:rsidRPr="008A7E58">
              <w:rPr>
                <w:lang w:val="ro-RO"/>
              </w:rPr>
              <w:t>Operator de distribuție concesionar</w:t>
            </w:r>
          </w:p>
        </w:tc>
      </w:tr>
      <w:tr w:rsidR="0005137F" w:rsidRPr="008A7E58" w14:paraId="597D3C2A" w14:textId="77777777">
        <w:tc>
          <w:tcPr>
            <w:tcW w:w="2405" w:type="dxa"/>
          </w:tcPr>
          <w:p w14:paraId="66F2D96E" w14:textId="77777777" w:rsidR="0005137F" w:rsidRPr="008A7E58" w:rsidRDefault="0005137F">
            <w:pPr>
              <w:jc w:val="both"/>
              <w:rPr>
                <w:lang w:val="ro-RO"/>
              </w:rPr>
            </w:pPr>
            <w:r w:rsidRPr="008A7E58">
              <w:rPr>
                <w:lang w:val="ro-RO"/>
              </w:rPr>
              <w:t>CAPEX</w:t>
            </w:r>
          </w:p>
        </w:tc>
        <w:tc>
          <w:tcPr>
            <w:tcW w:w="6945" w:type="dxa"/>
          </w:tcPr>
          <w:p w14:paraId="0D8C469A" w14:textId="77777777" w:rsidR="0005137F" w:rsidRPr="008A7E58" w:rsidRDefault="0005137F">
            <w:pPr>
              <w:jc w:val="both"/>
              <w:rPr>
                <w:lang w:val="ro-RO"/>
              </w:rPr>
            </w:pPr>
            <w:r w:rsidRPr="008A7E58">
              <w:rPr>
                <w:lang w:val="ro-RO"/>
              </w:rPr>
              <w:t>Costuri de capital</w:t>
            </w:r>
          </w:p>
        </w:tc>
      </w:tr>
      <w:tr w:rsidR="0005137F" w:rsidRPr="008A7E58" w14:paraId="2833D8F6" w14:textId="77777777">
        <w:tc>
          <w:tcPr>
            <w:tcW w:w="2405" w:type="dxa"/>
          </w:tcPr>
          <w:p w14:paraId="3479F645" w14:textId="77777777" w:rsidR="0005137F" w:rsidRPr="008A7E58" w:rsidRDefault="0005137F">
            <w:pPr>
              <w:jc w:val="both"/>
              <w:rPr>
                <w:lang w:val="ro-RO"/>
              </w:rPr>
            </w:pPr>
            <w:r w:rsidRPr="008A7E58">
              <w:rPr>
                <w:lang w:val="ro-RO"/>
              </w:rPr>
              <w:t>OPEX</w:t>
            </w:r>
          </w:p>
        </w:tc>
        <w:tc>
          <w:tcPr>
            <w:tcW w:w="6945" w:type="dxa"/>
          </w:tcPr>
          <w:p w14:paraId="45E974D5" w14:textId="77777777" w:rsidR="0005137F" w:rsidRPr="008A7E58" w:rsidRDefault="0005137F">
            <w:pPr>
              <w:jc w:val="both"/>
              <w:rPr>
                <w:lang w:val="ro-RO"/>
              </w:rPr>
            </w:pPr>
            <w:r w:rsidRPr="008A7E58">
              <w:rPr>
                <w:lang w:val="ro-RO"/>
              </w:rPr>
              <w:t>Costuri de operare și mentenanță</w:t>
            </w:r>
          </w:p>
        </w:tc>
      </w:tr>
      <w:tr w:rsidR="0005137F" w:rsidRPr="008A7E58" w14:paraId="3ADC8DB2" w14:textId="77777777">
        <w:tc>
          <w:tcPr>
            <w:tcW w:w="2405" w:type="dxa"/>
          </w:tcPr>
          <w:p w14:paraId="68171714" w14:textId="77777777" w:rsidR="0005137F" w:rsidRPr="008A7E58" w:rsidRDefault="0005137F">
            <w:pPr>
              <w:jc w:val="both"/>
              <w:rPr>
                <w:lang w:val="ro-RO"/>
              </w:rPr>
            </w:pPr>
            <w:r w:rsidRPr="008A7E58">
              <w:rPr>
                <w:lang w:val="ro-RO"/>
              </w:rPr>
              <w:t>RED II</w:t>
            </w:r>
          </w:p>
        </w:tc>
        <w:tc>
          <w:tcPr>
            <w:tcW w:w="6945" w:type="dxa"/>
          </w:tcPr>
          <w:p w14:paraId="58DD3F91" w14:textId="6C02FCEF" w:rsidR="0005137F" w:rsidRPr="008A7E58" w:rsidRDefault="0005137F" w:rsidP="00A16887">
            <w:pPr>
              <w:jc w:val="both"/>
              <w:rPr>
                <w:lang w:val="ro-RO"/>
              </w:rPr>
            </w:pPr>
            <w:r w:rsidRPr="008A7E58">
              <w:rPr>
                <w:lang w:val="ro-RO"/>
              </w:rPr>
              <w:t>Directiva (UE) 2018/2001</w:t>
            </w:r>
            <w:r w:rsidR="00B622B3" w:rsidRPr="008A7E58">
              <w:rPr>
                <w:lang w:val="ro-RO"/>
              </w:rPr>
              <w:t xml:space="preserve"> </w:t>
            </w:r>
            <w:r w:rsidR="00A16887" w:rsidRPr="008A7E58">
              <w:rPr>
                <w:lang w:val="ro-RO"/>
              </w:rPr>
              <w:t xml:space="preserve">a </w:t>
            </w:r>
            <w:r w:rsidR="000C5403" w:rsidRPr="008A7E58">
              <w:rPr>
                <w:lang w:val="ro-RO"/>
              </w:rPr>
              <w:t>P</w:t>
            </w:r>
            <w:r w:rsidR="00A16887" w:rsidRPr="008A7E58">
              <w:rPr>
                <w:lang w:val="ro-RO"/>
              </w:rPr>
              <w:t xml:space="preserve">arlamentului </w:t>
            </w:r>
            <w:r w:rsidR="000C5403" w:rsidRPr="008A7E58">
              <w:rPr>
                <w:lang w:val="ro-RO"/>
              </w:rPr>
              <w:t>E</w:t>
            </w:r>
            <w:r w:rsidR="00A16887" w:rsidRPr="008A7E58">
              <w:rPr>
                <w:lang w:val="ro-RO"/>
              </w:rPr>
              <w:t xml:space="preserve">uropean și a </w:t>
            </w:r>
            <w:r w:rsidR="000C5403" w:rsidRPr="008A7E58">
              <w:rPr>
                <w:lang w:val="ro-RO"/>
              </w:rPr>
              <w:t>C</w:t>
            </w:r>
            <w:r w:rsidR="00A16887" w:rsidRPr="008A7E58">
              <w:rPr>
                <w:lang w:val="ro-RO"/>
              </w:rPr>
              <w:t>onsiliului din 11 decembrie 2018 privind promovarea utilizării energiei din surse regenerabile</w:t>
            </w:r>
          </w:p>
        </w:tc>
      </w:tr>
      <w:tr w:rsidR="0005137F" w:rsidRPr="008A7E58" w14:paraId="3BE36D33" w14:textId="77777777">
        <w:tc>
          <w:tcPr>
            <w:tcW w:w="2405" w:type="dxa"/>
          </w:tcPr>
          <w:p w14:paraId="3A34AE58" w14:textId="77777777" w:rsidR="0005137F" w:rsidRPr="008A7E58" w:rsidRDefault="0005137F">
            <w:pPr>
              <w:jc w:val="both"/>
              <w:rPr>
                <w:lang w:val="ro-RO"/>
              </w:rPr>
            </w:pPr>
            <w:r w:rsidRPr="008A7E58">
              <w:rPr>
                <w:lang w:val="ro-RO"/>
              </w:rPr>
              <w:t>RED III</w:t>
            </w:r>
          </w:p>
        </w:tc>
        <w:tc>
          <w:tcPr>
            <w:tcW w:w="6945" w:type="dxa"/>
          </w:tcPr>
          <w:p w14:paraId="20119747" w14:textId="28DEE75A" w:rsidR="006B532B" w:rsidRPr="008A7E58" w:rsidRDefault="0005137F" w:rsidP="006B532B">
            <w:pPr>
              <w:jc w:val="both"/>
              <w:rPr>
                <w:lang w:val="ro-RO"/>
              </w:rPr>
            </w:pPr>
            <w:r w:rsidRPr="008A7E58">
              <w:rPr>
                <w:lang w:val="ro-RO"/>
              </w:rPr>
              <w:t>Directiva (UE) 2023/2413</w:t>
            </w:r>
            <w:r w:rsidR="006B532B" w:rsidRPr="008A7E58">
              <w:rPr>
                <w:lang w:val="ro-RO"/>
              </w:rPr>
              <w:t xml:space="preserve"> </w:t>
            </w:r>
            <w:r w:rsidR="001F56C7" w:rsidRPr="008A7E58">
              <w:rPr>
                <w:lang w:val="ro-RO"/>
              </w:rPr>
              <w:t xml:space="preserve">a Parlamentului European și a Consiliului </w:t>
            </w:r>
          </w:p>
          <w:p w14:paraId="12114727" w14:textId="1441CEC2" w:rsidR="0005137F" w:rsidRPr="008A7E58" w:rsidRDefault="006B532B" w:rsidP="001F56C7">
            <w:pPr>
              <w:jc w:val="both"/>
              <w:rPr>
                <w:lang w:val="ro-RO"/>
              </w:rPr>
            </w:pPr>
            <w:r w:rsidRPr="008A7E58">
              <w:rPr>
                <w:lang w:val="ro-RO"/>
              </w:rPr>
              <w:t>din 18 octombrie 2023</w:t>
            </w:r>
            <w:r w:rsidR="001F56C7" w:rsidRPr="008A7E58">
              <w:rPr>
                <w:lang w:val="ro-RO"/>
              </w:rPr>
              <w:t xml:space="preserve"> </w:t>
            </w:r>
            <w:r w:rsidRPr="008A7E58">
              <w:rPr>
                <w:lang w:val="ro-RO"/>
              </w:rPr>
              <w:t>de modificare a Directivei (UE) 2018/2001, a Regulamentului (UE) 2018/1999 și a Directivei 98/70/CE în ceea ce privește promovarea energiei din surse regenerabile și de abrogare a Directivei (UE) 2015/652 a Consiliului</w:t>
            </w:r>
          </w:p>
        </w:tc>
      </w:tr>
      <w:tr w:rsidR="008B7E7B" w:rsidRPr="008A7E58" w14:paraId="5B8BA294" w14:textId="77777777" w:rsidTr="008B7E7B">
        <w:tc>
          <w:tcPr>
            <w:tcW w:w="2405" w:type="dxa"/>
          </w:tcPr>
          <w:p w14:paraId="55A76A46" w14:textId="5C9AC59B" w:rsidR="008B7E7B" w:rsidRPr="008A7E58" w:rsidRDefault="008B7E7B" w:rsidP="008B7E7B">
            <w:pPr>
              <w:jc w:val="both"/>
              <w:rPr>
                <w:lang w:val="ro-RO"/>
              </w:rPr>
            </w:pPr>
            <w:r w:rsidRPr="008A7E58">
              <w:rPr>
                <w:lang w:val="ro-RO"/>
              </w:rPr>
              <w:t>CPT</w:t>
            </w:r>
          </w:p>
        </w:tc>
        <w:tc>
          <w:tcPr>
            <w:tcW w:w="6945" w:type="dxa"/>
          </w:tcPr>
          <w:p w14:paraId="12A4E902" w14:textId="73654727" w:rsidR="008B7E7B" w:rsidRPr="008A7E58" w:rsidRDefault="00873A15">
            <w:pPr>
              <w:jc w:val="both"/>
              <w:rPr>
                <w:lang w:val="ro-RO"/>
              </w:rPr>
            </w:pPr>
            <w:r w:rsidRPr="008A7E58">
              <w:rPr>
                <w:lang w:val="ro-RO"/>
              </w:rPr>
              <w:t>Consum propriu tehnologic</w:t>
            </w:r>
            <w:r w:rsidR="00061461">
              <w:rPr>
                <w:lang w:val="ro-RO"/>
              </w:rPr>
              <w:t xml:space="preserve"> al reţelei electrice de distribuţie</w:t>
            </w:r>
          </w:p>
        </w:tc>
      </w:tr>
      <w:tr w:rsidR="00C848E0" w:rsidRPr="008A7E58" w14:paraId="45CDE41D" w14:textId="77777777" w:rsidTr="00C848E0">
        <w:tc>
          <w:tcPr>
            <w:tcW w:w="2405" w:type="dxa"/>
          </w:tcPr>
          <w:p w14:paraId="04B133DA" w14:textId="5412B296" w:rsidR="00C848E0" w:rsidRPr="008A7E58" w:rsidRDefault="00C848E0" w:rsidP="008473C7">
            <w:pPr>
              <w:jc w:val="both"/>
              <w:rPr>
                <w:lang w:val="ro-RO"/>
              </w:rPr>
            </w:pPr>
            <w:r>
              <w:rPr>
                <w:lang w:val="ro-RO"/>
              </w:rPr>
              <w:t>J</w:t>
            </w:r>
            <w:r w:rsidRPr="008A7E58">
              <w:rPr>
                <w:lang w:val="ro-RO"/>
              </w:rPr>
              <w:t>T</w:t>
            </w:r>
          </w:p>
        </w:tc>
        <w:tc>
          <w:tcPr>
            <w:tcW w:w="6945" w:type="dxa"/>
          </w:tcPr>
          <w:p w14:paraId="1D1EE899" w14:textId="5D1F3813" w:rsidR="00C848E0" w:rsidRPr="008A7E58" w:rsidRDefault="00C848E0" w:rsidP="008473C7">
            <w:pPr>
              <w:jc w:val="both"/>
              <w:rPr>
                <w:lang w:val="ro-RO"/>
              </w:rPr>
            </w:pPr>
            <w:r>
              <w:rPr>
                <w:lang w:val="ro-RO"/>
              </w:rPr>
              <w:t>Joasă tensiune</w:t>
            </w:r>
          </w:p>
        </w:tc>
      </w:tr>
      <w:tr w:rsidR="00C848E0" w:rsidRPr="008A7E58" w14:paraId="63DE72DD" w14:textId="77777777" w:rsidTr="00C848E0">
        <w:tc>
          <w:tcPr>
            <w:tcW w:w="2405" w:type="dxa"/>
          </w:tcPr>
          <w:p w14:paraId="5EE3BCA2" w14:textId="0EE69D0F" w:rsidR="00C848E0" w:rsidRPr="008A7E58" w:rsidRDefault="00C848E0" w:rsidP="008473C7">
            <w:pPr>
              <w:jc w:val="both"/>
              <w:rPr>
                <w:lang w:val="ro-RO"/>
              </w:rPr>
            </w:pPr>
            <w:r>
              <w:rPr>
                <w:lang w:val="ro-RO"/>
              </w:rPr>
              <w:t>M</w:t>
            </w:r>
            <w:r w:rsidRPr="008A7E58">
              <w:rPr>
                <w:lang w:val="ro-RO"/>
              </w:rPr>
              <w:t>T</w:t>
            </w:r>
          </w:p>
        </w:tc>
        <w:tc>
          <w:tcPr>
            <w:tcW w:w="6945" w:type="dxa"/>
          </w:tcPr>
          <w:p w14:paraId="61C87FDF" w14:textId="7E7272D8" w:rsidR="00C848E0" w:rsidRPr="008A7E58" w:rsidRDefault="00C848E0" w:rsidP="008473C7">
            <w:pPr>
              <w:jc w:val="both"/>
              <w:rPr>
                <w:lang w:val="ro-RO"/>
              </w:rPr>
            </w:pPr>
            <w:r>
              <w:rPr>
                <w:lang w:val="ro-RO"/>
              </w:rPr>
              <w:t>Medie tensiune</w:t>
            </w:r>
          </w:p>
        </w:tc>
      </w:tr>
      <w:tr w:rsidR="00C848E0" w:rsidRPr="008A7E58" w14:paraId="225BD7C7" w14:textId="77777777" w:rsidTr="00C848E0">
        <w:tc>
          <w:tcPr>
            <w:tcW w:w="2405" w:type="dxa"/>
          </w:tcPr>
          <w:p w14:paraId="0F20E566" w14:textId="38CDF5C6" w:rsidR="00C848E0" w:rsidRPr="008A7E58" w:rsidRDefault="00C848E0" w:rsidP="008473C7">
            <w:pPr>
              <w:jc w:val="both"/>
              <w:rPr>
                <w:lang w:val="ro-RO"/>
              </w:rPr>
            </w:pPr>
            <w:r>
              <w:rPr>
                <w:lang w:val="ro-RO"/>
              </w:rPr>
              <w:t>I</w:t>
            </w:r>
            <w:r w:rsidRPr="008A7E58">
              <w:rPr>
                <w:lang w:val="ro-RO"/>
              </w:rPr>
              <w:t>T</w:t>
            </w:r>
          </w:p>
        </w:tc>
        <w:tc>
          <w:tcPr>
            <w:tcW w:w="6945" w:type="dxa"/>
          </w:tcPr>
          <w:p w14:paraId="7C0D394A" w14:textId="40DC5C8D" w:rsidR="00C848E0" w:rsidRPr="008A7E58" w:rsidRDefault="00C848E0" w:rsidP="008473C7">
            <w:pPr>
              <w:jc w:val="both"/>
              <w:rPr>
                <w:lang w:val="ro-RO"/>
              </w:rPr>
            </w:pPr>
            <w:r>
              <w:rPr>
                <w:lang w:val="ro-RO"/>
              </w:rPr>
              <w:t>Înaltă tensiune</w:t>
            </w:r>
          </w:p>
        </w:tc>
      </w:tr>
    </w:tbl>
    <w:p w14:paraId="07C90664" w14:textId="77777777" w:rsidR="008B7E7B" w:rsidRPr="008A7E58" w:rsidRDefault="008B7E7B" w:rsidP="0005137F">
      <w:pPr>
        <w:spacing w:after="0"/>
        <w:jc w:val="both"/>
        <w:rPr>
          <w:lang w:val="ro-RO"/>
        </w:rPr>
      </w:pPr>
    </w:p>
    <w:p w14:paraId="6113D1B5" w14:textId="0476D402" w:rsidR="005B034E" w:rsidRPr="008A7E58" w:rsidRDefault="005B034E" w:rsidP="0005137F">
      <w:pPr>
        <w:spacing w:after="0"/>
        <w:jc w:val="both"/>
        <w:rPr>
          <w:lang w:val="ro-RO"/>
        </w:rPr>
      </w:pPr>
    </w:p>
    <w:p w14:paraId="3930E684" w14:textId="78811B16" w:rsidR="0005137F" w:rsidRPr="008A7E58" w:rsidRDefault="0005137F" w:rsidP="0005137F">
      <w:pPr>
        <w:spacing w:after="0"/>
        <w:jc w:val="both"/>
        <w:rPr>
          <w:lang w:val="ro-RO"/>
        </w:rPr>
      </w:pPr>
      <w:r w:rsidRPr="008A7E58">
        <w:rPr>
          <w:lang w:val="ro-RO"/>
        </w:rPr>
        <w:t>CAPITOLUL III</w:t>
      </w:r>
    </w:p>
    <w:p w14:paraId="240821DC" w14:textId="431C8AE1" w:rsidR="0005137F" w:rsidRPr="008A7E58" w:rsidRDefault="00E2397B" w:rsidP="0005137F">
      <w:pPr>
        <w:spacing w:after="0"/>
        <w:jc w:val="both"/>
        <w:rPr>
          <w:lang w:val="ro-RO"/>
        </w:rPr>
      </w:pPr>
      <w:r w:rsidRPr="008A7E58">
        <w:rPr>
          <w:lang w:val="ro-RO"/>
        </w:rPr>
        <w:t xml:space="preserve">Documentația – </w:t>
      </w:r>
      <w:r w:rsidR="0005137F" w:rsidRPr="008A7E58">
        <w:rPr>
          <w:lang w:val="ro-RO"/>
        </w:rPr>
        <w:t>Date necesare pentru efectuarea analizei cost-beneficiu</w:t>
      </w:r>
    </w:p>
    <w:p w14:paraId="6707A878" w14:textId="18C1E3E4" w:rsidR="0005137F" w:rsidRPr="008A7E58" w:rsidRDefault="0005137F" w:rsidP="0005137F">
      <w:pPr>
        <w:spacing w:after="0"/>
        <w:jc w:val="both"/>
        <w:rPr>
          <w:lang w:val="ro-RO"/>
        </w:rPr>
      </w:pPr>
      <w:r w:rsidRPr="008A7E58">
        <w:rPr>
          <w:b/>
          <w:bCs/>
          <w:lang w:val="ro-RO"/>
        </w:rPr>
        <w:t xml:space="preserve">Art. </w:t>
      </w:r>
      <w:r w:rsidR="00DE5F2C" w:rsidRPr="008A7E58">
        <w:rPr>
          <w:b/>
          <w:bCs/>
          <w:lang w:val="ro-RO"/>
        </w:rPr>
        <w:t xml:space="preserve">4 </w:t>
      </w:r>
      <w:r w:rsidRPr="008A7E58">
        <w:rPr>
          <w:b/>
          <w:bCs/>
          <w:lang w:val="ro-RO"/>
        </w:rPr>
        <w:t>– Date furnizate de CESR</w:t>
      </w:r>
    </w:p>
    <w:p w14:paraId="2BD70299" w14:textId="44AE3C22" w:rsidR="0005137F" w:rsidRPr="008A7E58" w:rsidRDefault="00857192" w:rsidP="00182AD2">
      <w:pPr>
        <w:pStyle w:val="ListParagraph"/>
        <w:numPr>
          <w:ilvl w:val="0"/>
          <w:numId w:val="22"/>
        </w:numPr>
        <w:spacing w:after="0"/>
        <w:jc w:val="both"/>
        <w:rPr>
          <w:lang w:val="ro-RO"/>
        </w:rPr>
      </w:pPr>
      <w:r w:rsidRPr="00857192">
        <w:rPr>
          <w:lang w:val="ro-RO"/>
        </w:rPr>
        <w:t>În vederea elaborării de către ANRE a unei analize privind determinarea costurilor totale ale sistemului de distribuție aplicabile partajării energiei regenerabile în cadrul unei CESR, în conformitate cu prevederile art. 22^6, alin. (</w:t>
      </w:r>
      <w:r w:rsidR="00300520">
        <w:rPr>
          <w:lang w:val="ro-RO"/>
        </w:rPr>
        <w:t>3</w:t>
      </w:r>
      <w:r w:rsidRPr="00857192">
        <w:rPr>
          <w:lang w:val="ro-RO"/>
        </w:rPr>
        <w:t xml:space="preserve">) din Ordonanța de urgență a Guvernului nr. 163/2022, cu modificările și completările ulterioare, </w:t>
      </w:r>
      <w:r w:rsidR="0005137F" w:rsidRPr="008A7E58">
        <w:rPr>
          <w:lang w:val="ro-RO"/>
        </w:rPr>
        <w:t xml:space="preserve">CESR transmite </w:t>
      </w:r>
      <w:r w:rsidR="00E05987" w:rsidRPr="008A7E58">
        <w:rPr>
          <w:lang w:val="ro-RO"/>
        </w:rPr>
        <w:t>ODC</w:t>
      </w:r>
      <w:r w:rsidR="0005137F" w:rsidRPr="008A7E58">
        <w:rPr>
          <w:lang w:val="ro-RO"/>
        </w:rPr>
        <w:t xml:space="preserve"> </w:t>
      </w:r>
      <w:r w:rsidR="00A6766D" w:rsidRPr="008A7E58">
        <w:rPr>
          <w:lang w:val="ro-RO"/>
        </w:rPr>
        <w:t xml:space="preserve">o solicitare </w:t>
      </w:r>
      <w:r w:rsidR="00ED0D7A">
        <w:rPr>
          <w:lang w:val="ro-RO"/>
        </w:rPr>
        <w:t>pentru</w:t>
      </w:r>
      <w:r w:rsidR="008F567E" w:rsidRPr="008A7E58">
        <w:rPr>
          <w:lang w:val="ro-RO"/>
        </w:rPr>
        <w:t xml:space="preserve"> furnizarea datelor </w:t>
      </w:r>
      <w:r w:rsidR="00A6766D" w:rsidRPr="008A7E58">
        <w:rPr>
          <w:lang w:val="ro-RO"/>
        </w:rPr>
        <w:t xml:space="preserve">necesare analizei cost-beneficiu, însoțită de </w:t>
      </w:r>
      <w:r w:rsidR="0005137F" w:rsidRPr="008A7E58">
        <w:rPr>
          <w:lang w:val="ro-RO"/>
        </w:rPr>
        <w:t xml:space="preserve">următoarele </w:t>
      </w:r>
      <w:r w:rsidR="00811231" w:rsidRPr="008A7E58">
        <w:rPr>
          <w:lang w:val="ro-RO"/>
        </w:rPr>
        <w:t>date/</w:t>
      </w:r>
      <w:r w:rsidR="0005137F" w:rsidRPr="008A7E58">
        <w:rPr>
          <w:lang w:val="ro-RO"/>
        </w:rPr>
        <w:t>informații:</w:t>
      </w:r>
    </w:p>
    <w:p w14:paraId="728B7CD9" w14:textId="6A428B54" w:rsidR="0005137F" w:rsidRPr="008A7E58" w:rsidRDefault="0005137F" w:rsidP="0005137F">
      <w:pPr>
        <w:numPr>
          <w:ilvl w:val="0"/>
          <w:numId w:val="6"/>
        </w:numPr>
        <w:spacing w:after="0"/>
        <w:jc w:val="both"/>
        <w:rPr>
          <w:lang w:val="ro-RO"/>
        </w:rPr>
      </w:pPr>
      <w:r w:rsidRPr="008A7E58">
        <w:rPr>
          <w:lang w:val="ro-RO"/>
        </w:rPr>
        <w:t xml:space="preserve">lista locurilor de consum și/sau </w:t>
      </w:r>
      <w:r w:rsidR="000A5643" w:rsidRPr="008A7E58">
        <w:rPr>
          <w:lang w:val="ro-RO"/>
        </w:rPr>
        <w:t xml:space="preserve">de </w:t>
      </w:r>
      <w:r w:rsidRPr="008A7E58">
        <w:rPr>
          <w:lang w:val="ro-RO"/>
        </w:rPr>
        <w:t>producere ale membrilor;</w:t>
      </w:r>
    </w:p>
    <w:p w14:paraId="6C4185CB" w14:textId="77777777" w:rsidR="0005137F" w:rsidRPr="008A7E58" w:rsidRDefault="0005137F" w:rsidP="0005137F">
      <w:pPr>
        <w:numPr>
          <w:ilvl w:val="0"/>
          <w:numId w:val="6"/>
        </w:numPr>
        <w:spacing w:after="0"/>
        <w:jc w:val="both"/>
        <w:rPr>
          <w:lang w:val="ro-RO"/>
        </w:rPr>
      </w:pPr>
      <w:r w:rsidRPr="008A7E58">
        <w:rPr>
          <w:lang w:val="ro-RO"/>
        </w:rPr>
        <w:t>cantitățile anuale estimate de producție, autoconsum/ consum, stocare și livrare în rețea;</w:t>
      </w:r>
    </w:p>
    <w:p w14:paraId="28B6AB6B" w14:textId="77777777" w:rsidR="0005137F" w:rsidRPr="008A7E58" w:rsidRDefault="0005137F" w:rsidP="0005137F">
      <w:pPr>
        <w:numPr>
          <w:ilvl w:val="0"/>
          <w:numId w:val="6"/>
        </w:numPr>
        <w:spacing w:after="0"/>
        <w:jc w:val="both"/>
        <w:rPr>
          <w:lang w:val="ro-RO"/>
        </w:rPr>
      </w:pPr>
      <w:r w:rsidRPr="008A7E58">
        <w:rPr>
          <w:lang w:val="ro-RO"/>
        </w:rPr>
        <w:t>existența și caracteristicile capacităților de stocare;</w:t>
      </w:r>
    </w:p>
    <w:p w14:paraId="02DAE64A" w14:textId="632FF422" w:rsidR="0005137F" w:rsidRPr="008A7E58" w:rsidRDefault="0005137F" w:rsidP="0005137F">
      <w:pPr>
        <w:numPr>
          <w:ilvl w:val="0"/>
          <w:numId w:val="6"/>
        </w:numPr>
        <w:spacing w:after="0"/>
        <w:jc w:val="both"/>
        <w:rPr>
          <w:lang w:val="ro-RO"/>
        </w:rPr>
      </w:pPr>
      <w:r w:rsidRPr="008A7E58">
        <w:rPr>
          <w:lang w:val="ro-RO"/>
        </w:rPr>
        <w:t xml:space="preserve">orice alte informații considerate </w:t>
      </w:r>
      <w:r w:rsidR="00C25044" w:rsidRPr="008A7E58">
        <w:rPr>
          <w:lang w:val="ro-RO"/>
        </w:rPr>
        <w:t xml:space="preserve">relevante </w:t>
      </w:r>
      <w:r w:rsidRPr="008A7E58">
        <w:rPr>
          <w:lang w:val="ro-RO"/>
        </w:rPr>
        <w:t>pentru efectuarea analizei.</w:t>
      </w:r>
    </w:p>
    <w:p w14:paraId="51A0ABEA" w14:textId="72EB43B7" w:rsidR="002546CE" w:rsidRPr="008A7E58" w:rsidRDefault="002546CE" w:rsidP="002546CE">
      <w:pPr>
        <w:pStyle w:val="ListParagraph"/>
        <w:numPr>
          <w:ilvl w:val="0"/>
          <w:numId w:val="22"/>
        </w:numPr>
        <w:spacing w:after="0"/>
        <w:jc w:val="both"/>
        <w:rPr>
          <w:lang w:val="ro-RO"/>
        </w:rPr>
      </w:pPr>
      <w:r w:rsidRPr="008A7E58">
        <w:rPr>
          <w:lang w:val="ro-RO"/>
        </w:rPr>
        <w:t>CESR achită ODC tariful pentru calculul şi furnizarea datelor necesare analizei cost-beneficiu.</w:t>
      </w:r>
    </w:p>
    <w:p w14:paraId="1348B1A9" w14:textId="02142503" w:rsidR="002546CE" w:rsidRPr="008A7E58" w:rsidRDefault="002546CE">
      <w:pPr>
        <w:pStyle w:val="ListParagraph"/>
        <w:numPr>
          <w:ilvl w:val="0"/>
          <w:numId w:val="22"/>
        </w:numPr>
        <w:spacing w:after="0"/>
        <w:jc w:val="both"/>
        <w:rPr>
          <w:lang w:val="ro-RO"/>
        </w:rPr>
      </w:pPr>
      <w:r w:rsidRPr="008A7E58">
        <w:rPr>
          <w:lang w:val="ro-RO"/>
        </w:rPr>
        <w:t xml:space="preserve">Tariful </w:t>
      </w:r>
      <w:r w:rsidR="00086438">
        <w:rPr>
          <w:lang w:val="ro-RO"/>
        </w:rPr>
        <w:t>prevăzut la alin. (2)</w:t>
      </w:r>
      <w:r w:rsidRPr="008A7E58">
        <w:rPr>
          <w:lang w:val="ro-RO"/>
        </w:rPr>
        <w:t xml:space="preserve"> este egal cu tariful pentru emiterea avizului tehnic de racordare pentru un loc de consum şi/sau de producere cu puterea egală cu suma puterilor locurilor de consum şi/sau de producere aprobate pentru membrii CESR.</w:t>
      </w:r>
    </w:p>
    <w:p w14:paraId="672027CC" w14:textId="77777777" w:rsidR="001F2590" w:rsidRPr="008A7E58" w:rsidRDefault="001F2590" w:rsidP="0005137F">
      <w:pPr>
        <w:spacing w:after="0"/>
        <w:jc w:val="both"/>
        <w:rPr>
          <w:b/>
          <w:bCs/>
          <w:lang w:val="ro-RO"/>
        </w:rPr>
      </w:pPr>
    </w:p>
    <w:p w14:paraId="702ADECA" w14:textId="41B5AE8B" w:rsidR="0005137F" w:rsidRPr="008A7E58" w:rsidRDefault="0005137F" w:rsidP="0005137F">
      <w:pPr>
        <w:spacing w:after="0"/>
        <w:jc w:val="both"/>
        <w:rPr>
          <w:lang w:val="ro-RO"/>
        </w:rPr>
      </w:pPr>
      <w:r w:rsidRPr="008A7E58">
        <w:rPr>
          <w:b/>
          <w:bCs/>
          <w:lang w:val="ro-RO"/>
        </w:rPr>
        <w:t xml:space="preserve">Art. </w:t>
      </w:r>
      <w:r w:rsidR="00DE5F2C" w:rsidRPr="008A7E58">
        <w:rPr>
          <w:b/>
          <w:bCs/>
          <w:lang w:val="ro-RO"/>
        </w:rPr>
        <w:t xml:space="preserve">5 </w:t>
      </w:r>
      <w:r w:rsidRPr="008A7E58">
        <w:rPr>
          <w:b/>
          <w:bCs/>
          <w:lang w:val="ro-RO"/>
        </w:rPr>
        <w:t>– Date furnizate de operatorul de distribuție concesionar</w:t>
      </w:r>
    </w:p>
    <w:p w14:paraId="37B1E0F2" w14:textId="7F44E09F" w:rsidR="0005137F" w:rsidRPr="008A7E58" w:rsidRDefault="009B5964" w:rsidP="0005137F">
      <w:pPr>
        <w:spacing w:after="0"/>
        <w:jc w:val="both"/>
        <w:rPr>
          <w:lang w:val="ro-RO"/>
        </w:rPr>
      </w:pPr>
      <w:r w:rsidRPr="008A7E58">
        <w:rPr>
          <w:lang w:val="ro-RO"/>
        </w:rPr>
        <w:t xml:space="preserve">În termen de </w:t>
      </w:r>
      <w:r w:rsidR="00C25044" w:rsidRPr="008A7E58">
        <w:rPr>
          <w:lang w:val="ro-RO"/>
        </w:rPr>
        <w:t xml:space="preserve">15 </w:t>
      </w:r>
      <w:r w:rsidRPr="008A7E58">
        <w:rPr>
          <w:lang w:val="ro-RO"/>
        </w:rPr>
        <w:t xml:space="preserve">zile de la solicitarea CESR </w:t>
      </w:r>
      <w:r w:rsidR="00CD2F6A" w:rsidRPr="008A7E58">
        <w:rPr>
          <w:lang w:val="ro-RO"/>
        </w:rPr>
        <w:t xml:space="preserve">prevăzută </w:t>
      </w:r>
      <w:r w:rsidRPr="008A7E58">
        <w:rPr>
          <w:lang w:val="ro-RO"/>
        </w:rPr>
        <w:t xml:space="preserve">la </w:t>
      </w:r>
      <w:r w:rsidR="00C25044" w:rsidRPr="008A7E58">
        <w:rPr>
          <w:lang w:val="ro-RO"/>
        </w:rPr>
        <w:t xml:space="preserve">art. </w:t>
      </w:r>
      <w:r w:rsidR="00DE5F2C" w:rsidRPr="008A7E58">
        <w:rPr>
          <w:lang w:val="ro-RO"/>
        </w:rPr>
        <w:t>4</w:t>
      </w:r>
      <w:r w:rsidRPr="008A7E58">
        <w:rPr>
          <w:lang w:val="ro-RO"/>
        </w:rPr>
        <w:t>, ODC</w:t>
      </w:r>
      <w:r w:rsidR="0005137F" w:rsidRPr="008A7E58">
        <w:rPr>
          <w:lang w:val="ro-RO"/>
        </w:rPr>
        <w:t xml:space="preserve"> </w:t>
      </w:r>
      <w:r w:rsidR="00E571CF">
        <w:rPr>
          <w:lang w:val="ro-RO"/>
        </w:rPr>
        <w:t xml:space="preserve">are obligaţia să </w:t>
      </w:r>
      <w:r w:rsidR="0005137F" w:rsidRPr="008A7E58">
        <w:rPr>
          <w:lang w:val="ro-RO"/>
        </w:rPr>
        <w:t>transmit</w:t>
      </w:r>
      <w:r w:rsidR="00E571CF">
        <w:rPr>
          <w:lang w:val="ro-RO"/>
        </w:rPr>
        <w:t>ă</w:t>
      </w:r>
      <w:r w:rsidR="0005137F" w:rsidRPr="008A7E58">
        <w:rPr>
          <w:lang w:val="ro-RO"/>
        </w:rPr>
        <w:t xml:space="preserve"> </w:t>
      </w:r>
      <w:r w:rsidR="005D1FC2" w:rsidRPr="008A7E58">
        <w:rPr>
          <w:lang w:val="ro-RO"/>
        </w:rPr>
        <w:t>CESR</w:t>
      </w:r>
      <w:r w:rsidR="0005137F" w:rsidRPr="008A7E58">
        <w:rPr>
          <w:lang w:val="ro-RO"/>
        </w:rPr>
        <w:t xml:space="preserve"> următoarele </w:t>
      </w:r>
      <w:r w:rsidR="00811231" w:rsidRPr="008A7E58">
        <w:rPr>
          <w:lang w:val="ro-RO"/>
        </w:rPr>
        <w:t>date/</w:t>
      </w:r>
      <w:r w:rsidR="0005137F" w:rsidRPr="008A7E58">
        <w:rPr>
          <w:lang w:val="ro-RO"/>
        </w:rPr>
        <w:t>informații:</w:t>
      </w:r>
    </w:p>
    <w:p w14:paraId="7352670A" w14:textId="4B502D68" w:rsidR="0005137F" w:rsidRPr="008A7E58" w:rsidRDefault="0005137F" w:rsidP="0005137F">
      <w:pPr>
        <w:numPr>
          <w:ilvl w:val="0"/>
          <w:numId w:val="7"/>
        </w:numPr>
        <w:spacing w:after="0"/>
        <w:jc w:val="both"/>
        <w:rPr>
          <w:lang w:val="ro-RO"/>
        </w:rPr>
      </w:pPr>
      <w:r w:rsidRPr="008A7E58">
        <w:rPr>
          <w:lang w:val="ro-RO"/>
        </w:rPr>
        <w:lastRenderedPageBreak/>
        <w:t xml:space="preserve">nivelul CPT și costurile </w:t>
      </w:r>
      <w:r w:rsidR="008B7E7B" w:rsidRPr="008A7E58">
        <w:rPr>
          <w:lang w:val="ro-RO"/>
        </w:rPr>
        <w:t xml:space="preserve">anuale </w:t>
      </w:r>
      <w:r w:rsidRPr="008A7E58">
        <w:rPr>
          <w:lang w:val="ro-RO"/>
        </w:rPr>
        <w:t>aferente</w:t>
      </w:r>
      <w:r w:rsidR="008B7E7B" w:rsidRPr="008A7E58">
        <w:rPr>
          <w:lang w:val="ro-RO"/>
        </w:rPr>
        <w:t xml:space="preserve"> achiziţiei CPT</w:t>
      </w:r>
      <w:r w:rsidRPr="008A7E58">
        <w:rPr>
          <w:lang w:val="ro-RO"/>
        </w:rPr>
        <w:t xml:space="preserve"> din zona de rețea</w:t>
      </w:r>
      <w:r w:rsidR="00716B60" w:rsidRPr="008A7E58">
        <w:rPr>
          <w:lang w:val="ro-RO"/>
        </w:rPr>
        <w:t xml:space="preserve"> de distribuţie la care sunt racordate locurile de consum şi/sau de producer</w:t>
      </w:r>
      <w:r w:rsidR="005B034E" w:rsidRPr="008A7E58">
        <w:rPr>
          <w:lang w:val="ro-RO"/>
        </w:rPr>
        <w:t>e</w:t>
      </w:r>
      <w:r w:rsidR="00716B60" w:rsidRPr="008A7E58">
        <w:rPr>
          <w:lang w:val="ro-RO"/>
        </w:rPr>
        <w:t xml:space="preserve"> ale membrilor CESR</w:t>
      </w:r>
      <w:r w:rsidRPr="008A7E58">
        <w:rPr>
          <w:lang w:val="ro-RO"/>
        </w:rPr>
        <w:t xml:space="preserve">, în </w:t>
      </w:r>
      <w:r w:rsidR="008B7E7B" w:rsidRPr="008A7E58">
        <w:rPr>
          <w:lang w:val="ro-RO"/>
        </w:rPr>
        <w:t xml:space="preserve">scenariul de referinţǎ şi în </w:t>
      </w:r>
      <w:r w:rsidR="005B7CB7" w:rsidRPr="008A7E58">
        <w:rPr>
          <w:lang w:val="ro-RO"/>
        </w:rPr>
        <w:t>scenariul CESR</w:t>
      </w:r>
      <w:r w:rsidR="00F635C7" w:rsidRPr="008A7E58">
        <w:rPr>
          <w:lang w:val="ro-RO"/>
        </w:rPr>
        <w:t>, pe fiecare nivel de tensiune</w:t>
      </w:r>
      <w:r w:rsidR="00E571CF">
        <w:rPr>
          <w:lang w:val="ro-RO"/>
        </w:rPr>
        <w:t>: JT, MT şi IT</w:t>
      </w:r>
      <w:r w:rsidRPr="008A7E58">
        <w:rPr>
          <w:lang w:val="ro-RO"/>
        </w:rPr>
        <w:t>;</w:t>
      </w:r>
    </w:p>
    <w:p w14:paraId="3B47F2A1" w14:textId="39A12EBA" w:rsidR="0005137F" w:rsidRPr="008A7E58" w:rsidRDefault="0005137F" w:rsidP="0005137F">
      <w:pPr>
        <w:numPr>
          <w:ilvl w:val="0"/>
          <w:numId w:val="7"/>
        </w:numPr>
        <w:spacing w:after="0"/>
        <w:jc w:val="both"/>
        <w:rPr>
          <w:lang w:val="ro-RO"/>
        </w:rPr>
      </w:pPr>
      <w:r w:rsidRPr="008A7E58">
        <w:rPr>
          <w:lang w:val="ro-RO"/>
        </w:rPr>
        <w:t xml:space="preserve">variația CPT </w:t>
      </w:r>
      <w:r w:rsidR="008B7E7B" w:rsidRPr="008A7E58">
        <w:rPr>
          <w:lang w:val="ro-RO"/>
        </w:rPr>
        <w:t>şi variaţia costurilor cu achiziţia CPT din zona de reţea</w:t>
      </w:r>
      <w:r w:rsidR="00F635C7" w:rsidRPr="008A7E58">
        <w:rPr>
          <w:lang w:val="ro-RO"/>
        </w:rPr>
        <w:t xml:space="preserve"> de distribuţie</w:t>
      </w:r>
      <w:r w:rsidR="008B7E7B" w:rsidRPr="008A7E58">
        <w:rPr>
          <w:lang w:val="ro-RO"/>
        </w:rPr>
        <w:t>,</w:t>
      </w:r>
      <w:r w:rsidR="00280784" w:rsidRPr="008A7E58">
        <w:rPr>
          <w:lang w:val="ro-RO"/>
        </w:rPr>
        <w:t xml:space="preserve"> calculate ca diferenţǎ între valorile obţinute în scenariul de referin</w:t>
      </w:r>
      <w:r w:rsidR="005B7CB7" w:rsidRPr="008A7E58">
        <w:rPr>
          <w:lang w:val="ro-RO"/>
        </w:rPr>
        <w:t>ţǎ şi în scenariul</w:t>
      </w:r>
      <w:r w:rsidRPr="008A7E58">
        <w:rPr>
          <w:lang w:val="ro-RO"/>
        </w:rPr>
        <w:t xml:space="preserve"> CESR</w:t>
      </w:r>
      <w:r w:rsidR="00F635C7" w:rsidRPr="008A7E58">
        <w:rPr>
          <w:lang w:val="ro-RO"/>
        </w:rPr>
        <w:t>, pe fiecare nivel de tensiune</w:t>
      </w:r>
      <w:r w:rsidR="00C848E0">
        <w:rPr>
          <w:lang w:val="ro-RO"/>
        </w:rPr>
        <w:t>: JT, MT şi IT</w:t>
      </w:r>
      <w:r w:rsidRPr="008A7E58">
        <w:rPr>
          <w:lang w:val="ro-RO"/>
        </w:rPr>
        <w:t>;</w:t>
      </w:r>
    </w:p>
    <w:p w14:paraId="2DCD3E0A" w14:textId="5971CF21" w:rsidR="00F635C7" w:rsidRPr="008A7E58" w:rsidRDefault="00F635C7" w:rsidP="0005137F">
      <w:pPr>
        <w:numPr>
          <w:ilvl w:val="0"/>
          <w:numId w:val="7"/>
        </w:numPr>
        <w:spacing w:after="0"/>
        <w:jc w:val="both"/>
        <w:rPr>
          <w:lang w:val="ro-RO"/>
        </w:rPr>
      </w:pPr>
      <w:r w:rsidRPr="008A7E58">
        <w:rPr>
          <w:lang w:val="ro-RO"/>
        </w:rPr>
        <w:t xml:space="preserve">cantitatea de energie electricǎ </w:t>
      </w:r>
      <w:r w:rsidR="005F515A" w:rsidRPr="008A7E58">
        <w:rPr>
          <w:lang w:val="ro-RO"/>
        </w:rPr>
        <w:t>partajată</w:t>
      </w:r>
      <w:r w:rsidR="00695CDD" w:rsidRPr="008A7E58">
        <w:rPr>
          <w:lang w:val="ro-RO"/>
        </w:rPr>
        <w:t>,</w:t>
      </w:r>
      <w:r w:rsidR="008A4187" w:rsidRPr="008A7E58">
        <w:rPr>
          <w:lang w:val="ro-RO"/>
        </w:rPr>
        <w:t xml:space="preserve"> care </w:t>
      </w:r>
      <w:r w:rsidRPr="008A7E58">
        <w:rPr>
          <w:lang w:val="ro-RO"/>
        </w:rPr>
        <w:t>tranzit</w:t>
      </w:r>
      <w:r w:rsidR="008A4187" w:rsidRPr="008A7E58">
        <w:rPr>
          <w:lang w:val="ro-RO"/>
        </w:rPr>
        <w:t>eazǎ</w:t>
      </w:r>
      <w:r w:rsidRPr="008A7E58">
        <w:rPr>
          <w:lang w:val="ro-RO"/>
        </w:rPr>
        <w:t xml:space="preserve"> numai reţeaua electricǎ de distribuţie cu un anumit nivel de tensiune şi care nu tranziteazǎ reţelele cu nivel</w:t>
      </w:r>
      <w:r w:rsidR="0072546F" w:rsidRPr="008A7E58">
        <w:rPr>
          <w:lang w:val="ro-RO"/>
        </w:rPr>
        <w:t>uri</w:t>
      </w:r>
      <w:r w:rsidRPr="008A7E58">
        <w:rPr>
          <w:lang w:val="ro-RO"/>
        </w:rPr>
        <w:t xml:space="preserve"> de tensiune superioarǎ; </w:t>
      </w:r>
    </w:p>
    <w:p w14:paraId="5233D80A" w14:textId="2AB84458" w:rsidR="0005137F" w:rsidRPr="008A7E58" w:rsidRDefault="0005137F" w:rsidP="0005137F">
      <w:pPr>
        <w:numPr>
          <w:ilvl w:val="0"/>
          <w:numId w:val="7"/>
        </w:numPr>
        <w:spacing w:after="0"/>
        <w:jc w:val="both"/>
        <w:rPr>
          <w:lang w:val="ro-RO"/>
        </w:rPr>
      </w:pPr>
      <w:r w:rsidRPr="008A7E58">
        <w:rPr>
          <w:lang w:val="ro-RO"/>
        </w:rPr>
        <w:t>nivelul investițional prognozat pentru anul în curs și următorii patru ani</w:t>
      </w:r>
      <w:r w:rsidR="005315AD" w:rsidRPr="008A7E58">
        <w:rPr>
          <w:lang w:val="ro-RO"/>
        </w:rPr>
        <w:t xml:space="preserve"> în scenariul de referinţǎ şi în scenariul CESR</w:t>
      </w:r>
      <w:r w:rsidRPr="008A7E58">
        <w:rPr>
          <w:lang w:val="ro-RO"/>
        </w:rPr>
        <w:t>;</w:t>
      </w:r>
    </w:p>
    <w:p w14:paraId="29F3D166" w14:textId="5C77DE99" w:rsidR="0005137F" w:rsidRPr="008A7E58" w:rsidRDefault="0005137F" w:rsidP="0005137F">
      <w:pPr>
        <w:numPr>
          <w:ilvl w:val="0"/>
          <w:numId w:val="7"/>
        </w:numPr>
        <w:spacing w:after="0"/>
        <w:jc w:val="both"/>
        <w:rPr>
          <w:lang w:val="ro-RO"/>
        </w:rPr>
      </w:pPr>
      <w:r w:rsidRPr="008A7E58">
        <w:rPr>
          <w:lang w:val="ro-RO"/>
        </w:rPr>
        <w:t>lucrările de investiții evitate sau suplimentare ca urmare a funcționării CESR</w:t>
      </w:r>
      <w:r w:rsidR="005315AD" w:rsidRPr="008A7E58">
        <w:rPr>
          <w:lang w:val="ro-RO"/>
        </w:rPr>
        <w:t>, rezultate din compararea nivelului investiţional în scenariul de referinţǎ şi în scenariul CESR</w:t>
      </w:r>
      <w:r w:rsidRPr="008A7E58">
        <w:rPr>
          <w:lang w:val="ro-RO"/>
        </w:rPr>
        <w:t>;</w:t>
      </w:r>
    </w:p>
    <w:p w14:paraId="09B500C3" w14:textId="767BCB0E" w:rsidR="0005137F" w:rsidRPr="008A7E58" w:rsidRDefault="0005137F" w:rsidP="0005137F">
      <w:pPr>
        <w:numPr>
          <w:ilvl w:val="0"/>
          <w:numId w:val="7"/>
        </w:numPr>
        <w:spacing w:after="0"/>
        <w:jc w:val="both"/>
        <w:rPr>
          <w:lang w:val="ro-RO"/>
        </w:rPr>
      </w:pPr>
      <w:r w:rsidRPr="008A7E58">
        <w:rPr>
          <w:lang w:val="ro-RO"/>
        </w:rPr>
        <w:t xml:space="preserve">costurile de CAPEX și OPEX aferente lucrărilor </w:t>
      </w:r>
      <w:r w:rsidR="000B056A" w:rsidRPr="008A7E58">
        <w:rPr>
          <w:lang w:val="ro-RO"/>
        </w:rPr>
        <w:t xml:space="preserve">de investiţii </w:t>
      </w:r>
      <w:r w:rsidRPr="008A7E58">
        <w:rPr>
          <w:lang w:val="ro-RO"/>
        </w:rPr>
        <w:t>evitate sau suplimentare;</w:t>
      </w:r>
    </w:p>
    <w:p w14:paraId="7FEAEFFC" w14:textId="3F6ECF20" w:rsidR="0005137F" w:rsidRPr="008A7E58" w:rsidRDefault="0005137F" w:rsidP="0005137F">
      <w:pPr>
        <w:numPr>
          <w:ilvl w:val="0"/>
          <w:numId w:val="7"/>
        </w:numPr>
        <w:spacing w:after="0"/>
        <w:jc w:val="both"/>
        <w:rPr>
          <w:lang w:val="ro-RO"/>
        </w:rPr>
      </w:pPr>
      <w:r w:rsidRPr="008A7E58">
        <w:rPr>
          <w:lang w:val="ro-RO"/>
        </w:rPr>
        <w:t>congestiile înregistrate în anul precedent și costurile aferente;</w:t>
      </w:r>
    </w:p>
    <w:p w14:paraId="73058AC2" w14:textId="1EB36991" w:rsidR="0005137F" w:rsidRPr="008A7E58" w:rsidRDefault="0005137F" w:rsidP="0005137F">
      <w:pPr>
        <w:numPr>
          <w:ilvl w:val="0"/>
          <w:numId w:val="7"/>
        </w:numPr>
        <w:spacing w:after="0"/>
        <w:jc w:val="both"/>
        <w:rPr>
          <w:lang w:val="ro-RO"/>
        </w:rPr>
      </w:pPr>
      <w:r w:rsidRPr="008A7E58">
        <w:rPr>
          <w:lang w:val="ro-RO"/>
        </w:rPr>
        <w:t>congestiile evitate sau suplimentare generate de CESR și costurile aferente;</w:t>
      </w:r>
    </w:p>
    <w:p w14:paraId="40EA2450" w14:textId="15F8FA5B" w:rsidR="00C81C2F" w:rsidRPr="008A7E58" w:rsidRDefault="00C81C2F" w:rsidP="0005137F">
      <w:pPr>
        <w:numPr>
          <w:ilvl w:val="0"/>
          <w:numId w:val="7"/>
        </w:numPr>
        <w:spacing w:after="0"/>
        <w:jc w:val="both"/>
        <w:rPr>
          <w:lang w:val="ro-RO"/>
        </w:rPr>
      </w:pPr>
      <w:r w:rsidRPr="008A7E58">
        <w:rPr>
          <w:lang w:val="ro-RO"/>
        </w:rPr>
        <w:t xml:space="preserve">costuri cu serviciile de flexibilitate </w:t>
      </w:r>
      <w:r w:rsidR="00156290" w:rsidRPr="008A7E58">
        <w:rPr>
          <w:lang w:val="ro-RO"/>
        </w:rPr>
        <w:t>furnizate de</w:t>
      </w:r>
      <w:r w:rsidRPr="008A7E58">
        <w:rPr>
          <w:lang w:val="ro-RO"/>
        </w:rPr>
        <w:t xml:space="preserve"> </w:t>
      </w:r>
      <w:r w:rsidR="00156290" w:rsidRPr="008A7E58">
        <w:rPr>
          <w:lang w:val="ro-RO"/>
        </w:rPr>
        <w:t>CESR</w:t>
      </w:r>
      <w:r w:rsidR="001E3FE3" w:rsidRPr="008A7E58">
        <w:rPr>
          <w:lang w:val="ro-RO"/>
        </w:rPr>
        <w:t xml:space="preserve"> pentru rezolvarea unei congestii locale</w:t>
      </w:r>
      <w:r w:rsidR="00156290" w:rsidRPr="008A7E58">
        <w:rPr>
          <w:lang w:val="ro-RO"/>
        </w:rPr>
        <w:t>;</w:t>
      </w:r>
    </w:p>
    <w:p w14:paraId="664C0626" w14:textId="5FF2746C" w:rsidR="00EF60AC" w:rsidRPr="008A7E58" w:rsidRDefault="00E675C3" w:rsidP="0005137F">
      <w:pPr>
        <w:numPr>
          <w:ilvl w:val="0"/>
          <w:numId w:val="7"/>
        </w:numPr>
        <w:spacing w:after="0"/>
        <w:jc w:val="both"/>
        <w:rPr>
          <w:lang w:val="ro-RO"/>
        </w:rPr>
      </w:pPr>
      <w:r w:rsidRPr="008A7E58">
        <w:rPr>
          <w:lang w:val="ro-RO"/>
        </w:rPr>
        <w:t>validarea datelor/informa</w:t>
      </w:r>
      <w:r w:rsidR="00052ED5" w:rsidRPr="008A7E58">
        <w:rPr>
          <w:lang w:val="ro-RO"/>
        </w:rPr>
        <w:t>ț</w:t>
      </w:r>
      <w:r w:rsidRPr="008A7E58">
        <w:rPr>
          <w:lang w:val="ro-RO"/>
        </w:rPr>
        <w:t xml:space="preserve">iilor </w:t>
      </w:r>
      <w:r w:rsidR="00886C59" w:rsidRPr="008A7E58">
        <w:rPr>
          <w:lang w:val="ro-RO"/>
        </w:rPr>
        <w:t>transmise de CESR</w:t>
      </w:r>
      <w:r w:rsidR="00A24395" w:rsidRPr="008A7E58">
        <w:rPr>
          <w:lang w:val="ro-RO"/>
        </w:rPr>
        <w:t>;</w:t>
      </w:r>
    </w:p>
    <w:p w14:paraId="4A867B8C" w14:textId="6A8605E8" w:rsidR="00A24395" w:rsidRPr="008A7E58" w:rsidRDefault="00A24395" w:rsidP="0005137F">
      <w:pPr>
        <w:numPr>
          <w:ilvl w:val="0"/>
          <w:numId w:val="7"/>
        </w:numPr>
        <w:spacing w:after="0"/>
        <w:jc w:val="both"/>
        <w:rPr>
          <w:lang w:val="ro-RO"/>
        </w:rPr>
      </w:pPr>
      <w:r w:rsidRPr="008A7E58">
        <w:rPr>
          <w:lang w:val="ro-RO"/>
        </w:rPr>
        <w:t>îmbunătățirea parametrilor de calitate a energiei electrice</w:t>
      </w:r>
      <w:r w:rsidR="00EF27EE">
        <w:rPr>
          <w:lang w:val="ro-RO"/>
        </w:rPr>
        <w:t xml:space="preserve"> în reţeaua de distribuţie, inclusiv a nivelului tensiun</w:t>
      </w:r>
      <w:r w:rsidR="002F1ADE">
        <w:rPr>
          <w:lang w:val="ro-RO"/>
        </w:rPr>
        <w:t>ii</w:t>
      </w:r>
      <w:r w:rsidR="00EF27EE">
        <w:rPr>
          <w:lang w:val="ro-RO"/>
        </w:rPr>
        <w:t xml:space="preserve"> în reţea, ca urmare a funcţionării CESR</w:t>
      </w:r>
      <w:r w:rsidRPr="008A7E58">
        <w:rPr>
          <w:lang w:val="ro-RO"/>
        </w:rPr>
        <w:t>;</w:t>
      </w:r>
    </w:p>
    <w:p w14:paraId="12C45B11" w14:textId="0BA94024" w:rsidR="0005137F" w:rsidRPr="008A7E58" w:rsidRDefault="0005137F" w:rsidP="0005137F">
      <w:pPr>
        <w:numPr>
          <w:ilvl w:val="0"/>
          <w:numId w:val="7"/>
        </w:numPr>
        <w:spacing w:after="0"/>
        <w:jc w:val="both"/>
        <w:rPr>
          <w:lang w:val="ro-RO"/>
        </w:rPr>
      </w:pPr>
      <w:r w:rsidRPr="008A7E58">
        <w:rPr>
          <w:lang w:val="ro-RO"/>
        </w:rPr>
        <w:t xml:space="preserve">orice alte informații </w:t>
      </w:r>
      <w:r w:rsidR="00D615EC" w:rsidRPr="008A7E58">
        <w:rPr>
          <w:lang w:val="ro-RO"/>
        </w:rPr>
        <w:t xml:space="preserve">considerate </w:t>
      </w:r>
      <w:r w:rsidR="00156290" w:rsidRPr="008A7E58">
        <w:rPr>
          <w:lang w:val="ro-RO"/>
        </w:rPr>
        <w:t xml:space="preserve">relevante </w:t>
      </w:r>
      <w:r w:rsidR="00D615EC" w:rsidRPr="008A7E58">
        <w:rPr>
          <w:lang w:val="ro-RO"/>
        </w:rPr>
        <w:t xml:space="preserve">pentru </w:t>
      </w:r>
      <w:r w:rsidRPr="008A7E58">
        <w:rPr>
          <w:lang w:val="ro-RO"/>
        </w:rPr>
        <w:t>efectu</w:t>
      </w:r>
      <w:r w:rsidR="00D615EC" w:rsidRPr="008A7E58">
        <w:rPr>
          <w:lang w:val="ro-RO"/>
        </w:rPr>
        <w:t>area</w:t>
      </w:r>
      <w:r w:rsidRPr="008A7E58">
        <w:rPr>
          <w:lang w:val="ro-RO"/>
        </w:rPr>
        <w:t xml:space="preserve"> analizei</w:t>
      </w:r>
      <w:r w:rsidR="00053CD1" w:rsidRPr="008A7E58">
        <w:rPr>
          <w:lang w:val="ro-RO"/>
        </w:rPr>
        <w:t>, eventuale recomand</w:t>
      </w:r>
      <w:r w:rsidR="00352690" w:rsidRPr="008A7E58">
        <w:rPr>
          <w:lang w:val="ro-RO"/>
        </w:rPr>
        <w:t>ă</w:t>
      </w:r>
      <w:r w:rsidR="00053CD1" w:rsidRPr="008A7E58">
        <w:rPr>
          <w:lang w:val="ro-RO"/>
        </w:rPr>
        <w:t>ri</w:t>
      </w:r>
      <w:r w:rsidRPr="008A7E58">
        <w:rPr>
          <w:lang w:val="ro-RO"/>
        </w:rPr>
        <w:t>.</w:t>
      </w:r>
    </w:p>
    <w:p w14:paraId="0D058FBE" w14:textId="77777777" w:rsidR="00CD2F6A" w:rsidRPr="008A7E58" w:rsidRDefault="00CD2F6A" w:rsidP="0005137F">
      <w:pPr>
        <w:spacing w:after="0"/>
        <w:jc w:val="both"/>
        <w:rPr>
          <w:lang w:val="ro-RO"/>
        </w:rPr>
      </w:pPr>
    </w:p>
    <w:p w14:paraId="4C97C080" w14:textId="7CBB94EB" w:rsidR="0005137F" w:rsidRPr="008A7E58" w:rsidRDefault="0005137F" w:rsidP="0005137F">
      <w:pPr>
        <w:spacing w:after="0"/>
        <w:jc w:val="both"/>
        <w:rPr>
          <w:lang w:val="ro-RO"/>
        </w:rPr>
      </w:pPr>
      <w:r w:rsidRPr="008A7E58">
        <w:rPr>
          <w:lang w:val="ro-RO"/>
        </w:rPr>
        <w:t>CAPITOLUL IV</w:t>
      </w:r>
    </w:p>
    <w:p w14:paraId="74C0DB4B" w14:textId="6B45BE57" w:rsidR="0005137F" w:rsidRPr="007949B2" w:rsidRDefault="00857192" w:rsidP="0005137F">
      <w:pPr>
        <w:spacing w:after="0"/>
        <w:jc w:val="both"/>
        <w:rPr>
          <w:b/>
          <w:bCs/>
          <w:lang w:val="ro-RO"/>
        </w:rPr>
      </w:pPr>
      <w:r w:rsidRPr="007949B2">
        <w:rPr>
          <w:b/>
          <w:bCs/>
          <w:lang w:val="ro-RO"/>
        </w:rPr>
        <w:t>Art. 6 –</w:t>
      </w:r>
      <w:r w:rsidR="00376B1C">
        <w:rPr>
          <w:b/>
          <w:bCs/>
          <w:lang w:val="ro-RO"/>
        </w:rPr>
        <w:t xml:space="preserve"> </w:t>
      </w:r>
      <w:r w:rsidR="0005137F" w:rsidRPr="007949B2">
        <w:rPr>
          <w:b/>
          <w:bCs/>
          <w:lang w:val="ro-RO"/>
        </w:rPr>
        <w:t>Realizarea analizei cost–beneficiu</w:t>
      </w:r>
    </w:p>
    <w:p w14:paraId="2469CB1C" w14:textId="55B3FB2B" w:rsidR="00857192" w:rsidRPr="007949B2" w:rsidRDefault="00857192" w:rsidP="00857192">
      <w:pPr>
        <w:numPr>
          <w:ilvl w:val="0"/>
          <w:numId w:val="24"/>
        </w:numPr>
        <w:spacing w:after="0"/>
        <w:jc w:val="both"/>
        <w:rPr>
          <w:lang w:val="ro-RO"/>
        </w:rPr>
      </w:pPr>
      <w:r w:rsidRPr="007949B2">
        <w:rPr>
          <w:lang w:val="ro-RO"/>
        </w:rPr>
        <w:t>ANRE</w:t>
      </w:r>
      <w:r w:rsidR="008857BC" w:rsidRPr="007949B2">
        <w:rPr>
          <w:lang w:val="ro-RO"/>
        </w:rPr>
        <w:t xml:space="preserve">, în exercitarea atribuțiilor prevăzute de lege, </w:t>
      </w:r>
      <w:r w:rsidRPr="007949B2">
        <w:rPr>
          <w:lang w:val="ro-RO"/>
        </w:rPr>
        <w:t>elaborează analiza costurilor și beneficiilor asociate surselor de energie distribuite utilizate în cadrul unei CESR.</w:t>
      </w:r>
    </w:p>
    <w:p w14:paraId="09A1C82B" w14:textId="77777777" w:rsidR="00857192" w:rsidRPr="007949B2" w:rsidRDefault="00857192" w:rsidP="00857192">
      <w:pPr>
        <w:numPr>
          <w:ilvl w:val="0"/>
          <w:numId w:val="24"/>
        </w:numPr>
        <w:spacing w:after="0"/>
        <w:jc w:val="both"/>
        <w:rPr>
          <w:lang w:val="ro-RO"/>
        </w:rPr>
      </w:pPr>
      <w:r w:rsidRPr="007949B2">
        <w:rPr>
          <w:lang w:val="ro-RO"/>
        </w:rPr>
        <w:t>Analiza prevăzută la alin. (1) se efectuează pe baza datelor şi informaţiilor furnizate de CESR și de ODC.</w:t>
      </w:r>
    </w:p>
    <w:p w14:paraId="7F09220C" w14:textId="77777777" w:rsidR="00857192" w:rsidRDefault="00857192" w:rsidP="003815B1">
      <w:pPr>
        <w:spacing w:after="0"/>
        <w:jc w:val="both"/>
        <w:rPr>
          <w:b/>
          <w:bCs/>
          <w:lang w:val="ro-RO"/>
        </w:rPr>
      </w:pPr>
    </w:p>
    <w:p w14:paraId="62E44246" w14:textId="6DA3EF36" w:rsidR="003815B1" w:rsidRPr="008A7E58" w:rsidRDefault="003815B1" w:rsidP="003815B1">
      <w:pPr>
        <w:spacing w:after="0"/>
        <w:jc w:val="both"/>
        <w:rPr>
          <w:b/>
          <w:bCs/>
          <w:lang w:val="ro-RO"/>
        </w:rPr>
      </w:pPr>
      <w:r w:rsidRPr="008A7E58">
        <w:rPr>
          <w:b/>
          <w:bCs/>
          <w:lang w:val="ro-RO"/>
        </w:rPr>
        <w:t xml:space="preserve">Art. </w:t>
      </w:r>
      <w:r w:rsidR="00857192">
        <w:rPr>
          <w:b/>
          <w:bCs/>
          <w:lang w:val="ro-RO"/>
        </w:rPr>
        <w:t>7</w:t>
      </w:r>
      <w:r w:rsidR="00857192" w:rsidRPr="008A7E58">
        <w:rPr>
          <w:b/>
          <w:bCs/>
          <w:lang w:val="ro-RO"/>
        </w:rPr>
        <w:t xml:space="preserve"> </w:t>
      </w:r>
      <w:r w:rsidRPr="008A7E58">
        <w:rPr>
          <w:b/>
          <w:bCs/>
          <w:lang w:val="ro-RO"/>
        </w:rPr>
        <w:t>– Solicitarea analizei cost-beneficiu la ANRE</w:t>
      </w:r>
    </w:p>
    <w:p w14:paraId="3000ADA3" w14:textId="77777777" w:rsidR="005C4078" w:rsidRDefault="00A57B72" w:rsidP="005C4078">
      <w:pPr>
        <w:pStyle w:val="ListParagraph"/>
        <w:numPr>
          <w:ilvl w:val="0"/>
          <w:numId w:val="26"/>
        </w:numPr>
        <w:spacing w:after="0"/>
        <w:jc w:val="both"/>
        <w:rPr>
          <w:lang w:val="ro-RO"/>
        </w:rPr>
      </w:pPr>
      <w:r w:rsidRPr="005C4078">
        <w:rPr>
          <w:lang w:val="ro-RO"/>
        </w:rPr>
        <w:t xml:space="preserve">În vederea elaborării de către ANRE a analizei cost-beneficiu, </w:t>
      </w:r>
      <w:r w:rsidR="003815B1" w:rsidRPr="005C4078">
        <w:rPr>
          <w:lang w:val="ro-RO"/>
        </w:rPr>
        <w:t>CESR transmite la ANRE solicitarea de efectuare a analizei cost-beneficiu însoțită de documentația ce conține datele / informațiile prevăzute la art. 4 și art. 5</w:t>
      </w:r>
      <w:r w:rsidR="005C4078">
        <w:rPr>
          <w:lang w:val="ro-RO"/>
        </w:rPr>
        <w:t>.</w:t>
      </w:r>
    </w:p>
    <w:p w14:paraId="69CF5743" w14:textId="51E8694A" w:rsidR="003815B1" w:rsidRPr="005C4078" w:rsidRDefault="00A95E84" w:rsidP="005C4078">
      <w:pPr>
        <w:pStyle w:val="ListParagraph"/>
        <w:numPr>
          <w:ilvl w:val="0"/>
          <w:numId w:val="26"/>
        </w:numPr>
        <w:spacing w:after="0"/>
        <w:jc w:val="both"/>
        <w:rPr>
          <w:lang w:val="ro-RO"/>
        </w:rPr>
      </w:pPr>
      <w:r>
        <w:rPr>
          <w:lang w:val="ro-RO"/>
        </w:rPr>
        <w:t>Î</w:t>
      </w:r>
      <w:r w:rsidR="006E6A19" w:rsidRPr="005C4078">
        <w:rPr>
          <w:lang w:val="ro-RO"/>
        </w:rPr>
        <w:t xml:space="preserve">n situația în care CESR nu este titulara unei licențe, </w:t>
      </w:r>
      <w:r>
        <w:rPr>
          <w:lang w:val="ro-RO"/>
        </w:rPr>
        <w:t>suplimentar</w:t>
      </w:r>
      <w:r w:rsidR="005C4078">
        <w:rPr>
          <w:lang w:val="ro-RO"/>
        </w:rPr>
        <w:t xml:space="preserve"> documentelor de la alin</w:t>
      </w:r>
      <w:r>
        <w:rPr>
          <w:lang w:val="ro-RO"/>
        </w:rPr>
        <w:t>.</w:t>
      </w:r>
      <w:r w:rsidR="005C4078">
        <w:rPr>
          <w:lang w:val="ro-RO"/>
        </w:rPr>
        <w:t xml:space="preserve"> </w:t>
      </w:r>
      <w:r>
        <w:rPr>
          <w:lang w:val="ro-RO"/>
        </w:rPr>
        <w:t>(</w:t>
      </w:r>
      <w:r w:rsidR="005C4078">
        <w:rPr>
          <w:lang w:val="ro-RO"/>
        </w:rPr>
        <w:t>1</w:t>
      </w:r>
      <w:r>
        <w:rPr>
          <w:lang w:val="ro-RO"/>
        </w:rPr>
        <w:t>),</w:t>
      </w:r>
      <w:r w:rsidR="005C4078">
        <w:rPr>
          <w:lang w:val="ro-RO"/>
        </w:rPr>
        <w:t xml:space="preserve"> </w:t>
      </w:r>
      <w:r>
        <w:rPr>
          <w:lang w:val="ro-RO"/>
        </w:rPr>
        <w:t xml:space="preserve">CESR depune </w:t>
      </w:r>
      <w:r w:rsidR="00F423D6" w:rsidRPr="005C4078">
        <w:rPr>
          <w:lang w:val="ro-RO"/>
        </w:rPr>
        <w:t>dovada achitării contribuţiei datorate ANRE</w:t>
      </w:r>
      <w:r w:rsidR="00A42835" w:rsidRPr="005C4078">
        <w:rPr>
          <w:lang w:val="ro-RO"/>
        </w:rPr>
        <w:t xml:space="preserve"> nu mai veche de un an</w:t>
      </w:r>
      <w:r w:rsidR="006E6A19" w:rsidRPr="005C4078">
        <w:rPr>
          <w:lang w:val="ro-RO"/>
        </w:rPr>
        <w:t>.</w:t>
      </w:r>
    </w:p>
    <w:p w14:paraId="42890A74" w14:textId="77777777" w:rsidR="00F423D6" w:rsidRPr="008A7E58" w:rsidRDefault="00F423D6" w:rsidP="003815B1">
      <w:pPr>
        <w:spacing w:after="0"/>
        <w:jc w:val="both"/>
        <w:rPr>
          <w:lang w:val="ro-RO"/>
        </w:rPr>
      </w:pPr>
    </w:p>
    <w:p w14:paraId="25A9C28F" w14:textId="451CE221" w:rsidR="0005137F" w:rsidRPr="008A7E58" w:rsidRDefault="0005137F" w:rsidP="0005137F">
      <w:pPr>
        <w:spacing w:after="0"/>
        <w:jc w:val="both"/>
        <w:rPr>
          <w:lang w:val="ro-RO"/>
        </w:rPr>
      </w:pPr>
      <w:r w:rsidRPr="008A7E58">
        <w:rPr>
          <w:b/>
          <w:bCs/>
          <w:lang w:val="ro-RO"/>
        </w:rPr>
        <w:t xml:space="preserve">Art. </w:t>
      </w:r>
      <w:r w:rsidR="00857192">
        <w:rPr>
          <w:b/>
          <w:bCs/>
          <w:lang w:val="ro-RO"/>
        </w:rPr>
        <w:t>8</w:t>
      </w:r>
      <w:r w:rsidR="00857192" w:rsidRPr="008A7E58">
        <w:rPr>
          <w:b/>
          <w:bCs/>
          <w:lang w:val="ro-RO"/>
        </w:rPr>
        <w:t xml:space="preserve"> </w:t>
      </w:r>
      <w:r w:rsidRPr="008A7E58">
        <w:rPr>
          <w:b/>
          <w:bCs/>
          <w:lang w:val="ro-RO"/>
        </w:rPr>
        <w:t>– Verificarea documentației</w:t>
      </w:r>
    </w:p>
    <w:p w14:paraId="7C99BA97" w14:textId="77777777" w:rsidR="0005137F" w:rsidRPr="008A7E58" w:rsidRDefault="0005137F" w:rsidP="00300520">
      <w:pPr>
        <w:pStyle w:val="ListParagraph"/>
        <w:numPr>
          <w:ilvl w:val="0"/>
          <w:numId w:val="25"/>
        </w:numPr>
        <w:spacing w:after="0"/>
        <w:jc w:val="both"/>
        <w:rPr>
          <w:lang w:val="ro-RO"/>
        </w:rPr>
      </w:pPr>
      <w:r w:rsidRPr="008A7E58">
        <w:rPr>
          <w:lang w:val="ro-RO"/>
        </w:rPr>
        <w:t>ANRE verifică documentația transmisă de CESR pentru efectuarea analizei cost-beneficiu.</w:t>
      </w:r>
    </w:p>
    <w:p w14:paraId="08352C58" w14:textId="77777777" w:rsidR="00004330" w:rsidRPr="008A7E58" w:rsidRDefault="00004330" w:rsidP="00300520">
      <w:pPr>
        <w:pStyle w:val="ListParagraph"/>
        <w:numPr>
          <w:ilvl w:val="0"/>
          <w:numId w:val="25"/>
        </w:numPr>
        <w:jc w:val="both"/>
        <w:rPr>
          <w:lang w:val="ro-RO"/>
        </w:rPr>
      </w:pPr>
      <w:r w:rsidRPr="008A7E58">
        <w:rPr>
          <w:lang w:val="ro-RO"/>
        </w:rPr>
        <w:t>ANRE are dreptul să solicite CESR sau ODC orice date / informații suplimentare, considerate necesare pentru efectuarea analizei cost-beneficiu.</w:t>
      </w:r>
    </w:p>
    <w:p w14:paraId="5ED2927E" w14:textId="0343C618" w:rsidR="00004330" w:rsidRPr="008A7E58" w:rsidRDefault="00004330" w:rsidP="00300520">
      <w:pPr>
        <w:pStyle w:val="ListParagraph"/>
        <w:numPr>
          <w:ilvl w:val="0"/>
          <w:numId w:val="25"/>
        </w:numPr>
        <w:spacing w:after="0"/>
        <w:jc w:val="both"/>
        <w:rPr>
          <w:lang w:val="ro-RO"/>
        </w:rPr>
      </w:pPr>
      <w:r w:rsidRPr="008A7E58">
        <w:rPr>
          <w:lang w:val="ro-RO"/>
        </w:rPr>
        <w:t>La solicitarea ANRE, CESR sau ODC are obligația să transmită toate informaţiile şi documentele suplimentare pe care ANRE le consideră necesare pentru efectuarea analizei cost-beneficiu, în termenul prevăzut în solicitare.</w:t>
      </w:r>
    </w:p>
    <w:p w14:paraId="597980D2" w14:textId="4C131044" w:rsidR="0005137F" w:rsidRPr="008A7E58" w:rsidRDefault="0005137F" w:rsidP="00300520">
      <w:pPr>
        <w:pStyle w:val="ListParagraph"/>
        <w:numPr>
          <w:ilvl w:val="0"/>
          <w:numId w:val="25"/>
        </w:numPr>
        <w:spacing w:after="0"/>
        <w:jc w:val="both"/>
        <w:rPr>
          <w:lang w:val="ro-RO"/>
        </w:rPr>
      </w:pPr>
      <w:r w:rsidRPr="008A7E58">
        <w:rPr>
          <w:lang w:val="ro-RO"/>
        </w:rPr>
        <w:lastRenderedPageBreak/>
        <w:t>În cazul în care CESR nu răspunde în termenul prevăzut la alin. (</w:t>
      </w:r>
      <w:r w:rsidR="00004330" w:rsidRPr="008A7E58">
        <w:rPr>
          <w:lang w:val="ro-RO"/>
        </w:rPr>
        <w:t>3</w:t>
      </w:r>
      <w:r w:rsidRPr="008A7E58">
        <w:rPr>
          <w:lang w:val="ro-RO"/>
        </w:rPr>
        <w:t xml:space="preserve">), documentaţia </w:t>
      </w:r>
      <w:r w:rsidR="00004330" w:rsidRPr="008A7E58">
        <w:rPr>
          <w:lang w:val="ro-RO"/>
        </w:rPr>
        <w:t>este respinsă ca</w:t>
      </w:r>
      <w:r w:rsidRPr="008A7E58">
        <w:rPr>
          <w:lang w:val="ro-RO"/>
        </w:rPr>
        <w:t xml:space="preserve"> </w:t>
      </w:r>
      <w:r w:rsidR="00004330" w:rsidRPr="008A7E58">
        <w:rPr>
          <w:lang w:val="ro-RO"/>
        </w:rPr>
        <w:t>in</w:t>
      </w:r>
      <w:r w:rsidRPr="008A7E58">
        <w:rPr>
          <w:lang w:val="ro-RO"/>
        </w:rPr>
        <w:t>completă, ANRE notificând în acest sens CESR și ODC.</w:t>
      </w:r>
    </w:p>
    <w:p w14:paraId="7FFD132C" w14:textId="77777777" w:rsidR="00004330" w:rsidRPr="008A7E58" w:rsidRDefault="00004330" w:rsidP="00300520">
      <w:pPr>
        <w:pStyle w:val="ListParagraph"/>
        <w:numPr>
          <w:ilvl w:val="0"/>
          <w:numId w:val="25"/>
        </w:numPr>
        <w:spacing w:after="0"/>
        <w:jc w:val="both"/>
        <w:rPr>
          <w:lang w:val="ro-RO"/>
        </w:rPr>
      </w:pPr>
      <w:r w:rsidRPr="008A7E58">
        <w:rPr>
          <w:lang w:val="ro-RO"/>
        </w:rPr>
        <w:t xml:space="preserve">Data la care documentația se consideră completă poate fi, după caz: </w:t>
      </w:r>
    </w:p>
    <w:p w14:paraId="2AD581F6" w14:textId="77777777" w:rsidR="00004330" w:rsidRPr="008A7E58" w:rsidRDefault="00004330" w:rsidP="00182AD2">
      <w:pPr>
        <w:pStyle w:val="ListParagraph"/>
        <w:numPr>
          <w:ilvl w:val="0"/>
          <w:numId w:val="15"/>
        </w:numPr>
        <w:spacing w:after="0"/>
        <w:jc w:val="both"/>
        <w:rPr>
          <w:lang w:val="ro-RO"/>
        </w:rPr>
      </w:pPr>
      <w:r w:rsidRPr="008A7E58">
        <w:rPr>
          <w:lang w:val="ro-RO"/>
        </w:rPr>
        <w:t>data depunerii solicitării de efectuare a analizei cost-beneficiu;</w:t>
      </w:r>
    </w:p>
    <w:p w14:paraId="2521C2F7" w14:textId="555B3C46" w:rsidR="00004330" w:rsidRPr="008A7E58" w:rsidRDefault="00004330" w:rsidP="00182AD2">
      <w:pPr>
        <w:pStyle w:val="ListParagraph"/>
        <w:numPr>
          <w:ilvl w:val="0"/>
          <w:numId w:val="15"/>
        </w:numPr>
        <w:spacing w:after="0"/>
        <w:jc w:val="both"/>
        <w:rPr>
          <w:lang w:val="ro-RO"/>
        </w:rPr>
      </w:pPr>
      <w:r w:rsidRPr="008A7E58">
        <w:rPr>
          <w:lang w:val="ro-RO"/>
        </w:rPr>
        <w:t xml:space="preserve">data </w:t>
      </w:r>
      <w:r w:rsidR="007855A1">
        <w:rPr>
          <w:lang w:val="ro-RO"/>
        </w:rPr>
        <w:t>completării documentaţiei</w:t>
      </w:r>
      <w:r w:rsidRPr="008A7E58">
        <w:rPr>
          <w:lang w:val="ro-RO"/>
        </w:rPr>
        <w:t xml:space="preserve">, în cazul unor solicitări de date/informații suplimentare din partea ANRE conform alin. (2). </w:t>
      </w:r>
    </w:p>
    <w:p w14:paraId="5AC8CF7D" w14:textId="77777777" w:rsidR="00811231" w:rsidRPr="008A7E58" w:rsidRDefault="00811231" w:rsidP="0005137F">
      <w:pPr>
        <w:spacing w:after="0"/>
        <w:jc w:val="both"/>
        <w:rPr>
          <w:b/>
          <w:bCs/>
          <w:lang w:val="ro-RO"/>
        </w:rPr>
      </w:pPr>
    </w:p>
    <w:p w14:paraId="254FDAF9" w14:textId="001BDB0B" w:rsidR="0005137F" w:rsidRPr="008A7E58" w:rsidRDefault="0005137F" w:rsidP="0005137F">
      <w:pPr>
        <w:spacing w:after="0"/>
        <w:jc w:val="both"/>
        <w:rPr>
          <w:lang w:val="ro-RO"/>
        </w:rPr>
      </w:pPr>
      <w:r w:rsidRPr="008A7E58">
        <w:rPr>
          <w:b/>
          <w:bCs/>
          <w:lang w:val="ro-RO"/>
        </w:rPr>
        <w:t xml:space="preserve">Art. </w:t>
      </w:r>
      <w:r w:rsidR="00857192">
        <w:rPr>
          <w:b/>
          <w:bCs/>
          <w:lang w:val="ro-RO"/>
        </w:rPr>
        <w:t>9</w:t>
      </w:r>
      <w:r w:rsidR="00857192" w:rsidRPr="008A7E58">
        <w:rPr>
          <w:b/>
          <w:bCs/>
          <w:lang w:val="ro-RO"/>
        </w:rPr>
        <w:t xml:space="preserve"> </w:t>
      </w:r>
      <w:r w:rsidRPr="008A7E58">
        <w:rPr>
          <w:b/>
          <w:bCs/>
          <w:lang w:val="ro-RO"/>
        </w:rPr>
        <w:t>– Conținutul analizei cost-beneficiu</w:t>
      </w:r>
    </w:p>
    <w:p w14:paraId="03903E67" w14:textId="77777777" w:rsidR="0005137F" w:rsidRPr="008A7E58" w:rsidRDefault="0005137F" w:rsidP="0005137F">
      <w:pPr>
        <w:spacing w:after="0"/>
        <w:jc w:val="both"/>
        <w:rPr>
          <w:lang w:val="ro-RO"/>
        </w:rPr>
      </w:pPr>
      <w:r w:rsidRPr="008A7E58">
        <w:rPr>
          <w:lang w:val="ro-RO"/>
        </w:rPr>
        <w:t>Analiza realizată de ANRE include cel puțin următoarele elemente:</w:t>
      </w:r>
    </w:p>
    <w:p w14:paraId="4FB6B4E2" w14:textId="28241EB3" w:rsidR="0005137F" w:rsidRPr="008A7E58" w:rsidRDefault="00840FA6" w:rsidP="0005137F">
      <w:pPr>
        <w:numPr>
          <w:ilvl w:val="0"/>
          <w:numId w:val="9"/>
        </w:numPr>
        <w:spacing w:after="0"/>
        <w:jc w:val="both"/>
        <w:rPr>
          <w:lang w:val="ro-RO"/>
        </w:rPr>
      </w:pPr>
      <w:r>
        <w:rPr>
          <w:lang w:val="ro-RO"/>
        </w:rPr>
        <w:t>structura</w:t>
      </w:r>
      <w:r w:rsidRPr="008A7E58">
        <w:rPr>
          <w:lang w:val="ro-RO"/>
        </w:rPr>
        <w:t xml:space="preserve"> </w:t>
      </w:r>
      <w:r w:rsidR="0005137F" w:rsidRPr="008A7E58">
        <w:rPr>
          <w:lang w:val="ro-RO"/>
        </w:rPr>
        <w:t>CESR;</w:t>
      </w:r>
    </w:p>
    <w:p w14:paraId="2F46162C" w14:textId="09D09C08" w:rsidR="0005137F" w:rsidRPr="008A7E58" w:rsidRDefault="0005137F" w:rsidP="0005137F">
      <w:pPr>
        <w:numPr>
          <w:ilvl w:val="0"/>
          <w:numId w:val="9"/>
        </w:numPr>
        <w:spacing w:after="0"/>
        <w:jc w:val="both"/>
        <w:rPr>
          <w:lang w:val="ro-RO"/>
        </w:rPr>
      </w:pPr>
      <w:r w:rsidRPr="008A7E58">
        <w:rPr>
          <w:lang w:val="ro-RO"/>
        </w:rPr>
        <w:t>datele tehnice și economice utilizate;</w:t>
      </w:r>
    </w:p>
    <w:p w14:paraId="2ECD682F" w14:textId="22264065" w:rsidR="0005137F" w:rsidRPr="008A7E58" w:rsidRDefault="0005137F" w:rsidP="0005137F">
      <w:pPr>
        <w:numPr>
          <w:ilvl w:val="0"/>
          <w:numId w:val="9"/>
        </w:numPr>
        <w:spacing w:after="0"/>
        <w:jc w:val="both"/>
        <w:rPr>
          <w:lang w:val="ro-RO"/>
        </w:rPr>
      </w:pPr>
      <w:r w:rsidRPr="008A7E58">
        <w:rPr>
          <w:lang w:val="ro-RO"/>
        </w:rPr>
        <w:t xml:space="preserve">costurile </w:t>
      </w:r>
      <w:r w:rsidR="00BF4C8B" w:rsidRPr="008A7E58">
        <w:rPr>
          <w:lang w:val="ro-RO"/>
        </w:rPr>
        <w:t xml:space="preserve">suplimentare </w:t>
      </w:r>
      <w:r w:rsidRPr="008A7E58">
        <w:rPr>
          <w:lang w:val="ro-RO"/>
        </w:rPr>
        <w:t>identificate, incluzând</w:t>
      </w:r>
      <w:r w:rsidR="005916CA" w:rsidRPr="008A7E58">
        <w:rPr>
          <w:lang w:val="ro-RO"/>
        </w:rPr>
        <w:t xml:space="preserve"> dupǎ caz</w:t>
      </w:r>
      <w:r w:rsidRPr="008A7E58">
        <w:rPr>
          <w:lang w:val="ro-RO"/>
        </w:rPr>
        <w:t>:</w:t>
      </w:r>
    </w:p>
    <w:p w14:paraId="19229085" w14:textId="0A1CCA2B" w:rsidR="0005137F" w:rsidRPr="008A7E58" w:rsidRDefault="0005137F" w:rsidP="0005137F">
      <w:pPr>
        <w:numPr>
          <w:ilvl w:val="0"/>
          <w:numId w:val="10"/>
        </w:numPr>
        <w:spacing w:after="0"/>
        <w:jc w:val="both"/>
        <w:rPr>
          <w:lang w:val="ro-RO"/>
        </w:rPr>
      </w:pPr>
      <w:r w:rsidRPr="008A7E58">
        <w:rPr>
          <w:lang w:val="ro-RO"/>
        </w:rPr>
        <w:t xml:space="preserve">creșterea CPT și </w:t>
      </w:r>
      <w:r w:rsidR="00DC3DE7" w:rsidRPr="008A7E58">
        <w:rPr>
          <w:lang w:val="ro-RO"/>
        </w:rPr>
        <w:t xml:space="preserve">a </w:t>
      </w:r>
      <w:r w:rsidRPr="008A7E58">
        <w:rPr>
          <w:lang w:val="ro-RO"/>
        </w:rPr>
        <w:t>costuril</w:t>
      </w:r>
      <w:r w:rsidR="00DC3DE7" w:rsidRPr="008A7E58">
        <w:rPr>
          <w:lang w:val="ro-RO"/>
        </w:rPr>
        <w:t>or</w:t>
      </w:r>
      <w:r w:rsidRPr="008A7E58">
        <w:rPr>
          <w:lang w:val="ro-RO"/>
        </w:rPr>
        <w:t xml:space="preserve"> aferente;</w:t>
      </w:r>
    </w:p>
    <w:p w14:paraId="7E0E4E09" w14:textId="77777777" w:rsidR="0005137F" w:rsidRPr="008A7E58" w:rsidRDefault="0005137F" w:rsidP="00F635C7">
      <w:pPr>
        <w:numPr>
          <w:ilvl w:val="0"/>
          <w:numId w:val="10"/>
        </w:numPr>
        <w:spacing w:after="0"/>
        <w:jc w:val="both"/>
        <w:rPr>
          <w:lang w:val="ro-RO"/>
        </w:rPr>
      </w:pPr>
      <w:r w:rsidRPr="008A7E58">
        <w:rPr>
          <w:lang w:val="ro-RO"/>
        </w:rPr>
        <w:t>costuri CAPEX suplimentare;</w:t>
      </w:r>
    </w:p>
    <w:p w14:paraId="05D4AF53" w14:textId="77777777" w:rsidR="0005137F" w:rsidRPr="008A7E58" w:rsidRDefault="0005137F" w:rsidP="0005137F">
      <w:pPr>
        <w:numPr>
          <w:ilvl w:val="0"/>
          <w:numId w:val="10"/>
        </w:numPr>
        <w:spacing w:after="0"/>
        <w:jc w:val="both"/>
        <w:rPr>
          <w:lang w:val="ro-RO"/>
        </w:rPr>
      </w:pPr>
      <w:r w:rsidRPr="008A7E58">
        <w:rPr>
          <w:lang w:val="ro-RO"/>
        </w:rPr>
        <w:t>costuri OPEX suplimentare;</w:t>
      </w:r>
    </w:p>
    <w:p w14:paraId="4B56C6F6" w14:textId="77777777" w:rsidR="0005137F" w:rsidRDefault="0005137F" w:rsidP="0005137F">
      <w:pPr>
        <w:numPr>
          <w:ilvl w:val="0"/>
          <w:numId w:val="10"/>
        </w:numPr>
        <w:spacing w:after="0"/>
        <w:jc w:val="both"/>
        <w:rPr>
          <w:lang w:val="ro-RO"/>
        </w:rPr>
      </w:pPr>
      <w:r w:rsidRPr="008A7E58">
        <w:rPr>
          <w:lang w:val="ro-RO"/>
        </w:rPr>
        <w:t>costuri cu congestiile suplimentare;</w:t>
      </w:r>
    </w:p>
    <w:p w14:paraId="07B08D36" w14:textId="53E1B67F" w:rsidR="00840FA6" w:rsidRPr="008A7E58" w:rsidRDefault="00840FA6" w:rsidP="0005137F">
      <w:pPr>
        <w:numPr>
          <w:ilvl w:val="0"/>
          <w:numId w:val="10"/>
        </w:numPr>
        <w:spacing w:after="0"/>
        <w:jc w:val="both"/>
        <w:rPr>
          <w:lang w:val="ro-RO"/>
        </w:rPr>
      </w:pPr>
      <w:r w:rsidRPr="008A7E58">
        <w:rPr>
          <w:lang w:val="ro-RO"/>
        </w:rPr>
        <w:t>costuri cu serviciile de flexibilitate furnizate de CESR pentru rezolvarea unei congestii locale;</w:t>
      </w:r>
    </w:p>
    <w:p w14:paraId="5B1BB3F7" w14:textId="77777777" w:rsidR="0005137F" w:rsidRPr="008A7E58" w:rsidRDefault="0005137F" w:rsidP="0005137F">
      <w:pPr>
        <w:numPr>
          <w:ilvl w:val="0"/>
          <w:numId w:val="9"/>
        </w:numPr>
        <w:spacing w:after="0"/>
        <w:jc w:val="both"/>
        <w:rPr>
          <w:lang w:val="ro-RO"/>
        </w:rPr>
      </w:pPr>
      <w:r w:rsidRPr="008A7E58">
        <w:rPr>
          <w:lang w:val="ro-RO"/>
        </w:rPr>
        <w:t>beneficiile identificate, incluzând:</w:t>
      </w:r>
    </w:p>
    <w:p w14:paraId="50D3FA73" w14:textId="77777777" w:rsidR="0005137F" w:rsidRPr="008A7E58" w:rsidRDefault="0005137F" w:rsidP="0005137F">
      <w:pPr>
        <w:numPr>
          <w:ilvl w:val="0"/>
          <w:numId w:val="11"/>
        </w:numPr>
        <w:spacing w:after="0"/>
        <w:jc w:val="both"/>
        <w:rPr>
          <w:lang w:val="ro-RO"/>
        </w:rPr>
      </w:pPr>
      <w:r w:rsidRPr="008A7E58">
        <w:rPr>
          <w:lang w:val="ro-RO"/>
        </w:rPr>
        <w:t>reducerea CPT și a costurilor aferente;</w:t>
      </w:r>
    </w:p>
    <w:p w14:paraId="67319594" w14:textId="77777777" w:rsidR="0005137F" w:rsidRPr="008A7E58" w:rsidRDefault="0005137F">
      <w:pPr>
        <w:numPr>
          <w:ilvl w:val="0"/>
          <w:numId w:val="11"/>
        </w:numPr>
        <w:spacing w:after="0"/>
        <w:jc w:val="both"/>
        <w:rPr>
          <w:lang w:val="ro-RO"/>
        </w:rPr>
      </w:pPr>
      <w:r w:rsidRPr="008A7E58">
        <w:rPr>
          <w:lang w:val="ro-RO"/>
        </w:rPr>
        <w:t>costuri CAPEX evitate;</w:t>
      </w:r>
    </w:p>
    <w:p w14:paraId="74443DBB" w14:textId="77777777" w:rsidR="0005137F" w:rsidRPr="008A7E58" w:rsidRDefault="0005137F" w:rsidP="0005137F">
      <w:pPr>
        <w:numPr>
          <w:ilvl w:val="0"/>
          <w:numId w:val="11"/>
        </w:numPr>
        <w:spacing w:after="0"/>
        <w:jc w:val="both"/>
        <w:rPr>
          <w:lang w:val="ro-RO"/>
        </w:rPr>
      </w:pPr>
      <w:r w:rsidRPr="008A7E58">
        <w:rPr>
          <w:lang w:val="ro-RO"/>
        </w:rPr>
        <w:t>costuri OPEX evitate;</w:t>
      </w:r>
    </w:p>
    <w:p w14:paraId="79012F82" w14:textId="7759F6DF" w:rsidR="0005137F" w:rsidRPr="008A7E58" w:rsidRDefault="0005137F" w:rsidP="0005137F">
      <w:pPr>
        <w:numPr>
          <w:ilvl w:val="0"/>
          <w:numId w:val="11"/>
        </w:numPr>
        <w:spacing w:after="0"/>
        <w:jc w:val="both"/>
        <w:rPr>
          <w:lang w:val="ro-RO"/>
        </w:rPr>
      </w:pPr>
      <w:r w:rsidRPr="008A7E58">
        <w:rPr>
          <w:lang w:val="ro-RO"/>
        </w:rPr>
        <w:t>costuri</w:t>
      </w:r>
      <w:r w:rsidR="00BB6341" w:rsidRPr="008A7E58">
        <w:rPr>
          <w:lang w:val="ro-RO"/>
        </w:rPr>
        <w:t xml:space="preserve"> cu congestiile evitate</w:t>
      </w:r>
      <w:r w:rsidRPr="008A7E58">
        <w:rPr>
          <w:lang w:val="ro-RO"/>
        </w:rPr>
        <w:t>;</w:t>
      </w:r>
    </w:p>
    <w:p w14:paraId="710A0B3F" w14:textId="72EE8B6D" w:rsidR="00EA6F08" w:rsidRPr="00FD399D" w:rsidRDefault="009B6FD8" w:rsidP="0005137F">
      <w:pPr>
        <w:numPr>
          <w:ilvl w:val="0"/>
          <w:numId w:val="11"/>
        </w:numPr>
        <w:spacing w:after="0"/>
        <w:jc w:val="both"/>
        <w:rPr>
          <w:lang w:val="ro-RO"/>
        </w:rPr>
      </w:pPr>
      <w:r w:rsidRPr="008A7E58">
        <w:rPr>
          <w:lang w:val="ro-RO"/>
        </w:rPr>
        <w:t>î</w:t>
      </w:r>
      <w:r w:rsidR="00EA6F08" w:rsidRPr="008A7E58">
        <w:rPr>
          <w:lang w:val="ro-RO"/>
        </w:rPr>
        <w:t>mbun</w:t>
      </w:r>
      <w:r w:rsidRPr="008A7E58">
        <w:rPr>
          <w:lang w:val="ro-RO"/>
        </w:rPr>
        <w:t>ă</w:t>
      </w:r>
      <w:r w:rsidR="00EA6F08" w:rsidRPr="008A7E58">
        <w:rPr>
          <w:lang w:val="ro-RO"/>
        </w:rPr>
        <w:t>t</w:t>
      </w:r>
      <w:r w:rsidRPr="008A7E58">
        <w:rPr>
          <w:lang w:val="ro-RO"/>
        </w:rPr>
        <w:t>ăț</w:t>
      </w:r>
      <w:r w:rsidR="00EA6F08" w:rsidRPr="008A7E58">
        <w:rPr>
          <w:lang w:val="ro-RO"/>
        </w:rPr>
        <w:t>irea parametrilor de calitate a energiei electrice</w:t>
      </w:r>
      <w:r w:rsidR="00840FA6" w:rsidRPr="00840FA6">
        <w:rPr>
          <w:lang w:val="ro-RO"/>
        </w:rPr>
        <w:t xml:space="preserve"> </w:t>
      </w:r>
      <w:r w:rsidR="00840FA6">
        <w:rPr>
          <w:lang w:val="ro-RO"/>
        </w:rPr>
        <w:t xml:space="preserve">în reţeaua de distribuţie, inclusiv </w:t>
      </w:r>
      <w:r w:rsidR="00840FA6" w:rsidRPr="00FD399D">
        <w:rPr>
          <w:lang w:val="ro-RO"/>
        </w:rPr>
        <w:t>a nivelului tensiun</w:t>
      </w:r>
      <w:r w:rsidR="002F1ADE">
        <w:rPr>
          <w:lang w:val="ro-RO"/>
        </w:rPr>
        <w:t xml:space="preserve">ii </w:t>
      </w:r>
      <w:r w:rsidR="00840FA6" w:rsidRPr="00FD399D">
        <w:rPr>
          <w:lang w:val="ro-RO"/>
        </w:rPr>
        <w:t>în reţea</w:t>
      </w:r>
      <w:r w:rsidRPr="00FD399D">
        <w:rPr>
          <w:lang w:val="ro-RO"/>
        </w:rPr>
        <w:t>;</w:t>
      </w:r>
    </w:p>
    <w:p w14:paraId="4BB4DB9A" w14:textId="0E331B90" w:rsidR="003A7636" w:rsidRPr="008A7E58" w:rsidRDefault="00BD6BB5" w:rsidP="0005137F">
      <w:pPr>
        <w:numPr>
          <w:ilvl w:val="0"/>
          <w:numId w:val="9"/>
        </w:numPr>
        <w:tabs>
          <w:tab w:val="num" w:pos="720"/>
        </w:tabs>
        <w:spacing w:after="0"/>
        <w:jc w:val="both"/>
        <w:rPr>
          <w:lang w:val="ro-RO"/>
        </w:rPr>
      </w:pPr>
      <w:r w:rsidRPr="008A7E58">
        <w:rPr>
          <w:lang w:val="ro-RO"/>
        </w:rPr>
        <w:t xml:space="preserve">rezultatul analizei cost–beneficiu </w:t>
      </w:r>
      <w:r w:rsidR="0005137F" w:rsidRPr="008A7E58">
        <w:rPr>
          <w:lang w:val="ro-RO"/>
        </w:rPr>
        <w:t>determinat ca diferență între beneficiile identificate</w:t>
      </w:r>
      <w:r w:rsidR="007B49DD" w:rsidRPr="008A7E58">
        <w:rPr>
          <w:lang w:val="ro-RO"/>
        </w:rPr>
        <w:t xml:space="preserve"> și cuantificabile (costuri evitate)</w:t>
      </w:r>
      <w:r w:rsidRPr="008A7E58">
        <w:rPr>
          <w:lang w:val="ro-RO"/>
        </w:rPr>
        <w:t xml:space="preserve"> şi costurile suplimentare</w:t>
      </w:r>
      <w:r w:rsidR="0005137F" w:rsidRPr="008A7E58">
        <w:rPr>
          <w:lang w:val="ro-RO"/>
        </w:rPr>
        <w:t>:</w:t>
      </w:r>
    </w:p>
    <w:p w14:paraId="390C77E2" w14:textId="14298A32" w:rsidR="0005137F" w:rsidRPr="008A7E58" w:rsidRDefault="00BD6BB5" w:rsidP="003A7636">
      <w:pPr>
        <w:tabs>
          <w:tab w:val="num" w:pos="720"/>
        </w:tabs>
        <w:spacing w:after="0"/>
        <w:ind w:left="360"/>
        <w:jc w:val="both"/>
        <w:rPr>
          <w:lang w:val="ro-RO"/>
        </w:rPr>
      </w:pPr>
      <w:r w:rsidRPr="008A7E58">
        <w:rPr>
          <w:lang w:val="ro-RO"/>
        </w:rPr>
        <w:t>Rezultat</w:t>
      </w:r>
      <w:r w:rsidR="0005137F" w:rsidRPr="008A7E58">
        <w:rPr>
          <w:lang w:val="ro-RO"/>
        </w:rPr>
        <w:t>=</w:t>
      </w:r>
      <w:r w:rsidRPr="008A7E58">
        <w:rPr>
          <w:lang w:val="ro-RO"/>
        </w:rPr>
        <w:t xml:space="preserve"> Beneficii - </w:t>
      </w:r>
      <w:r w:rsidR="0005137F" w:rsidRPr="008A7E58">
        <w:rPr>
          <w:lang w:val="ro-RO"/>
        </w:rPr>
        <w:t>Costuri</w:t>
      </w:r>
      <w:r w:rsidR="0005137F" w:rsidRPr="008A7E58">
        <w:rPr>
          <w:vertAlign w:val="subscript"/>
          <w:lang w:val="ro-RO"/>
        </w:rPr>
        <w:t>suplimentare</w:t>
      </w:r>
      <w:r w:rsidR="009B6FD8" w:rsidRPr="008A7E58">
        <w:rPr>
          <w:lang w:val="ro-RO"/>
        </w:rPr>
        <w:t>, unde</w:t>
      </w:r>
      <w:r w:rsidR="00DC4075" w:rsidRPr="008A7E58">
        <w:rPr>
          <w:lang w:val="ro-RO"/>
        </w:rPr>
        <w:t>:</w:t>
      </w:r>
    </w:p>
    <w:p w14:paraId="459C0F17" w14:textId="106B8D3F" w:rsidR="003A7636" w:rsidRPr="008A7E58" w:rsidRDefault="003A7636" w:rsidP="003A7636">
      <w:pPr>
        <w:tabs>
          <w:tab w:val="num" w:pos="720"/>
        </w:tabs>
        <w:spacing w:after="0"/>
        <w:ind w:left="360"/>
        <w:jc w:val="both"/>
        <w:rPr>
          <w:lang w:val="ro-RO"/>
        </w:rPr>
      </w:pPr>
      <w:r w:rsidRPr="008A7E58">
        <w:rPr>
          <w:lang w:val="ro-RO"/>
        </w:rPr>
        <w:t>Beneficii=Costuri CPT</w:t>
      </w:r>
      <w:r w:rsidRPr="008A7E58">
        <w:rPr>
          <w:vertAlign w:val="subscript"/>
          <w:lang w:val="ro-RO"/>
        </w:rPr>
        <w:t>evitate</w:t>
      </w:r>
      <w:r w:rsidRPr="008A7E58">
        <w:rPr>
          <w:lang w:val="ro-RO"/>
        </w:rPr>
        <w:t xml:space="preserve"> + Costuri CAPEX</w:t>
      </w:r>
      <w:r w:rsidRPr="008A7E58">
        <w:rPr>
          <w:vertAlign w:val="subscript"/>
          <w:lang w:val="ro-RO"/>
        </w:rPr>
        <w:t>evitate</w:t>
      </w:r>
      <w:r w:rsidRPr="008A7E58">
        <w:rPr>
          <w:lang w:val="ro-RO"/>
        </w:rPr>
        <w:t xml:space="preserve"> + Costuri OPEX</w:t>
      </w:r>
      <w:r w:rsidRPr="008A7E58">
        <w:rPr>
          <w:vertAlign w:val="subscript"/>
          <w:lang w:val="ro-RO"/>
        </w:rPr>
        <w:t>evitate</w:t>
      </w:r>
      <w:r w:rsidRPr="008A7E58">
        <w:rPr>
          <w:lang w:val="ro-RO"/>
        </w:rPr>
        <w:t xml:space="preserve"> + Costuri congestii</w:t>
      </w:r>
      <w:r w:rsidRPr="008A7E58">
        <w:rPr>
          <w:vertAlign w:val="subscript"/>
          <w:lang w:val="ro-RO"/>
        </w:rPr>
        <w:t>evitate</w:t>
      </w:r>
      <w:r w:rsidR="00052ED5" w:rsidRPr="008A7E58">
        <w:rPr>
          <w:lang w:val="ro-RO"/>
        </w:rPr>
        <w:t xml:space="preserve"> + alte beneficii</w:t>
      </w:r>
      <w:r w:rsidR="002105CA" w:rsidRPr="008A7E58">
        <w:rPr>
          <w:lang w:val="ro-RO"/>
        </w:rPr>
        <w:t xml:space="preserve"> cuantificabile</w:t>
      </w:r>
      <w:r w:rsidR="00052ED5" w:rsidRPr="008A7E58">
        <w:rPr>
          <w:lang w:val="ro-RO"/>
        </w:rPr>
        <w:t xml:space="preserve"> (</w:t>
      </w:r>
      <w:r w:rsidR="005411EA" w:rsidRPr="008A7E58">
        <w:rPr>
          <w:lang w:val="ro-RO"/>
        </w:rPr>
        <w:t>după caz, îmbunătățire parametri de calitate a energiei electrice</w:t>
      </w:r>
      <w:r w:rsidR="00840FA6">
        <w:rPr>
          <w:lang w:val="ro-RO"/>
        </w:rPr>
        <w:t>, inclusiv a nivelului de tensiune în reţea</w:t>
      </w:r>
      <w:r w:rsidR="005411EA" w:rsidRPr="008A7E58">
        <w:rPr>
          <w:lang w:val="ro-RO"/>
        </w:rPr>
        <w:t>)</w:t>
      </w:r>
      <w:r w:rsidR="009B6FD8" w:rsidRPr="008A7E58">
        <w:rPr>
          <w:lang w:val="ro-RO"/>
        </w:rPr>
        <w:t>,</w:t>
      </w:r>
    </w:p>
    <w:p w14:paraId="44B8EAF1" w14:textId="1ADB7180" w:rsidR="003A7636" w:rsidRPr="008A7E58" w:rsidRDefault="003A7636" w:rsidP="00182AD2">
      <w:pPr>
        <w:tabs>
          <w:tab w:val="num" w:pos="720"/>
        </w:tabs>
        <w:spacing w:after="0"/>
        <w:ind w:left="360"/>
        <w:jc w:val="both"/>
        <w:rPr>
          <w:lang w:val="ro-RO"/>
        </w:rPr>
      </w:pPr>
      <w:r w:rsidRPr="008A7E58">
        <w:rPr>
          <w:lang w:val="ro-RO"/>
        </w:rPr>
        <w:t>Costuri</w:t>
      </w:r>
      <w:r w:rsidRPr="008A7E58">
        <w:rPr>
          <w:vertAlign w:val="subscript"/>
          <w:lang w:val="ro-RO"/>
        </w:rPr>
        <w:t>suplimentare</w:t>
      </w:r>
      <w:r w:rsidRPr="008A7E58">
        <w:rPr>
          <w:lang w:val="ro-RO"/>
        </w:rPr>
        <w:t>=</w:t>
      </w:r>
      <w:r w:rsidR="009B6FD8" w:rsidRPr="008A7E58">
        <w:rPr>
          <w:lang w:val="ro-RO"/>
        </w:rPr>
        <w:t xml:space="preserve"> Costuri CPT</w:t>
      </w:r>
      <w:r w:rsidR="009B6FD8" w:rsidRPr="008A7E58">
        <w:rPr>
          <w:vertAlign w:val="subscript"/>
          <w:lang w:val="ro-RO"/>
        </w:rPr>
        <w:t>suplimentare</w:t>
      </w:r>
      <w:r w:rsidR="009B6FD8" w:rsidRPr="008A7E58">
        <w:rPr>
          <w:lang w:val="ro-RO"/>
        </w:rPr>
        <w:t xml:space="preserve"> + Costuri CAPEX</w:t>
      </w:r>
      <w:r w:rsidR="009B6FD8" w:rsidRPr="008A7E58">
        <w:rPr>
          <w:vertAlign w:val="subscript"/>
          <w:lang w:val="ro-RO"/>
        </w:rPr>
        <w:t>suplimentare</w:t>
      </w:r>
      <w:r w:rsidR="009B6FD8" w:rsidRPr="008A7E58">
        <w:rPr>
          <w:lang w:val="ro-RO"/>
        </w:rPr>
        <w:t xml:space="preserve"> + Costuri OPEX</w:t>
      </w:r>
      <w:r w:rsidR="009B6FD8" w:rsidRPr="008A7E58">
        <w:rPr>
          <w:vertAlign w:val="subscript"/>
          <w:lang w:val="ro-RO"/>
        </w:rPr>
        <w:t>suplimentare</w:t>
      </w:r>
      <w:r w:rsidR="009B6FD8" w:rsidRPr="008A7E58">
        <w:rPr>
          <w:lang w:val="ro-RO"/>
        </w:rPr>
        <w:t xml:space="preserve"> + Costuri congestii</w:t>
      </w:r>
      <w:r w:rsidR="009B6FD8" w:rsidRPr="008A7E58">
        <w:rPr>
          <w:vertAlign w:val="subscript"/>
          <w:lang w:val="ro-RO"/>
        </w:rPr>
        <w:t>suplimentare</w:t>
      </w:r>
      <w:r w:rsidR="00840FA6">
        <w:rPr>
          <w:lang w:val="ro-RO"/>
        </w:rPr>
        <w:t xml:space="preserve"> + Costuri servicii flexi </w:t>
      </w:r>
      <w:r w:rsidR="00840FA6" w:rsidRPr="00FD399D">
        <w:rPr>
          <w:vertAlign w:val="subscript"/>
          <w:lang w:val="ro-RO"/>
        </w:rPr>
        <w:t>CESR</w:t>
      </w:r>
      <w:r w:rsidR="009B6FD8" w:rsidRPr="008A7E58">
        <w:rPr>
          <w:lang w:val="ro-RO"/>
        </w:rPr>
        <w:t>.</w:t>
      </w:r>
    </w:p>
    <w:p w14:paraId="0E64F68E" w14:textId="77777777" w:rsidR="00F423D6" w:rsidRPr="008A7E58" w:rsidRDefault="00F423D6" w:rsidP="0005137F">
      <w:pPr>
        <w:spacing w:after="0"/>
        <w:jc w:val="both"/>
        <w:rPr>
          <w:strike/>
          <w:lang w:val="ro-RO"/>
        </w:rPr>
      </w:pPr>
    </w:p>
    <w:p w14:paraId="354A963A" w14:textId="47AEDA4F" w:rsidR="0005137F" w:rsidRPr="008A7E58" w:rsidRDefault="0005137F" w:rsidP="0005137F">
      <w:pPr>
        <w:spacing w:after="0"/>
        <w:jc w:val="both"/>
        <w:rPr>
          <w:lang w:val="ro-RO"/>
        </w:rPr>
      </w:pPr>
      <w:r w:rsidRPr="008A7E58">
        <w:rPr>
          <w:b/>
          <w:bCs/>
          <w:lang w:val="ro-RO"/>
        </w:rPr>
        <w:t xml:space="preserve">Art. </w:t>
      </w:r>
      <w:r w:rsidR="00857192">
        <w:rPr>
          <w:b/>
          <w:bCs/>
          <w:lang w:val="ro-RO"/>
        </w:rPr>
        <w:t>10</w:t>
      </w:r>
      <w:r w:rsidR="00857192" w:rsidRPr="008A7E58">
        <w:rPr>
          <w:b/>
          <w:bCs/>
          <w:lang w:val="ro-RO"/>
        </w:rPr>
        <w:t xml:space="preserve"> </w:t>
      </w:r>
      <w:r w:rsidRPr="008A7E58">
        <w:rPr>
          <w:b/>
          <w:bCs/>
          <w:lang w:val="ro-RO"/>
        </w:rPr>
        <w:t>– Termenul de realizare</w:t>
      </w:r>
    </w:p>
    <w:p w14:paraId="0971FA9A" w14:textId="19F9F413" w:rsidR="0005137F" w:rsidRPr="008A7E58" w:rsidRDefault="0005137F" w:rsidP="0005137F">
      <w:pPr>
        <w:spacing w:after="0"/>
        <w:jc w:val="both"/>
        <w:rPr>
          <w:lang w:val="ro-RO"/>
        </w:rPr>
      </w:pPr>
      <w:r w:rsidRPr="008A7E58">
        <w:rPr>
          <w:lang w:val="ro-RO"/>
        </w:rPr>
        <w:t xml:space="preserve">Analiza cost-beneficiu se </w:t>
      </w:r>
      <w:r w:rsidR="00E53006" w:rsidRPr="008A7E58">
        <w:rPr>
          <w:lang w:val="ro-RO"/>
        </w:rPr>
        <w:t xml:space="preserve">elaborează </w:t>
      </w:r>
      <w:r w:rsidR="00C07EA2">
        <w:rPr>
          <w:lang w:val="ro-RO"/>
        </w:rPr>
        <w:t xml:space="preserve">de ANRE </w:t>
      </w:r>
      <w:r w:rsidRPr="008A7E58">
        <w:rPr>
          <w:lang w:val="ro-RO"/>
        </w:rPr>
        <w:t xml:space="preserve">în termen de maximum 60 de zile de la data </w:t>
      </w:r>
      <w:r w:rsidR="000D0C99" w:rsidRPr="008A7E58">
        <w:rPr>
          <w:lang w:val="ro-RO"/>
        </w:rPr>
        <w:t xml:space="preserve">la care documentația se consideră </w:t>
      </w:r>
      <w:r w:rsidRPr="008A7E58">
        <w:rPr>
          <w:lang w:val="ro-RO"/>
        </w:rPr>
        <w:t>complet</w:t>
      </w:r>
      <w:r w:rsidR="000D0C99" w:rsidRPr="008A7E58">
        <w:rPr>
          <w:lang w:val="ro-RO"/>
        </w:rPr>
        <w:t>ă</w:t>
      </w:r>
      <w:r w:rsidR="005A017A" w:rsidRPr="008A7E58">
        <w:rPr>
          <w:lang w:val="ro-RO"/>
        </w:rPr>
        <w:t xml:space="preserve">, </w:t>
      </w:r>
      <w:r w:rsidR="00DC4075" w:rsidRPr="008A7E58">
        <w:rPr>
          <w:lang w:val="ro-RO"/>
        </w:rPr>
        <w:t>î</w:t>
      </w:r>
      <w:r w:rsidR="005A017A" w:rsidRPr="008A7E58">
        <w:rPr>
          <w:lang w:val="ro-RO"/>
        </w:rPr>
        <w:t>n condi</w:t>
      </w:r>
      <w:r w:rsidR="00DC4075" w:rsidRPr="008A7E58">
        <w:rPr>
          <w:lang w:val="ro-RO"/>
        </w:rPr>
        <w:t>ț</w:t>
      </w:r>
      <w:r w:rsidR="005A017A" w:rsidRPr="008A7E58">
        <w:rPr>
          <w:lang w:val="ro-RO"/>
        </w:rPr>
        <w:t>iile</w:t>
      </w:r>
      <w:r w:rsidR="000D0C99" w:rsidRPr="008A7E58">
        <w:rPr>
          <w:lang w:val="ro-RO"/>
        </w:rPr>
        <w:t xml:space="preserve"> art. </w:t>
      </w:r>
      <w:r w:rsidR="00300520">
        <w:rPr>
          <w:lang w:val="ro-RO"/>
        </w:rPr>
        <w:t>8</w:t>
      </w:r>
      <w:r w:rsidR="000D0C99" w:rsidRPr="008A7E58">
        <w:rPr>
          <w:lang w:val="ro-RO"/>
        </w:rPr>
        <w:t>, alin. (5)</w:t>
      </w:r>
      <w:r w:rsidRPr="008A7E58">
        <w:rPr>
          <w:lang w:val="ro-RO"/>
        </w:rPr>
        <w:t>.</w:t>
      </w:r>
    </w:p>
    <w:p w14:paraId="6580EFB9" w14:textId="77777777" w:rsidR="00F423D6" w:rsidRPr="008A7E58" w:rsidRDefault="00F423D6" w:rsidP="0005137F">
      <w:pPr>
        <w:spacing w:after="0"/>
        <w:jc w:val="both"/>
        <w:rPr>
          <w:b/>
          <w:bCs/>
          <w:lang w:val="ro-RO"/>
        </w:rPr>
      </w:pPr>
    </w:p>
    <w:p w14:paraId="74A79D04" w14:textId="795932BF" w:rsidR="0005137F" w:rsidRPr="008A7E58" w:rsidRDefault="0005137F" w:rsidP="0005137F">
      <w:pPr>
        <w:spacing w:after="0"/>
        <w:jc w:val="both"/>
        <w:rPr>
          <w:lang w:val="ro-RO"/>
        </w:rPr>
      </w:pPr>
      <w:r w:rsidRPr="008A7E58">
        <w:rPr>
          <w:b/>
          <w:bCs/>
          <w:lang w:val="ro-RO"/>
        </w:rPr>
        <w:t xml:space="preserve">Art. </w:t>
      </w:r>
      <w:r w:rsidR="00857192">
        <w:rPr>
          <w:b/>
          <w:bCs/>
          <w:lang w:val="ro-RO"/>
        </w:rPr>
        <w:t>11</w:t>
      </w:r>
      <w:r w:rsidR="00857192" w:rsidRPr="008A7E58">
        <w:rPr>
          <w:b/>
          <w:bCs/>
          <w:lang w:val="ro-RO"/>
        </w:rPr>
        <w:t xml:space="preserve"> </w:t>
      </w:r>
      <w:r w:rsidRPr="008A7E58">
        <w:rPr>
          <w:b/>
          <w:bCs/>
          <w:lang w:val="ro-RO"/>
        </w:rPr>
        <w:t xml:space="preserve">– </w:t>
      </w:r>
      <w:r w:rsidR="000B2A88" w:rsidRPr="008A7E58">
        <w:rPr>
          <w:b/>
          <w:bCs/>
          <w:lang w:val="ro-RO"/>
        </w:rPr>
        <w:t>Emiterea deciziei și c</w:t>
      </w:r>
      <w:r w:rsidRPr="008A7E58">
        <w:rPr>
          <w:b/>
          <w:bCs/>
          <w:lang w:val="ro-RO"/>
        </w:rPr>
        <w:t>omunicarea rezultatului</w:t>
      </w:r>
    </w:p>
    <w:p w14:paraId="7FAA86C2" w14:textId="0F3C1B3D" w:rsidR="001B13E0" w:rsidRPr="008A7E58" w:rsidRDefault="001F2590" w:rsidP="00184C58">
      <w:pPr>
        <w:pStyle w:val="ListParagraph"/>
        <w:numPr>
          <w:ilvl w:val="0"/>
          <w:numId w:val="14"/>
        </w:numPr>
        <w:spacing w:after="0"/>
        <w:jc w:val="both"/>
        <w:rPr>
          <w:lang w:val="ro-RO"/>
        </w:rPr>
      </w:pPr>
      <w:r w:rsidRPr="008A7E58">
        <w:rPr>
          <w:lang w:val="ro-RO"/>
        </w:rPr>
        <w:t>Î</w:t>
      </w:r>
      <w:r w:rsidR="00184C58" w:rsidRPr="008A7E58">
        <w:rPr>
          <w:lang w:val="ro-RO"/>
        </w:rPr>
        <w:t>n situația în care rezultatul analizei cost-beneficiu este pozitiv</w:t>
      </w:r>
      <w:r w:rsidR="001B13E0" w:rsidRPr="008A7E58">
        <w:rPr>
          <w:lang w:val="ro-RO"/>
        </w:rPr>
        <w:t xml:space="preserve">, ANRE </w:t>
      </w:r>
      <w:r w:rsidR="00184C58" w:rsidRPr="008A7E58">
        <w:rPr>
          <w:lang w:val="ro-RO"/>
        </w:rPr>
        <w:t>emite</w:t>
      </w:r>
      <w:r w:rsidR="00E3194B" w:rsidRPr="008A7E58">
        <w:rPr>
          <w:lang w:val="ro-RO"/>
        </w:rPr>
        <w:t xml:space="preserve"> </w:t>
      </w:r>
      <w:r w:rsidR="001B13E0" w:rsidRPr="008A7E58">
        <w:rPr>
          <w:lang w:val="ro-RO"/>
        </w:rPr>
        <w:t>decizi</w:t>
      </w:r>
      <w:r w:rsidR="00184C58" w:rsidRPr="008A7E58">
        <w:rPr>
          <w:lang w:val="ro-RO"/>
        </w:rPr>
        <w:t>a</w:t>
      </w:r>
      <w:r w:rsidR="006F163C" w:rsidRPr="008A7E58">
        <w:rPr>
          <w:lang w:val="ro-RO"/>
        </w:rPr>
        <w:t xml:space="preserve"> </w:t>
      </w:r>
      <w:r w:rsidR="00184C58" w:rsidRPr="008A7E58">
        <w:rPr>
          <w:lang w:val="ro-RO"/>
        </w:rPr>
        <w:t xml:space="preserve">de aprobare a </w:t>
      </w:r>
      <w:r w:rsidR="006F163C" w:rsidRPr="008A7E58">
        <w:rPr>
          <w:lang w:val="ro-RO"/>
        </w:rPr>
        <w:t>reducer</w:t>
      </w:r>
      <w:r w:rsidR="00184C58" w:rsidRPr="008A7E58">
        <w:rPr>
          <w:lang w:val="ro-RO"/>
        </w:rPr>
        <w:t>ii</w:t>
      </w:r>
      <w:r w:rsidR="006F163C" w:rsidRPr="008A7E58">
        <w:rPr>
          <w:lang w:val="ro-RO"/>
        </w:rPr>
        <w:t xml:space="preserve"> tarifului de distribuție</w:t>
      </w:r>
      <w:r w:rsidR="00EC4F84" w:rsidRPr="008A7E58">
        <w:rPr>
          <w:lang w:val="ro-RO"/>
        </w:rPr>
        <w:t xml:space="preserve"> pentru </w:t>
      </w:r>
      <w:r w:rsidR="002A3B81" w:rsidRPr="008A7E58">
        <w:rPr>
          <w:lang w:val="ro-RO"/>
        </w:rPr>
        <w:t xml:space="preserve">cantitatea de energie electrică partajată în cadrul </w:t>
      </w:r>
      <w:r w:rsidR="00EC4F84" w:rsidRPr="008A7E58">
        <w:rPr>
          <w:lang w:val="ro-RO"/>
        </w:rPr>
        <w:t>CESR</w:t>
      </w:r>
      <w:r w:rsidR="00F841EE" w:rsidRPr="008A7E58">
        <w:rPr>
          <w:lang w:val="ro-RO"/>
        </w:rPr>
        <w:t>, care va fi comunicat</w:t>
      </w:r>
      <w:r w:rsidR="002A3B81" w:rsidRPr="008A7E58">
        <w:rPr>
          <w:lang w:val="ro-RO"/>
        </w:rPr>
        <w:t>ă</w:t>
      </w:r>
      <w:r w:rsidR="00F841EE" w:rsidRPr="008A7E58">
        <w:rPr>
          <w:lang w:val="ro-RO"/>
        </w:rPr>
        <w:t xml:space="preserve"> ODC si CESR.</w:t>
      </w:r>
    </w:p>
    <w:p w14:paraId="5B469E1E" w14:textId="0916647C" w:rsidR="000B2A88" w:rsidRPr="008A7E58" w:rsidRDefault="002A3B81" w:rsidP="00EC4F84">
      <w:pPr>
        <w:pStyle w:val="ListParagraph"/>
        <w:numPr>
          <w:ilvl w:val="0"/>
          <w:numId w:val="14"/>
        </w:numPr>
        <w:spacing w:after="0"/>
        <w:jc w:val="both"/>
        <w:rPr>
          <w:lang w:val="ro-RO"/>
        </w:rPr>
      </w:pPr>
      <w:r w:rsidRPr="008A7E58">
        <w:rPr>
          <w:lang w:val="ro-RO"/>
        </w:rPr>
        <w:lastRenderedPageBreak/>
        <w:t>Î</w:t>
      </w:r>
      <w:r w:rsidR="00EC4F84" w:rsidRPr="008A7E58">
        <w:rPr>
          <w:lang w:val="ro-RO"/>
        </w:rPr>
        <w:t>n situația în care rezultatul analizei cost-beneficiu este negativ, ANRE c</w:t>
      </w:r>
      <w:r w:rsidR="00DE59F4" w:rsidRPr="008A7E58">
        <w:rPr>
          <w:lang w:val="ro-RO"/>
        </w:rPr>
        <w:t>omu</w:t>
      </w:r>
      <w:r w:rsidR="006F163C" w:rsidRPr="008A7E58">
        <w:rPr>
          <w:lang w:val="ro-RO"/>
        </w:rPr>
        <w:t>nic</w:t>
      </w:r>
      <w:r w:rsidRPr="008A7E58">
        <w:rPr>
          <w:lang w:val="ro-RO"/>
        </w:rPr>
        <w:t>ă</w:t>
      </w:r>
      <w:r w:rsidR="00EC4F84" w:rsidRPr="008A7E58">
        <w:rPr>
          <w:lang w:val="ro-RO"/>
        </w:rPr>
        <w:t xml:space="preserve"> rezultatul</w:t>
      </w:r>
      <w:r w:rsidR="006F163C" w:rsidRPr="008A7E58">
        <w:rPr>
          <w:lang w:val="ro-RO"/>
        </w:rPr>
        <w:t xml:space="preserve"> </w:t>
      </w:r>
      <w:r w:rsidR="00DE59F4" w:rsidRPr="008A7E58">
        <w:rPr>
          <w:lang w:val="ro-RO"/>
        </w:rPr>
        <w:t>analizei cǎtre CESR</w:t>
      </w:r>
      <w:r w:rsidR="00977F4B">
        <w:rPr>
          <w:lang w:val="ro-RO"/>
        </w:rPr>
        <w:t xml:space="preserve"> şi ODC</w:t>
      </w:r>
      <w:r w:rsidR="00EC4F84" w:rsidRPr="008A7E58">
        <w:rPr>
          <w:lang w:val="ro-RO"/>
        </w:rPr>
        <w:t>.</w:t>
      </w:r>
      <w:r w:rsidR="00DE59F4" w:rsidRPr="008A7E58">
        <w:rPr>
          <w:lang w:val="ro-RO"/>
        </w:rPr>
        <w:t xml:space="preserve"> </w:t>
      </w:r>
      <w:r w:rsidR="00EC4F84" w:rsidRPr="008A7E58">
        <w:rPr>
          <w:lang w:val="ro-RO"/>
        </w:rPr>
        <w:t xml:space="preserve">Acesta </w:t>
      </w:r>
      <w:r w:rsidR="00DE59F4" w:rsidRPr="008A7E58">
        <w:rPr>
          <w:lang w:val="ro-RO"/>
        </w:rPr>
        <w:t>poate fi însoţit de recomandǎri</w:t>
      </w:r>
      <w:r w:rsidR="007670E3" w:rsidRPr="008A7E58">
        <w:rPr>
          <w:lang w:val="ro-RO"/>
        </w:rPr>
        <w:t xml:space="preserve"> (măsuri tehnice sau operaționale)</w:t>
      </w:r>
      <w:r w:rsidR="00DE59F4" w:rsidRPr="008A7E58">
        <w:rPr>
          <w:lang w:val="ro-RO"/>
        </w:rPr>
        <w:t xml:space="preserve"> care sǎ conducǎ la obţinerea de beneficii suplimentare</w:t>
      </w:r>
      <w:r w:rsidR="00F22B20" w:rsidRPr="008A7E58">
        <w:rPr>
          <w:lang w:val="ro-RO"/>
        </w:rPr>
        <w:t>.</w:t>
      </w:r>
    </w:p>
    <w:p w14:paraId="56328478" w14:textId="77777777" w:rsidR="00693018" w:rsidRPr="008A7E58" w:rsidRDefault="00693018" w:rsidP="0005137F">
      <w:pPr>
        <w:spacing w:after="0"/>
        <w:jc w:val="both"/>
        <w:rPr>
          <w:lang w:val="ro-RO"/>
        </w:rPr>
      </w:pPr>
    </w:p>
    <w:p w14:paraId="54CC4DAB" w14:textId="6DFCCAA3" w:rsidR="009246CF" w:rsidRPr="008A7E58" w:rsidRDefault="009246CF" w:rsidP="009246CF">
      <w:pPr>
        <w:spacing w:after="0"/>
        <w:jc w:val="both"/>
        <w:rPr>
          <w:lang w:val="ro-RO"/>
        </w:rPr>
      </w:pPr>
      <w:r w:rsidRPr="008A7E58">
        <w:rPr>
          <w:b/>
          <w:bCs/>
          <w:lang w:val="ro-RO"/>
        </w:rPr>
        <w:t xml:space="preserve">Art. </w:t>
      </w:r>
      <w:r w:rsidR="00857192">
        <w:rPr>
          <w:b/>
          <w:bCs/>
          <w:lang w:val="ro-RO"/>
        </w:rPr>
        <w:t>12</w:t>
      </w:r>
      <w:r w:rsidR="00857192" w:rsidRPr="008A7E58">
        <w:rPr>
          <w:b/>
          <w:bCs/>
          <w:lang w:val="ro-RO"/>
        </w:rPr>
        <w:t xml:space="preserve"> </w:t>
      </w:r>
      <w:r w:rsidRPr="008A7E58">
        <w:rPr>
          <w:b/>
          <w:bCs/>
          <w:lang w:val="ro-RO"/>
        </w:rPr>
        <w:t xml:space="preserve">– </w:t>
      </w:r>
      <w:r w:rsidR="00193C2A" w:rsidRPr="008A7E58">
        <w:rPr>
          <w:b/>
          <w:bCs/>
          <w:lang w:val="ro-RO"/>
        </w:rPr>
        <w:t>Valabilitatea deciziei</w:t>
      </w:r>
    </w:p>
    <w:p w14:paraId="49E144E0" w14:textId="15F6B5CB" w:rsidR="00D72C4A" w:rsidRPr="008A7E58" w:rsidRDefault="00FE35A4">
      <w:pPr>
        <w:pStyle w:val="ListParagraph"/>
        <w:numPr>
          <w:ilvl w:val="0"/>
          <w:numId w:val="17"/>
        </w:numPr>
        <w:spacing w:after="0"/>
        <w:jc w:val="both"/>
        <w:rPr>
          <w:lang w:val="ro-RO"/>
        </w:rPr>
      </w:pPr>
      <w:r w:rsidRPr="008A7E58">
        <w:rPr>
          <w:bCs/>
          <w:lang w:val="ro-RO"/>
        </w:rPr>
        <w:t xml:space="preserve">Decizia prevăzută la art. </w:t>
      </w:r>
      <w:r w:rsidR="00300520">
        <w:rPr>
          <w:bCs/>
          <w:lang w:val="ro-RO"/>
        </w:rPr>
        <w:t>11</w:t>
      </w:r>
      <w:r w:rsidRPr="008A7E58">
        <w:rPr>
          <w:bCs/>
          <w:lang w:val="ro-RO"/>
        </w:rPr>
        <w:t>, ali</w:t>
      </w:r>
      <w:r w:rsidR="00980C22" w:rsidRPr="008A7E58">
        <w:rPr>
          <w:bCs/>
          <w:lang w:val="ro-RO"/>
        </w:rPr>
        <w:t>n</w:t>
      </w:r>
      <w:r w:rsidRPr="008A7E58">
        <w:rPr>
          <w:bCs/>
          <w:lang w:val="ro-RO"/>
        </w:rPr>
        <w:t xml:space="preserve">. (1) </w:t>
      </w:r>
      <w:r w:rsidR="00D72C4A" w:rsidRPr="008A7E58">
        <w:rPr>
          <w:bCs/>
          <w:lang w:val="ro-RO"/>
        </w:rPr>
        <w:t>își încetează valabilitatea în următoarele situații:</w:t>
      </w:r>
    </w:p>
    <w:p w14:paraId="1CA37FF8" w14:textId="34A8F9D9" w:rsidR="00D72C4A" w:rsidRPr="008A7E58" w:rsidRDefault="00A72AAF" w:rsidP="00182AD2">
      <w:pPr>
        <w:numPr>
          <w:ilvl w:val="0"/>
          <w:numId w:val="19"/>
        </w:numPr>
        <w:spacing w:after="0"/>
        <w:jc w:val="both"/>
        <w:rPr>
          <w:lang w:val="ro-RO"/>
        </w:rPr>
      </w:pPr>
      <w:r w:rsidRPr="008A7E58">
        <w:rPr>
          <w:lang w:val="ro-RO"/>
        </w:rPr>
        <w:t xml:space="preserve">în termen de </w:t>
      </w:r>
      <w:r w:rsidR="00B41166" w:rsidRPr="00D02A71">
        <w:rPr>
          <w:lang w:val="ro-RO"/>
        </w:rPr>
        <w:t>5</w:t>
      </w:r>
      <w:r w:rsidRPr="00D02A71">
        <w:rPr>
          <w:lang w:val="ro-RO"/>
        </w:rPr>
        <w:t xml:space="preserve"> an</w:t>
      </w:r>
      <w:r w:rsidR="00B41166" w:rsidRPr="00D02A71">
        <w:rPr>
          <w:lang w:val="ro-RO"/>
        </w:rPr>
        <w:t>i</w:t>
      </w:r>
      <w:r w:rsidRPr="008A7E58">
        <w:rPr>
          <w:lang w:val="ro-RO"/>
        </w:rPr>
        <w:t xml:space="preserve"> de la data comunicării</w:t>
      </w:r>
      <w:r w:rsidR="00D72C4A" w:rsidRPr="008A7E58">
        <w:rPr>
          <w:lang w:val="ro-RO"/>
        </w:rPr>
        <w:t>;</w:t>
      </w:r>
    </w:p>
    <w:p w14:paraId="4771025E" w14:textId="42C5CBF6" w:rsidR="00D72C4A" w:rsidRPr="008A7E58" w:rsidRDefault="00A72AAF" w:rsidP="00182AD2">
      <w:pPr>
        <w:numPr>
          <w:ilvl w:val="0"/>
          <w:numId w:val="19"/>
        </w:numPr>
        <w:spacing w:after="0"/>
        <w:jc w:val="both"/>
        <w:rPr>
          <w:lang w:val="ro-RO"/>
        </w:rPr>
      </w:pPr>
      <w:r w:rsidRPr="008A7E58">
        <w:rPr>
          <w:lang w:val="ro-RO"/>
        </w:rPr>
        <w:t>la data comunicării deciziei de încetare a efectelor juridice a</w:t>
      </w:r>
      <w:r w:rsidR="00020288">
        <w:rPr>
          <w:lang w:val="ro-RO"/>
        </w:rPr>
        <w:t>le</w:t>
      </w:r>
      <w:r w:rsidRPr="008A7E58">
        <w:rPr>
          <w:lang w:val="ro-RO"/>
        </w:rPr>
        <w:t xml:space="preserve"> deciziei de aprobare a reducerii tarifului de distribuție pentru CESR.</w:t>
      </w:r>
    </w:p>
    <w:p w14:paraId="16591422" w14:textId="77777777" w:rsidR="00FD399D" w:rsidRDefault="00FD399D" w:rsidP="00182AD2">
      <w:pPr>
        <w:spacing w:after="0"/>
        <w:jc w:val="both"/>
        <w:rPr>
          <w:b/>
          <w:bCs/>
          <w:lang w:val="ro-RO"/>
        </w:rPr>
      </w:pPr>
    </w:p>
    <w:p w14:paraId="745D4D54" w14:textId="5185D026" w:rsidR="00025ED0" w:rsidRPr="008A7E58" w:rsidRDefault="00A72AAF" w:rsidP="00182AD2">
      <w:pPr>
        <w:spacing w:after="0"/>
        <w:jc w:val="both"/>
        <w:rPr>
          <w:b/>
          <w:bCs/>
          <w:lang w:val="ro-RO"/>
        </w:rPr>
      </w:pPr>
      <w:r w:rsidRPr="008A7E58">
        <w:rPr>
          <w:b/>
          <w:bCs/>
          <w:lang w:val="ro-RO"/>
        </w:rPr>
        <w:t xml:space="preserve">Art. </w:t>
      </w:r>
      <w:r w:rsidR="00857192">
        <w:rPr>
          <w:b/>
          <w:bCs/>
          <w:lang w:val="ro-RO"/>
        </w:rPr>
        <w:t>13</w:t>
      </w:r>
      <w:r w:rsidR="00857192" w:rsidRPr="008A7E58">
        <w:rPr>
          <w:b/>
          <w:bCs/>
          <w:lang w:val="ro-RO"/>
        </w:rPr>
        <w:t xml:space="preserve"> </w:t>
      </w:r>
      <w:r w:rsidR="004E4700" w:rsidRPr="008A7E58">
        <w:rPr>
          <w:b/>
          <w:bCs/>
          <w:lang w:val="ro-RO"/>
        </w:rPr>
        <w:t>–</w:t>
      </w:r>
      <w:r w:rsidRPr="008A7E58">
        <w:rPr>
          <w:b/>
          <w:bCs/>
          <w:lang w:val="ro-RO"/>
        </w:rPr>
        <w:t xml:space="preserve"> </w:t>
      </w:r>
      <w:r w:rsidR="004E4700" w:rsidRPr="008A7E58">
        <w:rPr>
          <w:b/>
          <w:bCs/>
          <w:lang w:val="ro-RO"/>
        </w:rPr>
        <w:t>Obligația actua</w:t>
      </w:r>
      <w:r w:rsidR="00001BCB" w:rsidRPr="008A7E58">
        <w:rPr>
          <w:b/>
          <w:bCs/>
          <w:lang w:val="ro-RO"/>
        </w:rPr>
        <w:t>l</w:t>
      </w:r>
      <w:r w:rsidR="004E4700" w:rsidRPr="008A7E58">
        <w:rPr>
          <w:b/>
          <w:bCs/>
          <w:lang w:val="ro-RO"/>
        </w:rPr>
        <w:t xml:space="preserve">izării </w:t>
      </w:r>
      <w:r w:rsidR="00025ED0" w:rsidRPr="008A7E58">
        <w:rPr>
          <w:b/>
          <w:bCs/>
          <w:lang w:val="ro-RO"/>
        </w:rPr>
        <w:t>analizei cost–beneficiu</w:t>
      </w:r>
    </w:p>
    <w:p w14:paraId="0E44B93F" w14:textId="158F253D" w:rsidR="004E4700" w:rsidRPr="008A7E58" w:rsidRDefault="00020288" w:rsidP="009246CF">
      <w:pPr>
        <w:pStyle w:val="ListParagraph"/>
        <w:numPr>
          <w:ilvl w:val="0"/>
          <w:numId w:val="20"/>
        </w:numPr>
        <w:spacing w:after="0"/>
        <w:jc w:val="both"/>
        <w:rPr>
          <w:lang w:val="ro-RO"/>
        </w:rPr>
      </w:pPr>
      <w:r>
        <w:rPr>
          <w:bCs/>
          <w:lang w:val="ro-RO"/>
        </w:rPr>
        <w:t xml:space="preserve">În situaţia emiterii unei Decizii conform art. </w:t>
      </w:r>
      <w:r w:rsidR="00300520">
        <w:rPr>
          <w:bCs/>
          <w:lang w:val="ro-RO"/>
        </w:rPr>
        <w:t xml:space="preserve">11, </w:t>
      </w:r>
      <w:r>
        <w:rPr>
          <w:bCs/>
          <w:lang w:val="ro-RO"/>
        </w:rPr>
        <w:t xml:space="preserve">alin. (1), </w:t>
      </w:r>
      <w:r w:rsidR="00E94FA1" w:rsidRPr="008A7E58">
        <w:rPr>
          <w:bCs/>
          <w:lang w:val="ro-RO"/>
        </w:rPr>
        <w:t xml:space="preserve">ODC </w:t>
      </w:r>
      <w:r>
        <w:rPr>
          <w:bCs/>
          <w:lang w:val="ro-RO"/>
        </w:rPr>
        <w:t>are obligaţia să monitorizeze</w:t>
      </w:r>
      <w:r w:rsidR="003B737A" w:rsidRPr="008A7E58">
        <w:rPr>
          <w:bCs/>
          <w:lang w:val="ro-RO"/>
        </w:rPr>
        <w:t xml:space="preserve"> </w:t>
      </w:r>
      <w:r w:rsidR="00E32CAC" w:rsidRPr="008A7E58">
        <w:rPr>
          <w:bCs/>
          <w:lang w:val="ro-RO"/>
        </w:rPr>
        <w:t xml:space="preserve">efectul </w:t>
      </w:r>
      <w:r w:rsidR="003B737A" w:rsidRPr="008A7E58">
        <w:rPr>
          <w:bCs/>
          <w:lang w:val="ro-RO"/>
        </w:rPr>
        <w:t>funcțion</w:t>
      </w:r>
      <w:r w:rsidR="00E32CAC" w:rsidRPr="008A7E58">
        <w:rPr>
          <w:bCs/>
          <w:lang w:val="ro-RO"/>
        </w:rPr>
        <w:t>ării</w:t>
      </w:r>
      <w:r w:rsidR="003B737A" w:rsidRPr="008A7E58">
        <w:rPr>
          <w:bCs/>
          <w:lang w:val="ro-RO"/>
        </w:rPr>
        <w:t xml:space="preserve"> CESR </w:t>
      </w:r>
      <w:r w:rsidR="00E32CAC" w:rsidRPr="008A7E58">
        <w:rPr>
          <w:bCs/>
          <w:lang w:val="ro-RO"/>
        </w:rPr>
        <w:t>asupra costurilor</w:t>
      </w:r>
      <w:r w:rsidR="00D4592A" w:rsidRPr="008A7E58">
        <w:rPr>
          <w:bCs/>
          <w:lang w:val="ro-RO"/>
        </w:rPr>
        <w:t xml:space="preserve"> aferente prestării serviciului</w:t>
      </w:r>
      <w:r w:rsidR="00D4592A" w:rsidRPr="008A7E58">
        <w:rPr>
          <w:lang w:val="ro-RO"/>
        </w:rPr>
        <w:t xml:space="preserve"> de distribuție</w:t>
      </w:r>
      <w:r w:rsidR="004E4700" w:rsidRPr="008A7E58">
        <w:rPr>
          <w:lang w:val="ro-RO"/>
        </w:rPr>
        <w:t>,</w:t>
      </w:r>
      <w:r w:rsidR="00D4592A" w:rsidRPr="008A7E58">
        <w:rPr>
          <w:lang w:val="ro-RO"/>
        </w:rPr>
        <w:t xml:space="preserve"> </w:t>
      </w:r>
      <w:r w:rsidR="003B737A" w:rsidRPr="008A7E58">
        <w:rPr>
          <w:lang w:val="ro-RO"/>
        </w:rPr>
        <w:t>pe baza datelor dispon</w:t>
      </w:r>
      <w:r w:rsidR="003C62D9" w:rsidRPr="008A7E58">
        <w:rPr>
          <w:lang w:val="ro-RO"/>
        </w:rPr>
        <w:t>i</w:t>
      </w:r>
      <w:r w:rsidR="003B737A" w:rsidRPr="008A7E58">
        <w:rPr>
          <w:lang w:val="ro-RO"/>
        </w:rPr>
        <w:t xml:space="preserve">bile și notifică CESR și ANRE cu privire la </w:t>
      </w:r>
      <w:r w:rsidR="003C62D9" w:rsidRPr="008A7E58">
        <w:rPr>
          <w:lang w:val="ro-RO"/>
        </w:rPr>
        <w:t xml:space="preserve">modificările survenite </w:t>
      </w:r>
      <w:r w:rsidR="004E4700" w:rsidRPr="008A7E58">
        <w:rPr>
          <w:lang w:val="ro-RO"/>
        </w:rPr>
        <w:t xml:space="preserve">care </w:t>
      </w:r>
      <w:r w:rsidR="003C62D9" w:rsidRPr="008A7E58">
        <w:rPr>
          <w:lang w:val="ro-RO"/>
        </w:rPr>
        <w:t xml:space="preserve">pot </w:t>
      </w:r>
      <w:r w:rsidR="004B684F">
        <w:rPr>
          <w:lang w:val="ro-RO"/>
        </w:rPr>
        <w:t>influența semnificativ</w:t>
      </w:r>
      <w:r w:rsidR="004B684F" w:rsidRPr="008A7E58">
        <w:rPr>
          <w:lang w:val="ro-RO"/>
        </w:rPr>
        <w:t xml:space="preserve"> </w:t>
      </w:r>
      <w:r w:rsidR="003C62D9" w:rsidRPr="008A7E58">
        <w:rPr>
          <w:lang w:val="ro-RO"/>
        </w:rPr>
        <w:t>rezultatul analizei cost-beneficiu (CPT, congestii, servicii de flexibilitate, costuri de CAPEX, costuri de OPEX, etc.).</w:t>
      </w:r>
    </w:p>
    <w:p w14:paraId="5C5A5D26" w14:textId="797E2945" w:rsidR="004E4700" w:rsidRPr="008A7E58" w:rsidRDefault="000D3F4E" w:rsidP="009246CF">
      <w:pPr>
        <w:pStyle w:val="ListParagraph"/>
        <w:numPr>
          <w:ilvl w:val="0"/>
          <w:numId w:val="20"/>
        </w:numPr>
        <w:spacing w:after="0"/>
        <w:jc w:val="both"/>
        <w:rPr>
          <w:lang w:val="ro-RO"/>
        </w:rPr>
      </w:pPr>
      <w:r w:rsidRPr="008A7E58">
        <w:rPr>
          <w:lang w:val="ro-RO"/>
        </w:rPr>
        <w:t xml:space="preserve">În situația de mai sus, </w:t>
      </w:r>
      <w:r w:rsidR="00912128" w:rsidRPr="008A7E58">
        <w:rPr>
          <w:lang w:val="ro-RO"/>
        </w:rPr>
        <w:t xml:space="preserve">în termen de </w:t>
      </w:r>
      <w:r w:rsidR="00D4592A" w:rsidRPr="008A7E58">
        <w:rPr>
          <w:lang w:val="ro-RO"/>
        </w:rPr>
        <w:t>45 de</w:t>
      </w:r>
      <w:r w:rsidR="00912128" w:rsidRPr="008A7E58">
        <w:rPr>
          <w:lang w:val="ro-RO"/>
        </w:rPr>
        <w:t xml:space="preserve"> zile</w:t>
      </w:r>
      <w:r w:rsidR="00020288">
        <w:rPr>
          <w:lang w:val="ro-RO"/>
        </w:rPr>
        <w:t xml:space="preserve"> de la data notificării prevăzute la alin. (1)</w:t>
      </w:r>
      <w:r w:rsidR="00912128" w:rsidRPr="008A7E58">
        <w:rPr>
          <w:lang w:val="ro-RO"/>
        </w:rPr>
        <w:t xml:space="preserve">, </w:t>
      </w:r>
      <w:r w:rsidR="009F42D3" w:rsidRPr="008A7E58">
        <w:rPr>
          <w:lang w:val="ro-RO"/>
        </w:rPr>
        <w:t xml:space="preserve">CESR are obligația de </w:t>
      </w:r>
      <w:r w:rsidR="00912128" w:rsidRPr="008A7E58">
        <w:rPr>
          <w:lang w:val="ro-RO"/>
        </w:rPr>
        <w:t>a transmite ANRE documentația necesară refacerii analizei cost–beneficiu.</w:t>
      </w:r>
    </w:p>
    <w:p w14:paraId="12C4924A" w14:textId="0C70BEF4" w:rsidR="0037458B" w:rsidRPr="008A7E58" w:rsidRDefault="00912128" w:rsidP="00182AD2">
      <w:pPr>
        <w:pStyle w:val="ListParagraph"/>
        <w:numPr>
          <w:ilvl w:val="0"/>
          <w:numId w:val="20"/>
        </w:numPr>
        <w:spacing w:after="0"/>
        <w:jc w:val="both"/>
        <w:rPr>
          <w:lang w:val="ro-RO"/>
        </w:rPr>
      </w:pPr>
      <w:r w:rsidRPr="008A7E58">
        <w:rPr>
          <w:lang w:val="ro-RO"/>
        </w:rPr>
        <w:t>În cazul în care rezultatul refacerii analizei cost-beneficiu</w:t>
      </w:r>
      <w:r w:rsidR="002F0ED4" w:rsidRPr="008A7E58">
        <w:rPr>
          <w:lang w:val="ro-RO"/>
        </w:rPr>
        <w:t xml:space="preserve"> este negativ</w:t>
      </w:r>
      <w:r w:rsidR="0037458B" w:rsidRPr="008A7E58">
        <w:rPr>
          <w:lang w:val="ro-RO"/>
        </w:rPr>
        <w:t>:</w:t>
      </w:r>
    </w:p>
    <w:p w14:paraId="204C888E" w14:textId="560BC9EF" w:rsidR="004E102B" w:rsidRPr="008A7E58" w:rsidRDefault="002F0ED4" w:rsidP="00182AD2">
      <w:pPr>
        <w:numPr>
          <w:ilvl w:val="0"/>
          <w:numId w:val="21"/>
        </w:numPr>
        <w:spacing w:after="0"/>
        <w:jc w:val="both"/>
        <w:rPr>
          <w:lang w:val="ro-RO"/>
        </w:rPr>
      </w:pPr>
      <w:r w:rsidRPr="008A7E58">
        <w:rPr>
          <w:lang w:val="ro-RO"/>
        </w:rPr>
        <w:t xml:space="preserve">ANRE </w:t>
      </w:r>
      <w:r w:rsidR="004E102B" w:rsidRPr="008A7E58">
        <w:rPr>
          <w:lang w:val="ro-RO"/>
        </w:rPr>
        <w:t>emite decizia de încetare a efectelor juridice a deciziei de aprobare a reducerii tarifului de distribuție pentru CESR anterior emisă, care va fi comunicată către CESR și ODC.</w:t>
      </w:r>
    </w:p>
    <w:p w14:paraId="05A41FA4" w14:textId="54C732FD" w:rsidR="002F0ED4" w:rsidRPr="008A7E58" w:rsidRDefault="00001BCB" w:rsidP="00182AD2">
      <w:pPr>
        <w:numPr>
          <w:ilvl w:val="0"/>
          <w:numId w:val="21"/>
        </w:numPr>
        <w:spacing w:after="0"/>
        <w:jc w:val="both"/>
        <w:rPr>
          <w:lang w:val="ro-RO"/>
        </w:rPr>
      </w:pPr>
      <w:r w:rsidRPr="008A7E58">
        <w:rPr>
          <w:lang w:val="ro-RO"/>
        </w:rPr>
        <w:t xml:space="preserve">ANRE </w:t>
      </w:r>
      <w:r w:rsidR="007670E3" w:rsidRPr="008A7E58">
        <w:rPr>
          <w:lang w:val="ro-RO"/>
        </w:rPr>
        <w:t>comunică rezultatul analizei cǎtre CESR</w:t>
      </w:r>
      <w:r w:rsidR="00020288">
        <w:rPr>
          <w:lang w:val="ro-RO"/>
        </w:rPr>
        <w:t xml:space="preserve"> şi ODC</w:t>
      </w:r>
      <w:r w:rsidR="0037458B" w:rsidRPr="008A7E58">
        <w:rPr>
          <w:lang w:val="ro-RO"/>
        </w:rPr>
        <w:t xml:space="preserve">, care </w:t>
      </w:r>
      <w:r w:rsidR="007670E3" w:rsidRPr="008A7E58">
        <w:rPr>
          <w:lang w:val="ro-RO"/>
        </w:rPr>
        <w:t>poate fi însoţit de recomandǎri (măsuri tehnice sau operaționale pentru reducerea impactului asupra rețelei electrice de distribuție) care sǎ conducǎ la obţinerea de beneficii suplimentare.</w:t>
      </w:r>
    </w:p>
    <w:p w14:paraId="51A221E0" w14:textId="51F4E588" w:rsidR="00485EFC" w:rsidRPr="008A7E58" w:rsidRDefault="00485EFC" w:rsidP="00182AD2">
      <w:pPr>
        <w:pStyle w:val="ListParagraph"/>
        <w:numPr>
          <w:ilvl w:val="0"/>
          <w:numId w:val="20"/>
        </w:numPr>
        <w:spacing w:after="0"/>
        <w:jc w:val="both"/>
        <w:rPr>
          <w:b/>
          <w:bCs/>
          <w:lang w:val="ro-RO"/>
        </w:rPr>
      </w:pPr>
      <w:r w:rsidRPr="008A7E58">
        <w:rPr>
          <w:lang w:val="ro-RO"/>
        </w:rPr>
        <w:t xml:space="preserve">Netransmiterea documentației de către CESR în termenul prevăzut la </w:t>
      </w:r>
      <w:r w:rsidR="00001BCB" w:rsidRPr="008A7E58">
        <w:rPr>
          <w:lang w:val="ro-RO"/>
        </w:rPr>
        <w:t>alin. (2)</w:t>
      </w:r>
      <w:r w:rsidRPr="008A7E58">
        <w:rPr>
          <w:lang w:val="ro-RO"/>
        </w:rPr>
        <w:t xml:space="preserve"> conduce </w:t>
      </w:r>
      <w:r w:rsidR="000F417D" w:rsidRPr="008A7E58">
        <w:rPr>
          <w:lang w:val="ro-RO"/>
        </w:rPr>
        <w:t>la</w:t>
      </w:r>
      <w:r w:rsidR="00001BCB" w:rsidRPr="008A7E58">
        <w:rPr>
          <w:lang w:val="ro-RO"/>
        </w:rPr>
        <w:t xml:space="preserve"> </w:t>
      </w:r>
      <w:r w:rsidR="000F417D" w:rsidRPr="008A7E58">
        <w:rPr>
          <w:lang w:val="ro-RO"/>
        </w:rPr>
        <w:t xml:space="preserve"> emiterea </w:t>
      </w:r>
      <w:r w:rsidR="00001BCB" w:rsidRPr="008A7E58">
        <w:rPr>
          <w:lang w:val="ro-RO"/>
        </w:rPr>
        <w:t xml:space="preserve">de către ANRE a </w:t>
      </w:r>
      <w:r w:rsidR="000F417D" w:rsidRPr="008A7E58">
        <w:rPr>
          <w:lang w:val="ro-RO"/>
        </w:rPr>
        <w:t>deciziei de încetare a efectelor juridice a deciziei de aprobare a reducerii tarifului de distribuție pentru CESR anterior emisă.</w:t>
      </w:r>
    </w:p>
    <w:p w14:paraId="5B15DF66" w14:textId="77777777" w:rsidR="00025ED0" w:rsidRPr="008A7E58" w:rsidRDefault="00025ED0" w:rsidP="009246CF">
      <w:pPr>
        <w:spacing w:after="0"/>
        <w:jc w:val="both"/>
        <w:rPr>
          <w:b/>
          <w:bCs/>
          <w:lang w:val="ro-RO"/>
        </w:rPr>
      </w:pPr>
    </w:p>
    <w:p w14:paraId="773FF00F" w14:textId="3AB8C7C7" w:rsidR="009246CF" w:rsidRPr="008A7E58" w:rsidRDefault="009246CF" w:rsidP="009246CF">
      <w:pPr>
        <w:spacing w:after="0"/>
        <w:jc w:val="both"/>
        <w:rPr>
          <w:lang w:val="ro-RO"/>
        </w:rPr>
      </w:pPr>
      <w:r w:rsidRPr="008A7E58">
        <w:rPr>
          <w:b/>
          <w:bCs/>
          <w:lang w:val="ro-RO"/>
        </w:rPr>
        <w:t xml:space="preserve">Art. </w:t>
      </w:r>
      <w:r w:rsidR="00857192">
        <w:rPr>
          <w:b/>
          <w:bCs/>
          <w:lang w:val="ro-RO"/>
        </w:rPr>
        <w:t>14</w:t>
      </w:r>
      <w:r w:rsidR="00857192" w:rsidRPr="008A7E58">
        <w:rPr>
          <w:b/>
          <w:bCs/>
          <w:lang w:val="ro-RO"/>
        </w:rPr>
        <w:t xml:space="preserve"> </w:t>
      </w:r>
      <w:r w:rsidRPr="008A7E58">
        <w:rPr>
          <w:b/>
          <w:bCs/>
          <w:lang w:val="ro-RO"/>
        </w:rPr>
        <w:t xml:space="preserve">– </w:t>
      </w:r>
      <w:r w:rsidR="00193C2A" w:rsidRPr="008A7E58">
        <w:rPr>
          <w:b/>
          <w:bCs/>
          <w:lang w:val="ro-RO"/>
        </w:rPr>
        <w:t>Dispoziții finale și tranzitorii</w:t>
      </w:r>
    </w:p>
    <w:p w14:paraId="37E32E76" w14:textId="1DE1BC44" w:rsidR="00020288" w:rsidRDefault="00020288" w:rsidP="0005137F">
      <w:pPr>
        <w:spacing w:after="0"/>
        <w:jc w:val="both"/>
        <w:rPr>
          <w:bCs/>
          <w:lang w:val="ro-RO"/>
        </w:rPr>
      </w:pPr>
      <w:r>
        <w:rPr>
          <w:bCs/>
          <w:lang w:val="ro-RO"/>
        </w:rPr>
        <w:t>În situaţia în care aceeaşi CESR revine cu o nouă solicitare către ANRE pentru refacerea analizei cost-beneficiu în termen de un an de la data</w:t>
      </w:r>
      <w:r w:rsidR="00A42835">
        <w:rPr>
          <w:bCs/>
          <w:lang w:val="ro-RO"/>
        </w:rPr>
        <w:t xml:space="preserve"> unei solicitări anterioare pentru care a achitat contribuţia datorată ANRE, nu este necesară achitarea unei noi contribuţii.  </w:t>
      </w:r>
      <w:r>
        <w:rPr>
          <w:bCs/>
          <w:lang w:val="ro-RO"/>
        </w:rPr>
        <w:t xml:space="preserve"> </w:t>
      </w:r>
    </w:p>
    <w:p w14:paraId="5767DD0C" w14:textId="485CFE26" w:rsidR="00693018" w:rsidRPr="008A7E58" w:rsidRDefault="00693018" w:rsidP="0005137F">
      <w:pPr>
        <w:spacing w:after="0"/>
        <w:jc w:val="both"/>
        <w:rPr>
          <w:lang w:val="ro-RO"/>
        </w:rPr>
      </w:pPr>
    </w:p>
    <w:p w14:paraId="16E5C519" w14:textId="77777777" w:rsidR="0016739C" w:rsidRPr="008A7E58" w:rsidRDefault="0016739C">
      <w:pPr>
        <w:rPr>
          <w:lang w:val="ro-RO"/>
        </w:rPr>
      </w:pPr>
    </w:p>
    <w:p w14:paraId="0136B690" w14:textId="5D3124F1" w:rsidR="00025ED0" w:rsidRPr="008A7E58" w:rsidRDefault="00025ED0" w:rsidP="007949B2">
      <w:pPr>
        <w:rPr>
          <w:lang w:val="ro-RO"/>
        </w:rPr>
      </w:pPr>
    </w:p>
    <w:sectPr w:rsidR="00025ED0" w:rsidRPr="008A7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67A"/>
    <w:multiLevelType w:val="hybridMultilevel"/>
    <w:tmpl w:val="04D0E5B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F6158"/>
    <w:multiLevelType w:val="hybridMultilevel"/>
    <w:tmpl w:val="C5DC2598"/>
    <w:lvl w:ilvl="0" w:tplc="109EF0BE">
      <w:start w:val="1"/>
      <w:numFmt w:val="decimal"/>
      <w:lvlText w:val="(%1)"/>
      <w:lvlJc w:val="left"/>
      <w:pPr>
        <w:ind w:left="360" w:hanging="360"/>
      </w:pPr>
      <w:rPr>
        <w:rFonts w:ascii="Times New Roman" w:eastAsiaTheme="minorHAnsi" w:hAnsi="Times New Roman"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D7368"/>
    <w:multiLevelType w:val="hybridMultilevel"/>
    <w:tmpl w:val="12186E6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076FBC"/>
    <w:multiLevelType w:val="multilevel"/>
    <w:tmpl w:val="35964A1A"/>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5B57258"/>
    <w:multiLevelType w:val="multilevel"/>
    <w:tmpl w:val="A2701AF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56902"/>
    <w:multiLevelType w:val="multilevel"/>
    <w:tmpl w:val="503A45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430C6"/>
    <w:multiLevelType w:val="hybridMultilevel"/>
    <w:tmpl w:val="466C18E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0B4C52"/>
    <w:multiLevelType w:val="multilevel"/>
    <w:tmpl w:val="86C00F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8C678AE"/>
    <w:multiLevelType w:val="hybridMultilevel"/>
    <w:tmpl w:val="D4F425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B5168B"/>
    <w:multiLevelType w:val="multilevel"/>
    <w:tmpl w:val="7804CE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432715"/>
    <w:multiLevelType w:val="hybridMultilevel"/>
    <w:tmpl w:val="2A7E9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2148AC"/>
    <w:multiLevelType w:val="multilevel"/>
    <w:tmpl w:val="D3747F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40360"/>
    <w:multiLevelType w:val="hybridMultilevel"/>
    <w:tmpl w:val="5CBAA604"/>
    <w:lvl w:ilvl="0" w:tplc="109EF0BE">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55433D"/>
    <w:multiLevelType w:val="hybridMultilevel"/>
    <w:tmpl w:val="43F6B10E"/>
    <w:lvl w:ilvl="0" w:tplc="71763E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13C65"/>
    <w:multiLevelType w:val="hybridMultilevel"/>
    <w:tmpl w:val="5D7A9A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E765366"/>
    <w:multiLevelType w:val="hybridMultilevel"/>
    <w:tmpl w:val="7DDE2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9C0409"/>
    <w:multiLevelType w:val="hybridMultilevel"/>
    <w:tmpl w:val="061478B8"/>
    <w:lvl w:ilvl="0" w:tplc="109EF0BE">
      <w:start w:val="1"/>
      <w:numFmt w:val="decimal"/>
      <w:lvlText w:val="(%1)"/>
      <w:lvlJc w:val="left"/>
      <w:pPr>
        <w:ind w:left="360" w:hanging="360"/>
      </w:pPr>
      <w:rPr>
        <w:rFonts w:ascii="Times New Roman" w:eastAsiaTheme="minorHAnsi" w:hAnsi="Times New Roman"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1656FB"/>
    <w:multiLevelType w:val="hybridMultilevel"/>
    <w:tmpl w:val="66428A6E"/>
    <w:lvl w:ilvl="0" w:tplc="3CBED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A815C5"/>
    <w:multiLevelType w:val="hybridMultilevel"/>
    <w:tmpl w:val="7B5AC780"/>
    <w:lvl w:ilvl="0" w:tplc="109EF0BE">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40551C"/>
    <w:multiLevelType w:val="hybridMultilevel"/>
    <w:tmpl w:val="151C2BCA"/>
    <w:lvl w:ilvl="0" w:tplc="109EF0BE">
      <w:start w:val="1"/>
      <w:numFmt w:val="decimal"/>
      <w:lvlText w:val="(%1)"/>
      <w:lvlJc w:val="left"/>
      <w:pPr>
        <w:ind w:left="360" w:hanging="360"/>
      </w:pPr>
      <w:rPr>
        <w:rFonts w:ascii="Times New Roman" w:eastAsiaTheme="minorHAnsi" w:hAnsi="Times New Roman"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8E0B59"/>
    <w:multiLevelType w:val="hybridMultilevel"/>
    <w:tmpl w:val="82CE8076"/>
    <w:lvl w:ilvl="0" w:tplc="109EF0BE">
      <w:start w:val="1"/>
      <w:numFmt w:val="decimal"/>
      <w:lvlText w:val="(%1)"/>
      <w:lvlJc w:val="left"/>
      <w:pPr>
        <w:ind w:left="360" w:hanging="360"/>
      </w:pPr>
      <w:rPr>
        <w:rFonts w:ascii="Times New Roman" w:eastAsiaTheme="minorHAnsi" w:hAnsi="Times New Roman" w:cstheme="minorBid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6666E1"/>
    <w:multiLevelType w:val="multilevel"/>
    <w:tmpl w:val="DA7417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BDC76F3"/>
    <w:multiLevelType w:val="multilevel"/>
    <w:tmpl w:val="E38C25BA"/>
    <w:lvl w:ilvl="0">
      <w:start w:val="1"/>
      <w:numFmt w:val="decimal"/>
      <w:lvlText w:val="(%1)"/>
      <w:lvlJc w:val="left"/>
      <w:pPr>
        <w:tabs>
          <w:tab w:val="num" w:pos="360"/>
        </w:tabs>
        <w:ind w:left="360" w:hanging="360"/>
      </w:pPr>
      <w:rPr>
        <w:rFonts w:ascii="Times New Roman" w:eastAsiaTheme="minorHAnsi" w:hAnsi="Times New Roman" w:cstheme="minorBidi"/>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CB45520"/>
    <w:multiLevelType w:val="hybridMultilevel"/>
    <w:tmpl w:val="5CBAA604"/>
    <w:lvl w:ilvl="0" w:tplc="FFFFFFFF">
      <w:start w:val="1"/>
      <w:numFmt w:val="decimal"/>
      <w:lvlText w:val="(%1)"/>
      <w:lvlJc w:val="left"/>
      <w:pPr>
        <w:ind w:left="360" w:hanging="360"/>
      </w:pPr>
      <w:rPr>
        <w:rFonts w:ascii="Times New Roman" w:eastAsiaTheme="minorHAnsi" w:hAnsi="Times New Roman"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FEF5506"/>
    <w:multiLevelType w:val="hybridMultilevel"/>
    <w:tmpl w:val="7B5AC780"/>
    <w:lvl w:ilvl="0" w:tplc="FFFFFFFF">
      <w:start w:val="1"/>
      <w:numFmt w:val="decimal"/>
      <w:lvlText w:val="(%1)"/>
      <w:lvlJc w:val="left"/>
      <w:pPr>
        <w:ind w:left="360" w:hanging="360"/>
      </w:pPr>
      <w:rPr>
        <w:rFonts w:ascii="Times New Roman" w:eastAsiaTheme="minorHAnsi" w:hAnsi="Times New Roman"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04827400">
    <w:abstractNumId w:val="18"/>
  </w:num>
  <w:num w:numId="2" w16cid:durableId="1912346901">
    <w:abstractNumId w:val="7"/>
  </w:num>
  <w:num w:numId="3" w16cid:durableId="1403332062">
    <w:abstractNumId w:val="21"/>
  </w:num>
  <w:num w:numId="4" w16cid:durableId="255869926">
    <w:abstractNumId w:val="8"/>
  </w:num>
  <w:num w:numId="5" w16cid:durableId="903225218">
    <w:abstractNumId w:val="15"/>
  </w:num>
  <w:num w:numId="6" w16cid:durableId="1636566476">
    <w:abstractNumId w:val="9"/>
  </w:num>
  <w:num w:numId="7" w16cid:durableId="486871295">
    <w:abstractNumId w:val="3"/>
  </w:num>
  <w:num w:numId="8" w16cid:durableId="1789395846">
    <w:abstractNumId w:val="12"/>
  </w:num>
  <w:num w:numId="9" w16cid:durableId="353262866">
    <w:abstractNumId w:val="22"/>
  </w:num>
  <w:num w:numId="10" w16cid:durableId="1414083869">
    <w:abstractNumId w:val="5"/>
  </w:num>
  <w:num w:numId="11" w16cid:durableId="1945184286">
    <w:abstractNumId w:val="4"/>
  </w:num>
  <w:num w:numId="12" w16cid:durableId="145560627">
    <w:abstractNumId w:val="10"/>
  </w:num>
  <w:num w:numId="13" w16cid:durableId="772675081">
    <w:abstractNumId w:val="14"/>
  </w:num>
  <w:num w:numId="14" w16cid:durableId="1371760267">
    <w:abstractNumId w:val="1"/>
  </w:num>
  <w:num w:numId="15" w16cid:durableId="1327055792">
    <w:abstractNumId w:val="6"/>
  </w:num>
  <w:num w:numId="16" w16cid:durableId="785807101">
    <w:abstractNumId w:val="11"/>
  </w:num>
  <w:num w:numId="17" w16cid:durableId="470640162">
    <w:abstractNumId w:val="19"/>
  </w:num>
  <w:num w:numId="18" w16cid:durableId="823081295">
    <w:abstractNumId w:val="13"/>
  </w:num>
  <w:num w:numId="19" w16cid:durableId="301665425">
    <w:abstractNumId w:val="0"/>
  </w:num>
  <w:num w:numId="20" w16cid:durableId="1977644158">
    <w:abstractNumId w:val="20"/>
  </w:num>
  <w:num w:numId="21" w16cid:durableId="1031803494">
    <w:abstractNumId w:val="2"/>
  </w:num>
  <w:num w:numId="22" w16cid:durableId="1772897716">
    <w:abstractNumId w:val="16"/>
  </w:num>
  <w:num w:numId="23" w16cid:durableId="263804496">
    <w:abstractNumId w:val="24"/>
  </w:num>
  <w:num w:numId="24" w16cid:durableId="218324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5289880">
    <w:abstractNumId w:val="23"/>
  </w:num>
  <w:num w:numId="26" w16cid:durableId="1236474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7F"/>
    <w:rsid w:val="00001465"/>
    <w:rsid w:val="00001BCB"/>
    <w:rsid w:val="00002851"/>
    <w:rsid w:val="00002B1A"/>
    <w:rsid w:val="00004330"/>
    <w:rsid w:val="00020288"/>
    <w:rsid w:val="00025ED0"/>
    <w:rsid w:val="0002616F"/>
    <w:rsid w:val="00050068"/>
    <w:rsid w:val="0005137F"/>
    <w:rsid w:val="00052ED5"/>
    <w:rsid w:val="00053CD1"/>
    <w:rsid w:val="00061461"/>
    <w:rsid w:val="00072281"/>
    <w:rsid w:val="000841E0"/>
    <w:rsid w:val="00086438"/>
    <w:rsid w:val="0009123A"/>
    <w:rsid w:val="00096F08"/>
    <w:rsid w:val="000A5643"/>
    <w:rsid w:val="000B056A"/>
    <w:rsid w:val="000B2A88"/>
    <w:rsid w:val="000C5403"/>
    <w:rsid w:val="000D0C99"/>
    <w:rsid w:val="000D3F4E"/>
    <w:rsid w:val="000D41A9"/>
    <w:rsid w:val="000F417D"/>
    <w:rsid w:val="0011187B"/>
    <w:rsid w:val="001305D4"/>
    <w:rsid w:val="00135526"/>
    <w:rsid w:val="001530FC"/>
    <w:rsid w:val="00156290"/>
    <w:rsid w:val="0016739C"/>
    <w:rsid w:val="00182AD2"/>
    <w:rsid w:val="00184C58"/>
    <w:rsid w:val="00187BEF"/>
    <w:rsid w:val="00193C2A"/>
    <w:rsid w:val="001952A5"/>
    <w:rsid w:val="001A5E79"/>
    <w:rsid w:val="001A6367"/>
    <w:rsid w:val="001B13E0"/>
    <w:rsid w:val="001B3E6E"/>
    <w:rsid w:val="001E3FE3"/>
    <w:rsid w:val="001F128A"/>
    <w:rsid w:val="001F2590"/>
    <w:rsid w:val="001F56C7"/>
    <w:rsid w:val="001F5B1C"/>
    <w:rsid w:val="001F73FD"/>
    <w:rsid w:val="00204277"/>
    <w:rsid w:val="002105CA"/>
    <w:rsid w:val="00217A8E"/>
    <w:rsid w:val="002406C4"/>
    <w:rsid w:val="00251833"/>
    <w:rsid w:val="002546CE"/>
    <w:rsid w:val="00270F41"/>
    <w:rsid w:val="00280784"/>
    <w:rsid w:val="002913D2"/>
    <w:rsid w:val="002A3B81"/>
    <w:rsid w:val="002B5FC6"/>
    <w:rsid w:val="002B7938"/>
    <w:rsid w:val="002C062C"/>
    <w:rsid w:val="002C4BB7"/>
    <w:rsid w:val="002C76E4"/>
    <w:rsid w:val="002F0ED4"/>
    <w:rsid w:val="002F1ADE"/>
    <w:rsid w:val="00300520"/>
    <w:rsid w:val="0031538A"/>
    <w:rsid w:val="003354A9"/>
    <w:rsid w:val="003372BB"/>
    <w:rsid w:val="00352690"/>
    <w:rsid w:val="0037458B"/>
    <w:rsid w:val="00376B1C"/>
    <w:rsid w:val="003815B1"/>
    <w:rsid w:val="003A5D28"/>
    <w:rsid w:val="003A7636"/>
    <w:rsid w:val="003B737A"/>
    <w:rsid w:val="003C62D9"/>
    <w:rsid w:val="003D29EB"/>
    <w:rsid w:val="003D35BA"/>
    <w:rsid w:val="003E08B3"/>
    <w:rsid w:val="00485EFC"/>
    <w:rsid w:val="004A2917"/>
    <w:rsid w:val="004B17FE"/>
    <w:rsid w:val="004B684F"/>
    <w:rsid w:val="004D1116"/>
    <w:rsid w:val="004D549C"/>
    <w:rsid w:val="004E102B"/>
    <w:rsid w:val="004E4700"/>
    <w:rsid w:val="004F438A"/>
    <w:rsid w:val="0050292D"/>
    <w:rsid w:val="005315AD"/>
    <w:rsid w:val="005411EA"/>
    <w:rsid w:val="005551C1"/>
    <w:rsid w:val="0057323D"/>
    <w:rsid w:val="005916CA"/>
    <w:rsid w:val="005A017A"/>
    <w:rsid w:val="005A1EC6"/>
    <w:rsid w:val="005B034E"/>
    <w:rsid w:val="005B7CB7"/>
    <w:rsid w:val="005C4078"/>
    <w:rsid w:val="005D1FC2"/>
    <w:rsid w:val="005D6281"/>
    <w:rsid w:val="005F515A"/>
    <w:rsid w:val="00610314"/>
    <w:rsid w:val="006660C2"/>
    <w:rsid w:val="0066780F"/>
    <w:rsid w:val="00693018"/>
    <w:rsid w:val="00695CDD"/>
    <w:rsid w:val="006B532B"/>
    <w:rsid w:val="006C2BA3"/>
    <w:rsid w:val="006E6A19"/>
    <w:rsid w:val="006F163C"/>
    <w:rsid w:val="00716B60"/>
    <w:rsid w:val="0072546F"/>
    <w:rsid w:val="00734E83"/>
    <w:rsid w:val="007461AD"/>
    <w:rsid w:val="007542FD"/>
    <w:rsid w:val="007670E3"/>
    <w:rsid w:val="00777BCB"/>
    <w:rsid w:val="007822CC"/>
    <w:rsid w:val="007855A1"/>
    <w:rsid w:val="007949B2"/>
    <w:rsid w:val="007B49DD"/>
    <w:rsid w:val="007C114D"/>
    <w:rsid w:val="007C6C20"/>
    <w:rsid w:val="00811231"/>
    <w:rsid w:val="008215FA"/>
    <w:rsid w:val="00840FA6"/>
    <w:rsid w:val="00843C20"/>
    <w:rsid w:val="00852CE1"/>
    <w:rsid w:val="00857192"/>
    <w:rsid w:val="00873A15"/>
    <w:rsid w:val="008857BC"/>
    <w:rsid w:val="00886C59"/>
    <w:rsid w:val="00887F29"/>
    <w:rsid w:val="008A4187"/>
    <w:rsid w:val="008A7E58"/>
    <w:rsid w:val="008B52EC"/>
    <w:rsid w:val="008B7E7B"/>
    <w:rsid w:val="008F1109"/>
    <w:rsid w:val="008F567E"/>
    <w:rsid w:val="00912128"/>
    <w:rsid w:val="00916240"/>
    <w:rsid w:val="009246CF"/>
    <w:rsid w:val="00977F4B"/>
    <w:rsid w:val="00980C22"/>
    <w:rsid w:val="009864F1"/>
    <w:rsid w:val="009B5964"/>
    <w:rsid w:val="009B6FD8"/>
    <w:rsid w:val="009C56E8"/>
    <w:rsid w:val="009D3BE8"/>
    <w:rsid w:val="009F42D3"/>
    <w:rsid w:val="00A16887"/>
    <w:rsid w:val="00A22CA1"/>
    <w:rsid w:val="00A23C4C"/>
    <w:rsid w:val="00A24395"/>
    <w:rsid w:val="00A408B4"/>
    <w:rsid w:val="00A42835"/>
    <w:rsid w:val="00A57B72"/>
    <w:rsid w:val="00A6766D"/>
    <w:rsid w:val="00A72AAF"/>
    <w:rsid w:val="00A95E84"/>
    <w:rsid w:val="00AD48F3"/>
    <w:rsid w:val="00AD626D"/>
    <w:rsid w:val="00B1471B"/>
    <w:rsid w:val="00B15037"/>
    <w:rsid w:val="00B36A41"/>
    <w:rsid w:val="00B41166"/>
    <w:rsid w:val="00B622B3"/>
    <w:rsid w:val="00B9497A"/>
    <w:rsid w:val="00BA3690"/>
    <w:rsid w:val="00BB6341"/>
    <w:rsid w:val="00BD611B"/>
    <w:rsid w:val="00BD6BB5"/>
    <w:rsid w:val="00BE5CCF"/>
    <w:rsid w:val="00BF4C8B"/>
    <w:rsid w:val="00C030EC"/>
    <w:rsid w:val="00C03CB9"/>
    <w:rsid w:val="00C06BDF"/>
    <w:rsid w:val="00C07EA2"/>
    <w:rsid w:val="00C16F05"/>
    <w:rsid w:val="00C25044"/>
    <w:rsid w:val="00C26B72"/>
    <w:rsid w:val="00C670E9"/>
    <w:rsid w:val="00C818E8"/>
    <w:rsid w:val="00C81C2F"/>
    <w:rsid w:val="00C8384C"/>
    <w:rsid w:val="00C848E0"/>
    <w:rsid w:val="00CB5331"/>
    <w:rsid w:val="00CD284E"/>
    <w:rsid w:val="00CD2F6A"/>
    <w:rsid w:val="00D02A71"/>
    <w:rsid w:val="00D05A15"/>
    <w:rsid w:val="00D4592A"/>
    <w:rsid w:val="00D520A1"/>
    <w:rsid w:val="00D57956"/>
    <w:rsid w:val="00D615EC"/>
    <w:rsid w:val="00D72C4A"/>
    <w:rsid w:val="00D77434"/>
    <w:rsid w:val="00DC3253"/>
    <w:rsid w:val="00DC3DE7"/>
    <w:rsid w:val="00DC4075"/>
    <w:rsid w:val="00DD025E"/>
    <w:rsid w:val="00DE59F4"/>
    <w:rsid w:val="00DE5F2C"/>
    <w:rsid w:val="00E008AF"/>
    <w:rsid w:val="00E05987"/>
    <w:rsid w:val="00E0691B"/>
    <w:rsid w:val="00E109FF"/>
    <w:rsid w:val="00E2397B"/>
    <w:rsid w:val="00E3194B"/>
    <w:rsid w:val="00E32CAC"/>
    <w:rsid w:val="00E41C5A"/>
    <w:rsid w:val="00E53006"/>
    <w:rsid w:val="00E571CF"/>
    <w:rsid w:val="00E675C3"/>
    <w:rsid w:val="00E7206A"/>
    <w:rsid w:val="00E806A3"/>
    <w:rsid w:val="00E94FA1"/>
    <w:rsid w:val="00EA6F08"/>
    <w:rsid w:val="00EB7156"/>
    <w:rsid w:val="00EC4F84"/>
    <w:rsid w:val="00ED0D7A"/>
    <w:rsid w:val="00EF27EE"/>
    <w:rsid w:val="00EF60AC"/>
    <w:rsid w:val="00F00835"/>
    <w:rsid w:val="00F05C79"/>
    <w:rsid w:val="00F170BC"/>
    <w:rsid w:val="00F22B20"/>
    <w:rsid w:val="00F329FA"/>
    <w:rsid w:val="00F423D6"/>
    <w:rsid w:val="00F635C7"/>
    <w:rsid w:val="00F65BC2"/>
    <w:rsid w:val="00F841EE"/>
    <w:rsid w:val="00F87D06"/>
    <w:rsid w:val="00F93E37"/>
    <w:rsid w:val="00FB682B"/>
    <w:rsid w:val="00FB6C89"/>
    <w:rsid w:val="00FD399D"/>
    <w:rsid w:val="00FD4A1C"/>
    <w:rsid w:val="00FD4D7F"/>
    <w:rsid w:val="00FD4DF8"/>
    <w:rsid w:val="00FE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CA64"/>
  <w15:chartTrackingRefBased/>
  <w15:docId w15:val="{AF974BF7-8464-43AC-B107-C4860BCE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7F"/>
  </w:style>
  <w:style w:type="paragraph" w:styleId="Heading1">
    <w:name w:val="heading 1"/>
    <w:basedOn w:val="Normal"/>
    <w:next w:val="Normal"/>
    <w:link w:val="Heading1Char"/>
    <w:uiPriority w:val="9"/>
    <w:qFormat/>
    <w:rsid w:val="0005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3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3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13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13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13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13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13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3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3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13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13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13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13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13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3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3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137F"/>
    <w:pPr>
      <w:spacing w:before="160"/>
      <w:jc w:val="center"/>
    </w:pPr>
    <w:rPr>
      <w:i/>
      <w:iCs/>
      <w:color w:val="404040" w:themeColor="text1" w:themeTint="BF"/>
    </w:rPr>
  </w:style>
  <w:style w:type="character" w:customStyle="1" w:styleId="QuoteChar">
    <w:name w:val="Quote Char"/>
    <w:basedOn w:val="DefaultParagraphFont"/>
    <w:link w:val="Quote"/>
    <w:uiPriority w:val="29"/>
    <w:rsid w:val="0005137F"/>
    <w:rPr>
      <w:i/>
      <w:iCs/>
      <w:color w:val="404040" w:themeColor="text1" w:themeTint="BF"/>
    </w:rPr>
  </w:style>
  <w:style w:type="paragraph" w:styleId="ListParagraph">
    <w:name w:val="List Paragraph"/>
    <w:basedOn w:val="Normal"/>
    <w:uiPriority w:val="34"/>
    <w:qFormat/>
    <w:rsid w:val="0005137F"/>
    <w:pPr>
      <w:ind w:left="720"/>
      <w:contextualSpacing/>
    </w:pPr>
  </w:style>
  <w:style w:type="character" w:styleId="IntenseEmphasis">
    <w:name w:val="Intense Emphasis"/>
    <w:basedOn w:val="DefaultParagraphFont"/>
    <w:uiPriority w:val="21"/>
    <w:qFormat/>
    <w:rsid w:val="0005137F"/>
    <w:rPr>
      <w:i/>
      <w:iCs/>
      <w:color w:val="0F4761" w:themeColor="accent1" w:themeShade="BF"/>
    </w:rPr>
  </w:style>
  <w:style w:type="paragraph" w:styleId="IntenseQuote">
    <w:name w:val="Intense Quote"/>
    <w:basedOn w:val="Normal"/>
    <w:next w:val="Normal"/>
    <w:link w:val="IntenseQuoteChar"/>
    <w:uiPriority w:val="30"/>
    <w:qFormat/>
    <w:rsid w:val="0005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37F"/>
    <w:rPr>
      <w:i/>
      <w:iCs/>
      <w:color w:val="0F4761" w:themeColor="accent1" w:themeShade="BF"/>
    </w:rPr>
  </w:style>
  <w:style w:type="character" w:styleId="IntenseReference">
    <w:name w:val="Intense Reference"/>
    <w:basedOn w:val="DefaultParagraphFont"/>
    <w:uiPriority w:val="32"/>
    <w:qFormat/>
    <w:rsid w:val="0005137F"/>
    <w:rPr>
      <w:b/>
      <w:bCs/>
      <w:smallCaps/>
      <w:color w:val="0F4761" w:themeColor="accent1" w:themeShade="BF"/>
      <w:spacing w:val="5"/>
    </w:rPr>
  </w:style>
  <w:style w:type="table" w:styleId="TableGrid">
    <w:name w:val="Table Grid"/>
    <w:basedOn w:val="TableNormal"/>
    <w:uiPriority w:val="39"/>
    <w:rsid w:val="0005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37F"/>
    <w:rPr>
      <w:sz w:val="16"/>
      <w:szCs w:val="16"/>
    </w:rPr>
  </w:style>
  <w:style w:type="paragraph" w:styleId="CommentText">
    <w:name w:val="annotation text"/>
    <w:basedOn w:val="Normal"/>
    <w:link w:val="CommentTextChar"/>
    <w:uiPriority w:val="99"/>
    <w:unhideWhenUsed/>
    <w:rsid w:val="0005137F"/>
    <w:pPr>
      <w:spacing w:line="240" w:lineRule="auto"/>
    </w:pPr>
    <w:rPr>
      <w:sz w:val="20"/>
      <w:szCs w:val="20"/>
    </w:rPr>
  </w:style>
  <w:style w:type="character" w:customStyle="1" w:styleId="CommentTextChar">
    <w:name w:val="Comment Text Char"/>
    <w:basedOn w:val="DefaultParagraphFont"/>
    <w:link w:val="CommentText"/>
    <w:uiPriority w:val="99"/>
    <w:rsid w:val="0005137F"/>
    <w:rPr>
      <w:sz w:val="20"/>
      <w:szCs w:val="20"/>
    </w:rPr>
  </w:style>
  <w:style w:type="paragraph" w:styleId="BalloonText">
    <w:name w:val="Balloon Text"/>
    <w:basedOn w:val="Normal"/>
    <w:link w:val="BalloonTextChar"/>
    <w:uiPriority w:val="99"/>
    <w:semiHidden/>
    <w:unhideWhenUsed/>
    <w:rsid w:val="000A5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643"/>
    <w:rPr>
      <w:rFonts w:ascii="Segoe UI" w:hAnsi="Segoe UI" w:cs="Segoe UI"/>
      <w:sz w:val="18"/>
      <w:szCs w:val="18"/>
    </w:rPr>
  </w:style>
  <w:style w:type="paragraph" w:styleId="Revision">
    <w:name w:val="Revision"/>
    <w:hidden/>
    <w:uiPriority w:val="99"/>
    <w:semiHidden/>
    <w:rsid w:val="00C06BDF"/>
    <w:pPr>
      <w:spacing w:after="0" w:line="240" w:lineRule="auto"/>
    </w:pPr>
  </w:style>
  <w:style w:type="paragraph" w:styleId="CommentSubject">
    <w:name w:val="annotation subject"/>
    <w:basedOn w:val="CommentText"/>
    <w:next w:val="CommentText"/>
    <w:link w:val="CommentSubjectChar"/>
    <w:uiPriority w:val="99"/>
    <w:semiHidden/>
    <w:unhideWhenUsed/>
    <w:rsid w:val="00B9497A"/>
    <w:rPr>
      <w:b/>
      <w:bCs/>
    </w:rPr>
  </w:style>
  <w:style w:type="character" w:customStyle="1" w:styleId="CommentSubjectChar">
    <w:name w:val="Comment Subject Char"/>
    <w:basedOn w:val="CommentTextChar"/>
    <w:link w:val="CommentSubject"/>
    <w:uiPriority w:val="99"/>
    <w:semiHidden/>
    <w:rsid w:val="00B9497A"/>
    <w:rPr>
      <w:b/>
      <w:bCs/>
      <w:sz w:val="20"/>
      <w:szCs w:val="20"/>
    </w:rPr>
  </w:style>
  <w:style w:type="character" w:customStyle="1" w:styleId="salnbdy">
    <w:name w:val="s_aln_bdy"/>
    <w:basedOn w:val="DefaultParagraphFont"/>
    <w:rsid w:val="004F438A"/>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426B5-946E-467A-B9F7-AF9F8EBF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2026-03-04T14:03:00Z</dcterms:created>
  <dcterms:modified xsi:type="dcterms:W3CDTF">2026-03-04T14:04:00Z</dcterms:modified>
</cp:coreProperties>
</file>