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3F46" w14:textId="77777777" w:rsidR="00D027B4" w:rsidRPr="00CF0420" w:rsidRDefault="00D027B4" w:rsidP="00191BAE">
      <w:pPr>
        <w:spacing w:after="0" w:line="240" w:lineRule="auto"/>
        <w:rPr>
          <w:rFonts w:ascii="Times New Roman" w:eastAsia="Times New Roman" w:hAnsi="Times New Roman" w:cs="Times New Roman"/>
          <w:b/>
          <w:color w:val="000000"/>
          <w:sz w:val="24"/>
          <w:szCs w:val="24"/>
          <w:lang w:eastAsia="en-GB"/>
        </w:rPr>
      </w:pPr>
      <w:bookmarkStart w:id="0" w:name="OLE_LINK26"/>
    </w:p>
    <w:bookmarkEnd w:id="0"/>
    <w:p w14:paraId="1BA1A12D" w14:textId="77777777" w:rsidR="007D7020" w:rsidRPr="007D7020" w:rsidRDefault="007D7020" w:rsidP="007D7020">
      <w:pPr>
        <w:spacing w:before="100" w:beforeAutospacing="1" w:after="100" w:afterAutospacing="1" w:line="240" w:lineRule="auto"/>
        <w:jc w:val="center"/>
        <w:rPr>
          <w:rFonts w:ascii="Times New Roman" w:eastAsia="Aptos" w:hAnsi="Times New Roman" w:cs="Times New Roman"/>
          <w:b/>
          <w:bCs/>
          <w:kern w:val="2"/>
          <w:sz w:val="24"/>
          <w:szCs w:val="24"/>
          <w:lang/>
          <w14:ligatures w14:val="standardContextual"/>
        </w:rPr>
      </w:pPr>
      <w:r w:rsidRPr="007D7020">
        <w:rPr>
          <w:rFonts w:ascii="Times New Roman" w:eastAsia="Aptos" w:hAnsi="Times New Roman" w:cs="Times New Roman"/>
          <w:b/>
          <w:bCs/>
          <w:kern w:val="2"/>
          <w:sz w:val="24"/>
          <w:szCs w:val="24"/>
          <w:lang/>
          <w14:ligatures w14:val="standardContextual"/>
        </w:rPr>
        <w:t>COMUNICAT DE PRESĂ</w:t>
      </w:r>
    </w:p>
    <w:p w14:paraId="22B0F904" w14:textId="77777777" w:rsidR="007D7020" w:rsidRPr="007D7020" w:rsidRDefault="007D7020" w:rsidP="007D7020">
      <w:pPr>
        <w:spacing w:before="100" w:beforeAutospacing="1" w:after="100" w:afterAutospacing="1" w:line="240" w:lineRule="auto"/>
        <w:jc w:val="center"/>
        <w:rPr>
          <w:rFonts w:ascii="Times New Roman" w:eastAsia="Aptos" w:hAnsi="Times New Roman" w:cs="Times New Roman"/>
          <w:b/>
          <w:bCs/>
          <w:kern w:val="2"/>
          <w:sz w:val="24"/>
          <w:szCs w:val="24"/>
          <w:lang/>
          <w14:ligatures w14:val="standardContextual"/>
        </w:rPr>
      </w:pPr>
      <w:r w:rsidRPr="007D7020">
        <w:rPr>
          <w:rFonts w:ascii="Times New Roman" w:eastAsia="Aptos" w:hAnsi="Times New Roman" w:cs="Times New Roman"/>
          <w:b/>
          <w:bCs/>
          <w:kern w:val="2"/>
          <w:sz w:val="24"/>
          <w:szCs w:val="24"/>
          <w:lang/>
          <w14:ligatures w14:val="standardContextual"/>
        </w:rPr>
        <w:t>ANRE retrage licența unui furnizor de energie pentru prima dată în istoria instituției. GRENERG a migrat clienți cu forța și a ignorat amenzi de peste un milion de lei.</w:t>
      </w:r>
    </w:p>
    <w:p w14:paraId="7A4DD4BC" w14:textId="77777777" w:rsidR="007D7020" w:rsidRPr="007D7020" w:rsidRDefault="007D7020" w:rsidP="007D7020">
      <w:pPr>
        <w:spacing w:before="100" w:beforeAutospacing="1" w:after="100" w:afterAutospacing="1" w:line="240" w:lineRule="auto"/>
        <w:rPr>
          <w:rFonts w:ascii="Times New Roman" w:eastAsia="Aptos" w:hAnsi="Times New Roman" w:cs="Times New Roman"/>
          <w:b/>
          <w:bCs/>
          <w:kern w:val="2"/>
          <w:sz w:val="24"/>
          <w:szCs w:val="24"/>
          <w:lang/>
          <w14:ligatures w14:val="standardContextual"/>
        </w:rPr>
      </w:pPr>
    </w:p>
    <w:p w14:paraId="16E718AD" w14:textId="3E05D2A1" w:rsidR="007D7020" w:rsidRPr="007D7020" w:rsidRDefault="005F509F" w:rsidP="007D7020">
      <w:pPr>
        <w:spacing w:before="100" w:beforeAutospacing="1" w:after="100" w:afterAutospacing="1" w:line="240" w:lineRule="auto"/>
        <w:jc w:val="both"/>
        <w:rPr>
          <w:rFonts w:ascii="Times New Roman" w:eastAsia="Aptos" w:hAnsi="Times New Roman" w:cs="Times New Roman"/>
          <w:kern w:val="2"/>
          <w:sz w:val="24"/>
          <w:szCs w:val="24"/>
          <w:lang/>
          <w14:ligatures w14:val="standardContextual"/>
        </w:rPr>
      </w:pPr>
      <w:r w:rsidRPr="005F509F">
        <w:rPr>
          <w:rFonts w:ascii="Times New Roman" w:eastAsia="Aptos" w:hAnsi="Times New Roman" w:cs="Times New Roman"/>
          <w:b/>
          <w:bCs/>
          <w:kern w:val="2"/>
          <w:sz w:val="24"/>
          <w:szCs w:val="24"/>
          <w14:ligatures w14:val="standardContextual"/>
        </w:rPr>
        <w:t>București, 3 iunie 2026 -</w:t>
      </w:r>
      <w:r w:rsidRPr="005F509F">
        <w:rPr>
          <w:rFonts w:ascii="Times New Roman" w:eastAsia="Aptos" w:hAnsi="Times New Roman" w:cs="Times New Roman"/>
          <w:kern w:val="2"/>
          <w:sz w:val="24"/>
          <w:szCs w:val="24"/>
          <w14:ligatures w14:val="standardContextual"/>
        </w:rPr>
        <w:t xml:space="preserve"> </w:t>
      </w:r>
      <w:r w:rsidR="007D7020">
        <w:rPr>
          <w:rFonts w:ascii="Times New Roman" w:eastAsia="Aptos" w:hAnsi="Times New Roman" w:cs="Times New Roman"/>
          <w:kern w:val="2"/>
          <w:sz w:val="24"/>
          <w:szCs w:val="24"/>
          <w14:ligatures w14:val="standardContextual"/>
        </w:rPr>
        <w:t>C</w:t>
      </w:r>
      <w:r w:rsidR="007D7020" w:rsidRPr="007D7020">
        <w:rPr>
          <w:rFonts w:ascii="Times New Roman" w:eastAsia="Aptos" w:hAnsi="Times New Roman" w:cs="Times New Roman"/>
          <w:kern w:val="2"/>
          <w:sz w:val="24"/>
          <w:szCs w:val="24"/>
          <w:lang/>
          <w14:ligatures w14:val="standardContextual"/>
        </w:rPr>
        <w:t xml:space="preserve">omitetul de Reglementare al Autorității Naționale de Reglementare în domeniul Energiei a aprobat  retragerea licenței de furnizare a energiei electrice deținute de societatea </w:t>
      </w:r>
      <w:r w:rsidR="007D7020" w:rsidRPr="005F509F">
        <w:rPr>
          <w:rFonts w:ascii="Times New Roman" w:eastAsia="Aptos" w:hAnsi="Times New Roman" w:cs="Times New Roman"/>
          <w:b/>
          <w:bCs/>
          <w:kern w:val="2"/>
          <w:sz w:val="24"/>
          <w:szCs w:val="24"/>
          <w:lang/>
          <w14:ligatures w14:val="standardContextual"/>
        </w:rPr>
        <w:t>GRENERG S</w:t>
      </w:r>
      <w:r>
        <w:rPr>
          <w:rFonts w:ascii="Times New Roman" w:eastAsia="Aptos" w:hAnsi="Times New Roman" w:cs="Times New Roman"/>
          <w:b/>
          <w:bCs/>
          <w:kern w:val="2"/>
          <w:sz w:val="24"/>
          <w:szCs w:val="24"/>
          <w14:ligatures w14:val="standardContextual"/>
        </w:rPr>
        <w:t>.</w:t>
      </w:r>
      <w:r w:rsidR="007D7020" w:rsidRPr="005F509F">
        <w:rPr>
          <w:rFonts w:ascii="Times New Roman" w:eastAsia="Aptos" w:hAnsi="Times New Roman" w:cs="Times New Roman"/>
          <w:b/>
          <w:bCs/>
          <w:kern w:val="2"/>
          <w:sz w:val="24"/>
          <w:szCs w:val="24"/>
          <w:lang/>
          <w14:ligatures w14:val="standardContextual"/>
        </w:rPr>
        <w:t>R</w:t>
      </w:r>
      <w:r>
        <w:rPr>
          <w:rFonts w:ascii="Times New Roman" w:eastAsia="Aptos" w:hAnsi="Times New Roman" w:cs="Times New Roman"/>
          <w:b/>
          <w:bCs/>
          <w:kern w:val="2"/>
          <w:sz w:val="24"/>
          <w:szCs w:val="24"/>
          <w14:ligatures w14:val="standardContextual"/>
        </w:rPr>
        <w:t>.</w:t>
      </w:r>
      <w:r w:rsidR="007D7020" w:rsidRPr="005F509F">
        <w:rPr>
          <w:rFonts w:ascii="Times New Roman" w:eastAsia="Aptos" w:hAnsi="Times New Roman" w:cs="Times New Roman"/>
          <w:b/>
          <w:bCs/>
          <w:kern w:val="2"/>
          <w:sz w:val="24"/>
          <w:szCs w:val="24"/>
          <w:lang/>
          <w14:ligatures w14:val="standardContextual"/>
        </w:rPr>
        <w:t>L</w:t>
      </w:r>
      <w:r>
        <w:rPr>
          <w:rFonts w:ascii="Times New Roman" w:eastAsia="Aptos" w:hAnsi="Times New Roman" w:cs="Times New Roman"/>
          <w:b/>
          <w:bCs/>
          <w:kern w:val="2"/>
          <w:sz w:val="24"/>
          <w:szCs w:val="24"/>
          <w14:ligatures w14:val="standardContextual"/>
        </w:rPr>
        <w:t>.</w:t>
      </w:r>
      <w:r w:rsidR="007D7020" w:rsidRPr="005F509F">
        <w:rPr>
          <w:rFonts w:ascii="Times New Roman" w:eastAsia="Aptos" w:hAnsi="Times New Roman" w:cs="Times New Roman"/>
          <w:b/>
          <w:bCs/>
          <w:kern w:val="2"/>
          <w:sz w:val="24"/>
          <w:szCs w:val="24"/>
          <w:lang/>
          <w14:ligatures w14:val="standardContextual"/>
        </w:rPr>
        <w:t>,</w:t>
      </w:r>
      <w:r w:rsidR="007D7020" w:rsidRPr="007D7020">
        <w:rPr>
          <w:rFonts w:ascii="Times New Roman" w:eastAsia="Aptos" w:hAnsi="Times New Roman" w:cs="Times New Roman"/>
          <w:kern w:val="2"/>
          <w:sz w:val="24"/>
          <w:szCs w:val="24"/>
          <w:lang/>
          <w14:ligatures w14:val="standardContextual"/>
        </w:rPr>
        <w:t xml:space="preserve"> ca urmare a unor abateri repetate și sistematice de la obligațiile legale. Decizia  intră în vigoare la 19 iunie 2026 și afectează un portofoliu de 22.564 de locuri de consum.</w:t>
      </w:r>
    </w:p>
    <w:p w14:paraId="34337804" w14:textId="77777777" w:rsidR="007D7020" w:rsidRPr="007D7020" w:rsidRDefault="007D7020" w:rsidP="007D7020">
      <w:pPr>
        <w:spacing w:before="100" w:beforeAutospacing="1" w:after="100" w:afterAutospacing="1" w:line="240" w:lineRule="auto"/>
        <w:jc w:val="both"/>
        <w:rPr>
          <w:rFonts w:ascii="Times New Roman" w:eastAsia="Aptos" w:hAnsi="Times New Roman" w:cs="Times New Roman"/>
          <w:kern w:val="2"/>
          <w:sz w:val="24"/>
          <w:szCs w:val="24"/>
          <w:lang w:val="en-US"/>
          <w14:ligatures w14:val="standardContextual"/>
        </w:rPr>
      </w:pPr>
      <w:r w:rsidRPr="007D7020">
        <w:rPr>
          <w:rFonts w:ascii="Times New Roman" w:eastAsia="Aptos" w:hAnsi="Times New Roman" w:cs="Times New Roman"/>
          <w:kern w:val="2"/>
          <w:sz w:val="24"/>
          <w:szCs w:val="24"/>
          <w:lang w:val="en-US"/>
          <w14:ligatures w14:val="standardContextual"/>
        </w:rPr>
        <w:t>Măsura adoptată de ANRE reprezintă o premieră instituțională și vine după o perioadă îndelungată în care furnizorul a continuat să încalce obligațiile stabilite prin legislația primară, reglementările ANRE și condițiile asociate licenței de furnizare. GRENERG a acumulat în mai puțin de un an amenzi totale de 1.165.000 de lei pentru peste 100 de abateri documentate prin controale ANRE, și a continuat să comită fapte identice cu cele pentru care fusese deja sancționat la nivelul maxim permis de lege.</w:t>
      </w:r>
    </w:p>
    <w:p w14:paraId="6F17300F" w14:textId="77777777" w:rsidR="007D7020" w:rsidRPr="007D7020" w:rsidRDefault="007D7020" w:rsidP="007D7020">
      <w:pPr>
        <w:spacing w:before="100" w:beforeAutospacing="1" w:after="100" w:afterAutospacing="1" w:line="240" w:lineRule="auto"/>
        <w:jc w:val="both"/>
        <w:rPr>
          <w:rFonts w:ascii="Times New Roman" w:eastAsia="Aptos" w:hAnsi="Times New Roman" w:cs="Times New Roman"/>
          <w:kern w:val="2"/>
          <w:sz w:val="24"/>
          <w:szCs w:val="24"/>
          <w:lang w:val="en-US"/>
          <w14:ligatures w14:val="standardContextual"/>
        </w:rPr>
      </w:pPr>
      <w:r w:rsidRPr="007D7020">
        <w:rPr>
          <w:rFonts w:ascii="Times New Roman" w:eastAsia="Aptos" w:hAnsi="Times New Roman" w:cs="Times New Roman"/>
          <w:kern w:val="2"/>
          <w:sz w:val="24"/>
          <w:szCs w:val="24"/>
          <w:lang w:val="en-US"/>
          <w14:ligatures w14:val="standardContextual"/>
        </w:rPr>
        <w:t>Principalele abateri constatate au vizat schimbarea furnizorului fără acordul clienților finali, precum și încălcări repetate ale regulilor privind facturarea energiei electrice și relația contractuală cu consumatorii.</w:t>
      </w:r>
    </w:p>
    <w:p w14:paraId="107D7A63" w14:textId="4CF0BD94" w:rsidR="007D7020" w:rsidRPr="007D7020" w:rsidRDefault="007D7020" w:rsidP="007D7020">
      <w:pPr>
        <w:spacing w:before="100" w:beforeAutospacing="1" w:after="100" w:afterAutospacing="1" w:line="240" w:lineRule="auto"/>
        <w:jc w:val="both"/>
        <w:rPr>
          <w:rFonts w:ascii="Times New Roman" w:eastAsia="Aptos" w:hAnsi="Times New Roman" w:cs="Times New Roman"/>
          <w:b/>
          <w:bCs/>
          <w:i/>
          <w:iCs/>
          <w:kern w:val="2"/>
          <w:sz w:val="24"/>
          <w:szCs w:val="24"/>
          <w:lang w:val="en-US"/>
          <w14:ligatures w14:val="standardContextual"/>
        </w:rPr>
      </w:pPr>
      <w:r w:rsidRPr="007D7020">
        <w:rPr>
          <w:rFonts w:ascii="Times New Roman" w:eastAsia="Aptos" w:hAnsi="Times New Roman" w:cs="Times New Roman"/>
          <w:b/>
          <w:bCs/>
          <w:kern w:val="2"/>
          <w:sz w:val="24"/>
          <w:szCs w:val="24"/>
          <w:lang w:val="en-US"/>
          <w14:ligatures w14:val="standardContextual"/>
        </w:rPr>
        <w:t>Președintele ANRE, George Niculescu, a declarat: „</w:t>
      </w:r>
      <w:r w:rsidRPr="007D7020">
        <w:rPr>
          <w:rFonts w:ascii="Times New Roman" w:eastAsia="Aptos" w:hAnsi="Times New Roman" w:cs="Times New Roman"/>
          <w:b/>
          <w:bCs/>
          <w:i/>
          <w:iCs/>
          <w:kern w:val="2"/>
          <w:sz w:val="24"/>
          <w:szCs w:val="24"/>
          <w:lang w:val="en-US"/>
          <w14:ligatures w14:val="standardContextual"/>
        </w:rPr>
        <w:t>Retragerea licenței este cea mai severă măsură pe care ANRE o poate dispune față de un furnizor și nu este o decizie pe care o tratăm cu ușurință. Dar atunci când abaterile se repetă, când sancțiunile nu produc corectarea comportamentului și când drepturile consumatorilor continuă să fie afectate, Autoritatea are obligația să intervină ferm. În acest caz, au fost constatate încălcări grave și repetate: clienți finali au fost transferați către acest furnizor fără acordul lor, iar regulile de facturare au fost încălcate în mod constant. După sancțiuni totale de 746.000 de lei aplicate în iunie 2025 și după noi controale care au dus la amenzi suplimentare de 405.000 de lei, a devenit evident că sancțiunea contravențională nu mai era suficientă. ANRE susține concurența, dar concurența nu poate funcționa în afara regulilor. Dreptul clientului final de a-și alege liber furnizorul este un principiu fundamental al pieței de energie electrică. Când acest drept este afectat, intervenția reglementatorului trebuie să fie proporțională, dar fermă. Ne dorim ca această decizie să rămână o excepție. Dar toți furnizorii trebuie să înțeleagă că protecția consumatorilor și respectarea regulilor de piață nu sunt opționale.”</w:t>
      </w:r>
    </w:p>
    <w:p w14:paraId="38CCE808" w14:textId="77777777" w:rsidR="007D7020" w:rsidRPr="007D7020" w:rsidRDefault="007D7020" w:rsidP="007D7020">
      <w:pPr>
        <w:spacing w:before="100" w:beforeAutospacing="1" w:after="100" w:afterAutospacing="1" w:line="240" w:lineRule="auto"/>
        <w:jc w:val="both"/>
        <w:rPr>
          <w:rFonts w:ascii="Times New Roman" w:eastAsia="Aptos" w:hAnsi="Times New Roman" w:cs="Times New Roman"/>
          <w:b/>
          <w:bCs/>
          <w:kern w:val="2"/>
          <w:sz w:val="24"/>
          <w:szCs w:val="24"/>
          <w:lang/>
          <w14:ligatures w14:val="standardContextual"/>
        </w:rPr>
      </w:pPr>
      <w:r w:rsidRPr="007D7020">
        <w:rPr>
          <w:rFonts w:ascii="Times New Roman" w:eastAsia="Aptos" w:hAnsi="Times New Roman" w:cs="Times New Roman"/>
          <w:b/>
          <w:bCs/>
          <w:kern w:val="2"/>
          <w:sz w:val="24"/>
          <w:szCs w:val="24"/>
          <w:lang/>
          <w14:ligatures w14:val="standardContextual"/>
        </w:rPr>
        <w:t>Ce urmează pentru clienții GRENERG</w:t>
      </w:r>
    </w:p>
    <w:p w14:paraId="27EE39FF" w14:textId="77777777" w:rsidR="007D7020" w:rsidRPr="007D7020" w:rsidRDefault="007D7020" w:rsidP="007D7020">
      <w:pPr>
        <w:spacing w:before="100" w:beforeAutospacing="1" w:after="100" w:afterAutospacing="1" w:line="240" w:lineRule="auto"/>
        <w:jc w:val="both"/>
        <w:rPr>
          <w:rFonts w:ascii="Times New Roman" w:eastAsia="Aptos" w:hAnsi="Times New Roman" w:cs="Times New Roman"/>
          <w:kern w:val="2"/>
          <w:sz w:val="24"/>
          <w:szCs w:val="24"/>
          <w:lang/>
          <w14:ligatures w14:val="standardContextual"/>
        </w:rPr>
      </w:pPr>
      <w:r w:rsidRPr="007D7020">
        <w:rPr>
          <w:rFonts w:ascii="Times New Roman" w:eastAsia="Aptos" w:hAnsi="Times New Roman" w:cs="Times New Roman"/>
          <w:kern w:val="2"/>
          <w:sz w:val="24"/>
          <w:szCs w:val="24"/>
          <w:lang/>
          <w14:ligatures w14:val="standardContextual"/>
        </w:rPr>
        <w:t xml:space="preserve">Niciunul dintre clienții finali ai furnizorului GRENERG nu vor rămâne fără energie electrică. Cei 22.564 de clienți afectați, dintre care 22.102 casnici, vor fi redistribuiți către furnizorul de ultimă instanță desemnat la nivelul lunii iunie 2026, în conformitate cu procedurile în vigoare, fără întreruperea alimentării cu energie electrică. Clienții care nu sunt mulțumiți cu prețul oferit de FUI au opțiunea și dreptul legal de a încheia noi contracte de furnizare energie electrică cu furnizorul pe care îl aleg. Pe platforma </w:t>
      </w:r>
      <w:hyperlink r:id="rId7" w:history="1">
        <w:r w:rsidRPr="007D7020">
          <w:rPr>
            <w:rStyle w:val="Hyperlink"/>
            <w:rFonts w:ascii="Times New Roman" w:eastAsia="Aptos" w:hAnsi="Times New Roman" w:cs="Times New Roman"/>
            <w:kern w:val="2"/>
            <w:sz w:val="24"/>
            <w:szCs w:val="24"/>
            <w:lang/>
            <w14:ligatures w14:val="standardContextual"/>
          </w:rPr>
          <w:t>www.posf.ro</w:t>
        </w:r>
      </w:hyperlink>
      <w:r w:rsidRPr="007D7020">
        <w:rPr>
          <w:rFonts w:ascii="Times New Roman" w:eastAsia="Aptos" w:hAnsi="Times New Roman" w:cs="Times New Roman"/>
          <w:kern w:val="2"/>
          <w:sz w:val="24"/>
          <w:szCs w:val="24"/>
          <w:lang/>
          <w14:ligatures w14:val="standardContextual"/>
        </w:rPr>
        <w:t xml:space="preserve">, ANRE oferă concumatorilor de energie electrică atât un comparator de prețuri, cât și posibilitatea să-și aleagă furnizorul de energie electrică și să încheie contract cu acesta. </w:t>
      </w:r>
    </w:p>
    <w:p w14:paraId="51D56EDF" w14:textId="778F3BA9" w:rsidR="007D7020" w:rsidRPr="007D7020" w:rsidRDefault="007D7020" w:rsidP="007D7020">
      <w:pPr>
        <w:spacing w:before="100" w:beforeAutospacing="1" w:after="100" w:afterAutospacing="1" w:line="240" w:lineRule="auto"/>
        <w:jc w:val="both"/>
        <w:rPr>
          <w:rFonts w:ascii="Times New Roman" w:eastAsia="Aptos" w:hAnsi="Times New Roman" w:cs="Times New Roman"/>
          <w:b/>
          <w:bCs/>
          <w:kern w:val="2"/>
          <w:sz w:val="24"/>
          <w:szCs w:val="24"/>
          <w14:ligatures w14:val="standardContextual"/>
        </w:rPr>
      </w:pPr>
      <w:r w:rsidRPr="007D7020">
        <w:rPr>
          <w:rFonts w:ascii="Times New Roman" w:eastAsia="Aptos" w:hAnsi="Times New Roman" w:cs="Times New Roman"/>
          <w:b/>
          <w:bCs/>
          <w:kern w:val="2"/>
          <w:sz w:val="24"/>
          <w:szCs w:val="24"/>
          <w:lang/>
          <w14:ligatures w14:val="standardContextual"/>
        </w:rPr>
        <w:t>Informații de background</w:t>
      </w:r>
    </w:p>
    <w:p w14:paraId="34E671F4" w14:textId="4AA5A1EB" w:rsidR="002D5ADC" w:rsidRPr="007D7020" w:rsidRDefault="007D7020" w:rsidP="007D7020">
      <w:pPr>
        <w:spacing w:before="100" w:beforeAutospacing="1" w:after="100" w:afterAutospacing="1" w:line="240" w:lineRule="auto"/>
        <w:jc w:val="both"/>
        <w:rPr>
          <w:rFonts w:ascii="Times New Roman" w:eastAsia="Aptos" w:hAnsi="Times New Roman" w:cs="Times New Roman"/>
          <w:kern w:val="2"/>
          <w:sz w:val="24"/>
          <w:szCs w:val="24"/>
          <w:lang w:val="en-GB"/>
          <w14:ligatures w14:val="standardContextual"/>
        </w:rPr>
      </w:pPr>
      <w:r w:rsidRPr="007D7020">
        <w:rPr>
          <w:rFonts w:ascii="Times New Roman" w:eastAsia="Aptos" w:hAnsi="Times New Roman" w:cs="Times New Roman"/>
          <w:kern w:val="2"/>
          <w:sz w:val="24"/>
          <w:szCs w:val="24"/>
          <w:lang/>
          <w14:ligatures w14:val="standardContextual"/>
        </w:rPr>
        <w:lastRenderedPageBreak/>
        <w:t>În iunie 2025, după o serie de informații apărute în spațiul public despre comportamentul potențial abuziv al unui furnizor de energie electrică, precum și de o serie de sesizări primite de la consumatori, ANRE a derulat un control la GRENERG. În urma acelui control derulate, au fost aplicate amenzi de 760.000 de lei, pentru un număr de 84 de abateri.</w:t>
      </w:r>
      <w:r w:rsidRPr="007D7020">
        <w:rPr>
          <w:rFonts w:ascii="Times New Roman" w:eastAsia="Aptos" w:hAnsi="Times New Roman" w:cs="Times New Roman"/>
          <w:kern w:val="2"/>
          <w:sz w:val="24"/>
          <w:szCs w:val="24"/>
          <w:lang w:val="en-GB"/>
          <w14:ligatures w14:val="standardContextual"/>
        </w:rPr>
        <w:t xml:space="preserve"> Ulterior, în perioada octombrie 2025-martie 2026, ANRE a derulat noi controale la acest furnizor și a mai emis 41 de amenzi, în valoare totală de 405.000 lei. </w:t>
      </w:r>
    </w:p>
    <w:p w14:paraId="1B05AFA7" w14:textId="1E8023B4" w:rsidR="002D5ADC" w:rsidRPr="002D5ADC" w:rsidRDefault="002D5ADC" w:rsidP="002D5ADC">
      <w:pPr>
        <w:spacing w:before="100" w:beforeAutospacing="1" w:after="100" w:afterAutospacing="1" w:line="240" w:lineRule="auto"/>
        <w:rPr>
          <w:rFonts w:ascii="Times New Roman" w:eastAsia="Times New Roman" w:hAnsi="Times New Roman" w:cs="Times New Roman"/>
          <w:sz w:val="24"/>
          <w:szCs w:val="24"/>
          <w:lang w:val="en-US"/>
        </w:rPr>
      </w:pPr>
      <w:r w:rsidRPr="002D5ADC">
        <w:rPr>
          <w:rFonts w:ascii="Times New Roman" w:eastAsia="Times New Roman" w:hAnsi="Times New Roman" w:cs="Times New Roman"/>
          <w:b/>
          <w:bCs/>
          <w:iCs/>
          <w:sz w:val="24"/>
          <w:szCs w:val="24"/>
          <w:lang w:val="en-US"/>
        </w:rPr>
        <w:t>Serviciul relaţii interinstituţionale</w:t>
      </w:r>
    </w:p>
    <w:p w14:paraId="44304C8B" w14:textId="1E23191C" w:rsidR="002D5ADC" w:rsidRPr="002D5ADC" w:rsidRDefault="007D7020" w:rsidP="002D5ADC">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iCs/>
          <w:sz w:val="24"/>
          <w:szCs w:val="24"/>
          <w:lang w:val="en-US"/>
        </w:rPr>
        <w:t>03.06</w:t>
      </w:r>
      <w:r w:rsidR="002D5ADC" w:rsidRPr="002D5ADC">
        <w:rPr>
          <w:rFonts w:ascii="Times New Roman" w:eastAsia="Times New Roman" w:hAnsi="Times New Roman" w:cs="Times New Roman"/>
          <w:b/>
          <w:bCs/>
          <w:iCs/>
          <w:sz w:val="24"/>
          <w:szCs w:val="24"/>
          <w:lang w:val="en-US"/>
        </w:rPr>
        <w:t>.2026</w:t>
      </w:r>
    </w:p>
    <w:p w14:paraId="0BF55727" w14:textId="77777777" w:rsidR="002D5ADC" w:rsidRPr="002D5ADC" w:rsidRDefault="002D5ADC" w:rsidP="002D5ADC">
      <w:pPr>
        <w:spacing w:before="100" w:beforeAutospacing="1" w:after="100" w:afterAutospacing="1" w:line="240" w:lineRule="auto"/>
        <w:rPr>
          <w:rFonts w:ascii="Times New Roman" w:eastAsia="Times New Roman" w:hAnsi="Times New Roman" w:cs="Times New Roman"/>
          <w:sz w:val="24"/>
          <w:szCs w:val="24"/>
          <w:lang w:val="en-US"/>
        </w:rPr>
      </w:pPr>
      <w:r w:rsidRPr="002D5ADC">
        <w:rPr>
          <w:rFonts w:ascii="Times New Roman" w:eastAsia="Times New Roman" w:hAnsi="Times New Roman" w:cs="Times New Roman"/>
          <w:sz w:val="24"/>
          <w:szCs w:val="24"/>
          <w:lang w:val="en-US"/>
        </w:rPr>
        <w:t> </w:t>
      </w:r>
    </w:p>
    <w:p w14:paraId="76E356F0" w14:textId="076A955F" w:rsidR="00A93C9B" w:rsidRPr="002D5ADC" w:rsidRDefault="002D5ADC" w:rsidP="002D5ADC">
      <w:pPr>
        <w:spacing w:before="100" w:beforeAutospacing="1" w:after="100" w:afterAutospacing="1" w:line="240" w:lineRule="auto"/>
        <w:rPr>
          <w:rStyle w:val="Emphasis"/>
          <w:rFonts w:ascii="Times New Roman" w:eastAsia="Times New Roman" w:hAnsi="Times New Roman" w:cs="Times New Roman"/>
          <w:i w:val="0"/>
          <w:iCs w:val="0"/>
          <w:sz w:val="24"/>
          <w:szCs w:val="24"/>
          <w:lang w:val="en-US"/>
        </w:rPr>
      </w:pPr>
      <w:r w:rsidRPr="002D5ADC">
        <w:rPr>
          <w:rFonts w:ascii="Times New Roman" w:eastAsia="Times New Roman" w:hAnsi="Times New Roman" w:cs="Times New Roman"/>
          <w:sz w:val="24"/>
          <w:szCs w:val="24"/>
          <w:lang w:val="en-US"/>
        </w:rPr>
        <w:t> </w:t>
      </w:r>
    </w:p>
    <w:sectPr w:rsidR="00A93C9B" w:rsidRPr="002D5ADC" w:rsidSect="003427FA">
      <w:footerReference w:type="default" r:id="rId8"/>
      <w:headerReference w:type="first" r:id="rId9"/>
      <w:footerReference w:type="first" r:id="rId10"/>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7195" w14:textId="77777777" w:rsidR="001E6B91" w:rsidRDefault="001E6B91" w:rsidP="003B4C37">
      <w:pPr>
        <w:spacing w:after="0" w:line="240" w:lineRule="auto"/>
      </w:pPr>
      <w:r>
        <w:separator/>
      </w:r>
    </w:p>
  </w:endnote>
  <w:endnote w:type="continuationSeparator" w:id="0">
    <w:p w14:paraId="4DB6A1F1" w14:textId="77777777" w:rsidR="001E6B91" w:rsidRDefault="001E6B91"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DF5B" w14:textId="77777777" w:rsidR="001E6B91" w:rsidRDefault="001E6B91" w:rsidP="003B4C37">
      <w:pPr>
        <w:spacing w:after="0" w:line="240" w:lineRule="auto"/>
      </w:pPr>
      <w:r>
        <w:separator/>
      </w:r>
    </w:p>
  </w:footnote>
  <w:footnote w:type="continuationSeparator" w:id="0">
    <w:p w14:paraId="537E6816" w14:textId="77777777" w:rsidR="001E6B91" w:rsidRDefault="001E6B91"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6993EE0"/>
    <w:multiLevelType w:val="hybridMultilevel"/>
    <w:tmpl w:val="B40832E0"/>
    <w:lvl w:ilvl="0" w:tplc="DD2A3E76">
      <w:numFmt w:val="bullet"/>
      <w:lvlText w:val="•"/>
      <w:lvlJc w:val="left"/>
      <w:pPr>
        <w:ind w:left="90" w:hanging="360"/>
      </w:pPr>
      <w:rPr>
        <w:rFonts w:ascii="Times New Roman" w:eastAsia="Times New Roman" w:hAnsi="Times New Roman"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3"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FEC10D5"/>
    <w:multiLevelType w:val="hybridMultilevel"/>
    <w:tmpl w:val="25AA4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62158"/>
    <w:multiLevelType w:val="hybridMultilevel"/>
    <w:tmpl w:val="AE0E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067146">
    <w:abstractNumId w:val="25"/>
  </w:num>
  <w:num w:numId="2" w16cid:durableId="1069617125">
    <w:abstractNumId w:val="17"/>
  </w:num>
  <w:num w:numId="3" w16cid:durableId="168296902">
    <w:abstractNumId w:val="11"/>
  </w:num>
  <w:num w:numId="4" w16cid:durableId="1968123472">
    <w:abstractNumId w:val="26"/>
  </w:num>
  <w:num w:numId="5" w16cid:durableId="1080060803">
    <w:abstractNumId w:val="4"/>
  </w:num>
  <w:num w:numId="6" w16cid:durableId="1812017567">
    <w:abstractNumId w:val="20"/>
  </w:num>
  <w:num w:numId="7" w16cid:durableId="1829322605">
    <w:abstractNumId w:val="9"/>
  </w:num>
  <w:num w:numId="8" w16cid:durableId="2138377107">
    <w:abstractNumId w:val="5"/>
  </w:num>
  <w:num w:numId="9" w16cid:durableId="585917197">
    <w:abstractNumId w:val="7"/>
  </w:num>
  <w:num w:numId="10" w16cid:durableId="1023283569">
    <w:abstractNumId w:val="8"/>
  </w:num>
  <w:num w:numId="11" w16cid:durableId="1212578873">
    <w:abstractNumId w:val="21"/>
  </w:num>
  <w:num w:numId="12" w16cid:durableId="731775870">
    <w:abstractNumId w:val="16"/>
  </w:num>
  <w:num w:numId="13" w16cid:durableId="642471461">
    <w:abstractNumId w:val="14"/>
  </w:num>
  <w:num w:numId="14" w16cid:durableId="2006589872">
    <w:abstractNumId w:val="1"/>
  </w:num>
  <w:num w:numId="15" w16cid:durableId="13381272">
    <w:abstractNumId w:val="22"/>
  </w:num>
  <w:num w:numId="16" w16cid:durableId="1804543575">
    <w:abstractNumId w:val="29"/>
  </w:num>
  <w:num w:numId="17" w16cid:durableId="1516266434">
    <w:abstractNumId w:val="10"/>
  </w:num>
  <w:num w:numId="18" w16cid:durableId="1075594693">
    <w:abstractNumId w:val="27"/>
  </w:num>
  <w:num w:numId="19" w16cid:durableId="881401941">
    <w:abstractNumId w:val="19"/>
  </w:num>
  <w:num w:numId="20" w16cid:durableId="1898278314">
    <w:abstractNumId w:val="3"/>
  </w:num>
  <w:num w:numId="21" w16cid:durableId="1683048482">
    <w:abstractNumId w:val="28"/>
  </w:num>
  <w:num w:numId="22" w16cid:durableId="1630545638">
    <w:abstractNumId w:val="2"/>
  </w:num>
  <w:num w:numId="23" w16cid:durableId="616982436">
    <w:abstractNumId w:val="23"/>
  </w:num>
  <w:num w:numId="24" w16cid:durableId="742531786">
    <w:abstractNumId w:val="6"/>
  </w:num>
  <w:num w:numId="25" w16cid:durableId="2146197060">
    <w:abstractNumId w:val="0"/>
  </w:num>
  <w:num w:numId="26" w16cid:durableId="117262258">
    <w:abstractNumId w:val="18"/>
  </w:num>
  <w:num w:numId="27" w16cid:durableId="356545379">
    <w:abstractNumId w:val="13"/>
  </w:num>
  <w:num w:numId="28" w16cid:durableId="1511797743">
    <w:abstractNumId w:val="12"/>
  </w:num>
  <w:num w:numId="29" w16cid:durableId="1943681233">
    <w:abstractNumId w:val="15"/>
  </w:num>
  <w:num w:numId="30" w16cid:durableId="2086997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1331B"/>
    <w:rsid w:val="00014C58"/>
    <w:rsid w:val="0004383C"/>
    <w:rsid w:val="00060CDF"/>
    <w:rsid w:val="000770B3"/>
    <w:rsid w:val="00084A83"/>
    <w:rsid w:val="00090741"/>
    <w:rsid w:val="000936ED"/>
    <w:rsid w:val="000A3484"/>
    <w:rsid w:val="000A5D60"/>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83303"/>
    <w:rsid w:val="00185868"/>
    <w:rsid w:val="00191BAE"/>
    <w:rsid w:val="001A1DA0"/>
    <w:rsid w:val="001B48AD"/>
    <w:rsid w:val="001B58B7"/>
    <w:rsid w:val="001C00D5"/>
    <w:rsid w:val="001C4CA1"/>
    <w:rsid w:val="001D1F76"/>
    <w:rsid w:val="001E10BD"/>
    <w:rsid w:val="001E13AF"/>
    <w:rsid w:val="001E6B91"/>
    <w:rsid w:val="00222280"/>
    <w:rsid w:val="0023637F"/>
    <w:rsid w:val="00247DA8"/>
    <w:rsid w:val="0027738A"/>
    <w:rsid w:val="00293F32"/>
    <w:rsid w:val="002A66A8"/>
    <w:rsid w:val="002A6DA5"/>
    <w:rsid w:val="002B3467"/>
    <w:rsid w:val="002C2346"/>
    <w:rsid w:val="002D5ADC"/>
    <w:rsid w:val="002D6F0B"/>
    <w:rsid w:val="002D7393"/>
    <w:rsid w:val="002D79C5"/>
    <w:rsid w:val="002E3CE4"/>
    <w:rsid w:val="0031219A"/>
    <w:rsid w:val="00313EBA"/>
    <w:rsid w:val="00326282"/>
    <w:rsid w:val="003326B4"/>
    <w:rsid w:val="00341BDF"/>
    <w:rsid w:val="003427FA"/>
    <w:rsid w:val="003543C8"/>
    <w:rsid w:val="00364C45"/>
    <w:rsid w:val="00364E3A"/>
    <w:rsid w:val="0037458E"/>
    <w:rsid w:val="0038084D"/>
    <w:rsid w:val="00395BF4"/>
    <w:rsid w:val="003A0854"/>
    <w:rsid w:val="003A2FF3"/>
    <w:rsid w:val="003B26B9"/>
    <w:rsid w:val="003B4C37"/>
    <w:rsid w:val="003C26D1"/>
    <w:rsid w:val="003C78E8"/>
    <w:rsid w:val="00405B8C"/>
    <w:rsid w:val="004119A7"/>
    <w:rsid w:val="0042783B"/>
    <w:rsid w:val="00435E29"/>
    <w:rsid w:val="00437C42"/>
    <w:rsid w:val="0044444A"/>
    <w:rsid w:val="00457B0E"/>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5F509F"/>
    <w:rsid w:val="00607D44"/>
    <w:rsid w:val="00620875"/>
    <w:rsid w:val="0062605E"/>
    <w:rsid w:val="0063561F"/>
    <w:rsid w:val="00642271"/>
    <w:rsid w:val="00645DA4"/>
    <w:rsid w:val="0066785A"/>
    <w:rsid w:val="00677CF9"/>
    <w:rsid w:val="006A1460"/>
    <w:rsid w:val="006B51FC"/>
    <w:rsid w:val="006B7CD0"/>
    <w:rsid w:val="006C1CB9"/>
    <w:rsid w:val="006D4F08"/>
    <w:rsid w:val="006D5361"/>
    <w:rsid w:val="006E6A98"/>
    <w:rsid w:val="006F55C4"/>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D7020"/>
    <w:rsid w:val="007E1A9D"/>
    <w:rsid w:val="007F1C78"/>
    <w:rsid w:val="007F3199"/>
    <w:rsid w:val="00822101"/>
    <w:rsid w:val="00825359"/>
    <w:rsid w:val="0082578E"/>
    <w:rsid w:val="0083432D"/>
    <w:rsid w:val="00835EE2"/>
    <w:rsid w:val="00845749"/>
    <w:rsid w:val="00847506"/>
    <w:rsid w:val="0085060E"/>
    <w:rsid w:val="00853280"/>
    <w:rsid w:val="008620B0"/>
    <w:rsid w:val="0087454D"/>
    <w:rsid w:val="0088430C"/>
    <w:rsid w:val="0088656E"/>
    <w:rsid w:val="008A4DDE"/>
    <w:rsid w:val="008B0741"/>
    <w:rsid w:val="008C30EA"/>
    <w:rsid w:val="008D7198"/>
    <w:rsid w:val="008F401E"/>
    <w:rsid w:val="008F5263"/>
    <w:rsid w:val="008F6221"/>
    <w:rsid w:val="008F7808"/>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40BDE"/>
    <w:rsid w:val="00A53F29"/>
    <w:rsid w:val="00A60696"/>
    <w:rsid w:val="00A672EA"/>
    <w:rsid w:val="00A67B3D"/>
    <w:rsid w:val="00A72D14"/>
    <w:rsid w:val="00A93C9B"/>
    <w:rsid w:val="00AA203C"/>
    <w:rsid w:val="00AB15FA"/>
    <w:rsid w:val="00AB62C4"/>
    <w:rsid w:val="00AD154F"/>
    <w:rsid w:val="00AE22CA"/>
    <w:rsid w:val="00AE6F05"/>
    <w:rsid w:val="00AF2BC1"/>
    <w:rsid w:val="00AF71FE"/>
    <w:rsid w:val="00B03DBB"/>
    <w:rsid w:val="00B06834"/>
    <w:rsid w:val="00B46A7F"/>
    <w:rsid w:val="00B50AEF"/>
    <w:rsid w:val="00B534BA"/>
    <w:rsid w:val="00B5576A"/>
    <w:rsid w:val="00B57094"/>
    <w:rsid w:val="00B57B95"/>
    <w:rsid w:val="00B63563"/>
    <w:rsid w:val="00B74F33"/>
    <w:rsid w:val="00B81C1F"/>
    <w:rsid w:val="00BA0A69"/>
    <w:rsid w:val="00BA14C9"/>
    <w:rsid w:val="00BA17F0"/>
    <w:rsid w:val="00BB3FA4"/>
    <w:rsid w:val="00BC0B70"/>
    <w:rsid w:val="00BC208A"/>
    <w:rsid w:val="00BD4091"/>
    <w:rsid w:val="00BE2B25"/>
    <w:rsid w:val="00BF2C67"/>
    <w:rsid w:val="00C042DC"/>
    <w:rsid w:val="00C059F2"/>
    <w:rsid w:val="00C17D43"/>
    <w:rsid w:val="00C2096C"/>
    <w:rsid w:val="00C27FA4"/>
    <w:rsid w:val="00C41C0C"/>
    <w:rsid w:val="00C428F5"/>
    <w:rsid w:val="00C85F0F"/>
    <w:rsid w:val="00CA0471"/>
    <w:rsid w:val="00CA38F4"/>
    <w:rsid w:val="00CD269C"/>
    <w:rsid w:val="00CD67A9"/>
    <w:rsid w:val="00CF0420"/>
    <w:rsid w:val="00CF0587"/>
    <w:rsid w:val="00CF06DB"/>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D1B7A"/>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01331B"/>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de-DE"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358430398">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sf.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2023-09-04T08:01:00Z</cp:lastPrinted>
  <dcterms:created xsi:type="dcterms:W3CDTF">2026-06-04T04:43:00Z</dcterms:created>
  <dcterms:modified xsi:type="dcterms:W3CDTF">2026-06-04T04:44:00Z</dcterms:modified>
</cp:coreProperties>
</file>