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53F46" w14:textId="77777777" w:rsidR="00D027B4" w:rsidRPr="00396407" w:rsidRDefault="00D027B4" w:rsidP="00396407">
      <w:pPr>
        <w:spacing w:after="0" w:line="240" w:lineRule="auto"/>
        <w:jc w:val="both"/>
        <w:rPr>
          <w:rFonts w:ascii="Times New Roman" w:eastAsia="Times New Roman" w:hAnsi="Times New Roman" w:cs="Times New Roman"/>
          <w:b/>
          <w:color w:val="000000"/>
          <w:sz w:val="24"/>
          <w:szCs w:val="24"/>
          <w:lang w:eastAsia="en-GB"/>
        </w:rPr>
      </w:pPr>
      <w:bookmarkStart w:id="0" w:name="OLE_LINK26"/>
    </w:p>
    <w:bookmarkEnd w:id="0"/>
    <w:p w14:paraId="1BA1A12D" w14:textId="3C1AF52F" w:rsidR="007D7020" w:rsidRPr="00396407" w:rsidRDefault="007D7020" w:rsidP="00396407">
      <w:pPr>
        <w:spacing w:before="100" w:beforeAutospacing="1" w:after="100" w:afterAutospacing="1" w:line="240" w:lineRule="auto"/>
        <w:jc w:val="center"/>
        <w:rPr>
          <w:rFonts w:ascii="Times New Roman" w:eastAsia="Aptos" w:hAnsi="Times New Roman" w:cs="Times New Roman"/>
          <w:b/>
          <w:bCs/>
          <w:kern w:val="2"/>
          <w:sz w:val="24"/>
          <w:szCs w:val="24"/>
          <w14:ligatures w14:val="standardContextual"/>
        </w:rPr>
      </w:pPr>
      <w:r w:rsidRPr="00396407">
        <w:rPr>
          <w:rFonts w:ascii="Times New Roman" w:eastAsia="Aptos" w:hAnsi="Times New Roman" w:cs="Times New Roman"/>
          <w:b/>
          <w:bCs/>
          <w:kern w:val="2"/>
          <w:sz w:val="24"/>
          <w:szCs w:val="24"/>
          <w14:ligatures w14:val="standardContextual"/>
        </w:rPr>
        <w:t>COMUNICAT DE PRESĂ</w:t>
      </w:r>
    </w:p>
    <w:p w14:paraId="1F89693A" w14:textId="77777777" w:rsidR="00285AE3" w:rsidRPr="00285AE3" w:rsidRDefault="00285AE3" w:rsidP="00285AE3">
      <w:pPr>
        <w:jc w:val="center"/>
        <w:rPr>
          <w:rFonts w:ascii="Times New Roman" w:hAnsi="Times New Roman" w:cs="Times New Roman"/>
          <w:b/>
          <w:sz w:val="24"/>
          <w:szCs w:val="24"/>
        </w:rPr>
      </w:pPr>
      <w:r w:rsidRPr="00285AE3">
        <w:rPr>
          <w:rFonts w:ascii="Times New Roman" w:hAnsi="Times New Roman" w:cs="Times New Roman"/>
          <w:b/>
          <w:sz w:val="24"/>
          <w:szCs w:val="24"/>
        </w:rPr>
        <w:t>ANRE reglementează comunitățile de energie și notificarea pe care furnizorii trebuie să o trimită consumatorilor când ating 80% din consumul lunar estimat al energiei electrice</w:t>
      </w:r>
    </w:p>
    <w:p w14:paraId="75968E30" w14:textId="77777777" w:rsidR="00285AE3" w:rsidRPr="00285AE3" w:rsidRDefault="00285AE3" w:rsidP="00285AE3">
      <w:pPr>
        <w:jc w:val="both"/>
        <w:rPr>
          <w:rFonts w:ascii="Times New Roman" w:hAnsi="Times New Roman" w:cs="Times New Roman"/>
          <w:sz w:val="24"/>
          <w:szCs w:val="24"/>
        </w:rPr>
      </w:pPr>
    </w:p>
    <w:p w14:paraId="2BD9C984"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b/>
          <w:sz w:val="24"/>
          <w:szCs w:val="24"/>
        </w:rPr>
        <w:t>București, 30 iunie</w:t>
      </w:r>
      <w:r w:rsidRPr="00285AE3">
        <w:rPr>
          <w:rFonts w:ascii="Times New Roman" w:hAnsi="Times New Roman" w:cs="Times New Roman"/>
          <w:sz w:val="24"/>
          <w:szCs w:val="24"/>
        </w:rPr>
        <w:t xml:space="preserve"> - Autoritatea Națională de Reglementare în Domeniul Energiei (ANRE) a elaborat Ordinul pentru modificarea și completarea Regulamentului de furnizare a energiei electrice la clienții finali (RFEE), prin care introduce un cadru complet pentru funcționarea comunităților de energie, obligă furnizorii să pună la dispoziția clienților conturi online gratuite și stabilește cerințe stricte de transparență privind comisioanele de reziliere anticipată.</w:t>
      </w:r>
    </w:p>
    <w:p w14:paraId="7872B7E7"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Una dintre cele mai importante modificări introduse de noua reglementare este serviciul de notificare automată la atingerea unui prag prestabilit de până la 80% din consumul estimat lunar din convenția de consum. Astfel, furnizorul transmite către consumator o alertă cu datele de consum înregistrate, consumul lunar estimat, procentul de realizare și informații privind posibilitatea ajustării consumului. Notificarea se transmite prin e-mail, SMS sau alte canale electronice agreate între furnizor și consumatorul final.</w:t>
      </w:r>
    </w:p>
    <w:p w14:paraId="58A84FE3" w14:textId="77777777" w:rsidR="00285AE3" w:rsidRPr="00285AE3" w:rsidRDefault="00285AE3" w:rsidP="00285AE3">
      <w:pPr>
        <w:jc w:val="both"/>
        <w:rPr>
          <w:rFonts w:ascii="Times New Roman" w:hAnsi="Times New Roman" w:cs="Times New Roman"/>
          <w:sz w:val="24"/>
          <w:szCs w:val="24"/>
        </w:rPr>
      </w:pPr>
      <w:bookmarkStart w:id="1" w:name="_GoBack"/>
      <w:r w:rsidRPr="00285AE3">
        <w:rPr>
          <w:rFonts w:ascii="Times New Roman" w:hAnsi="Times New Roman" w:cs="Times New Roman"/>
          <w:b/>
          <w:sz w:val="24"/>
          <w:szCs w:val="24"/>
        </w:rPr>
        <w:t>Președintele ANRE George Niculescu:</w:t>
      </w:r>
      <w:r w:rsidRPr="00285AE3">
        <w:rPr>
          <w:rFonts w:ascii="Times New Roman" w:hAnsi="Times New Roman" w:cs="Times New Roman"/>
          <w:sz w:val="24"/>
          <w:szCs w:val="24"/>
        </w:rPr>
        <w:t xml:space="preserve"> </w:t>
      </w:r>
      <w:bookmarkEnd w:id="1"/>
      <w:r w:rsidRPr="00285AE3">
        <w:rPr>
          <w:rFonts w:ascii="Times New Roman" w:hAnsi="Times New Roman" w:cs="Times New Roman"/>
          <w:sz w:val="24"/>
          <w:szCs w:val="24"/>
        </w:rPr>
        <w:t xml:space="preserve">„Acest ordin este răspunsul ANRE la o realitate care s-a schimbat: românii nu mai sunt simpli consumatori care așteaptă factura la sfârșitul lunii. Ei produc energie, o partajează cu vecinii, vor să înțeleagă ce se întâmplă fiecare kilowatt. Reglementem cadrul în care acest lucru se poate face legal, corect și transparent. </w:t>
      </w:r>
    </w:p>
    <w:p w14:paraId="4C0DA05D"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În același timp, am introdus reglementarea prin care consumatorii vor primi o alertă din partea furnizorului în momentul în care au atins pragul de 80% din consumul lunar estimat. În acest mod, consumatorii vor avea timp să-și modifice consumul sau să ia alte măsuri, astfel încât la final de lună să nu se trezească cu o factură mare, pe care nu o pot suporta financiar. Această notificare privind pragul de consum și etichetarea pe culori a furnizorilor în funcție de Indicele de Satisfacție a Clienților sunt două modalități concrete de a înclina raportul de putere furnizor-consumator în favoarea consumatorului, care trebuie să aibă toate informațiile necesare unei decizii simple, dar imporante: să păstreze sau să schimbe furnizorul actual”.</w:t>
      </w:r>
    </w:p>
    <w:p w14:paraId="6E2AFAE1" w14:textId="77777777" w:rsidR="00285AE3" w:rsidRPr="00285AE3" w:rsidRDefault="00285AE3" w:rsidP="00285AE3">
      <w:pPr>
        <w:jc w:val="both"/>
        <w:rPr>
          <w:rFonts w:ascii="Times New Roman" w:hAnsi="Times New Roman" w:cs="Times New Roman"/>
          <w:b/>
          <w:sz w:val="24"/>
          <w:szCs w:val="24"/>
        </w:rPr>
      </w:pPr>
      <w:r w:rsidRPr="00285AE3">
        <w:rPr>
          <w:rFonts w:ascii="Times New Roman" w:hAnsi="Times New Roman" w:cs="Times New Roman"/>
          <w:b/>
          <w:sz w:val="24"/>
          <w:szCs w:val="24"/>
        </w:rPr>
        <w:t>1.</w:t>
      </w:r>
      <w:r w:rsidRPr="00285AE3">
        <w:rPr>
          <w:rFonts w:ascii="Times New Roman" w:hAnsi="Times New Roman" w:cs="Times New Roman"/>
          <w:b/>
          <w:sz w:val="24"/>
          <w:szCs w:val="24"/>
        </w:rPr>
        <w:tab/>
        <w:t>Comunitățile de energie primesc un cadru operațional complet</w:t>
      </w:r>
    </w:p>
    <w:p w14:paraId="25EF4A69"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Regulamentul include acum definiții clare pentru conceptele-cheie necesare funcționării comunităților de energie. Sunt definite noțiuni precum energie electrică partajată -  cantitatea de energie activă produsă de unitățile din cadrul comunității, determinată pe intervale de decontare de operatorul de distribuție (OD) și alocată locurilor de consum ale membrilor; furnizor principal - furnizorul licențat care preia responsabilitatea echilibrării pentru locul de consum al unui membru și încheie contractele de rețea; regulament de funcționare - documentul intern al comunității care stabilește guvernanța, algoritmul de alocare, regulile de facturare și procedurile de soluționare a disputelor; surplus de energie electrică -  excedentul livrat în rețea după acoperirea consumului tuturor membrilor și încărcarea unităților de stocare.</w:t>
      </w:r>
    </w:p>
    <w:p w14:paraId="680677E9" w14:textId="77777777" w:rsidR="00285AE3" w:rsidRPr="00285AE3" w:rsidRDefault="00285AE3" w:rsidP="00285AE3">
      <w:pPr>
        <w:jc w:val="both"/>
        <w:rPr>
          <w:rFonts w:ascii="Times New Roman" w:hAnsi="Times New Roman" w:cs="Times New Roman"/>
          <w:sz w:val="24"/>
          <w:szCs w:val="24"/>
        </w:rPr>
      </w:pPr>
    </w:p>
    <w:p w14:paraId="5B33075A" w14:textId="77777777" w:rsidR="00285AE3" w:rsidRPr="00285AE3" w:rsidRDefault="00285AE3" w:rsidP="00285AE3">
      <w:pPr>
        <w:jc w:val="both"/>
        <w:rPr>
          <w:rFonts w:ascii="Times New Roman" w:hAnsi="Times New Roman" w:cs="Times New Roman"/>
          <w:b/>
          <w:sz w:val="24"/>
          <w:szCs w:val="24"/>
        </w:rPr>
      </w:pPr>
      <w:r w:rsidRPr="00285AE3">
        <w:rPr>
          <w:rFonts w:ascii="Times New Roman" w:hAnsi="Times New Roman" w:cs="Times New Roman"/>
          <w:b/>
          <w:sz w:val="24"/>
          <w:szCs w:val="24"/>
        </w:rPr>
        <w:t>Furnizarea energiei</w:t>
      </w:r>
    </w:p>
    <w:p w14:paraId="4FADDC24"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lastRenderedPageBreak/>
        <w:t>Furnizarea energiei în cadrul unei comunități de energie se organizează prin trei instrumente contractuale: (i) un contract de furnizare a energiei partajate între comunitate și fiecare loc de consum; (ii) un contract de furnizare a diferenței de consum, încheiat de furnizorul principal; și (iii) o convenție multipartită între comunitate, OD și furnizorul principal, care constituie temeiul unic pentru determinarea, alocarea și decontarea energiei partajate. Modelul convenției multipartite este prevăzut în anexa la ordin. Convenția se încheie în cel mult 15 zile lucrătoare de la transmiterea ei către părțile semnatare.</w:t>
      </w:r>
    </w:p>
    <w:p w14:paraId="5BE31FC0" w14:textId="77777777" w:rsidR="00285AE3" w:rsidRPr="00285AE3" w:rsidRDefault="00285AE3" w:rsidP="00285AE3">
      <w:pPr>
        <w:jc w:val="both"/>
        <w:rPr>
          <w:rFonts w:ascii="Times New Roman" w:hAnsi="Times New Roman" w:cs="Times New Roman"/>
          <w:sz w:val="24"/>
          <w:szCs w:val="24"/>
        </w:rPr>
      </w:pPr>
    </w:p>
    <w:p w14:paraId="3345FE50" w14:textId="77777777" w:rsidR="00285AE3" w:rsidRPr="00285AE3" w:rsidRDefault="00285AE3" w:rsidP="00285AE3">
      <w:pPr>
        <w:jc w:val="both"/>
        <w:rPr>
          <w:rFonts w:ascii="Times New Roman" w:hAnsi="Times New Roman" w:cs="Times New Roman"/>
          <w:b/>
          <w:sz w:val="24"/>
          <w:szCs w:val="24"/>
        </w:rPr>
      </w:pPr>
      <w:r w:rsidRPr="00285AE3">
        <w:rPr>
          <w:rFonts w:ascii="Times New Roman" w:hAnsi="Times New Roman" w:cs="Times New Roman"/>
          <w:b/>
          <w:sz w:val="24"/>
          <w:szCs w:val="24"/>
        </w:rPr>
        <w:t>Algoritmi de alocare a energiei partajate</w:t>
      </w:r>
    </w:p>
    <w:p w14:paraId="1F3A1CAE"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Ordinul introduce doi algoritmi de alocare, la alegerea comunității:</w:t>
      </w:r>
    </w:p>
    <w:p w14:paraId="136AFBFB"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w:t>
      </w:r>
      <w:r w:rsidRPr="00285AE3">
        <w:rPr>
          <w:rFonts w:ascii="Times New Roman" w:hAnsi="Times New Roman" w:cs="Times New Roman"/>
          <w:sz w:val="24"/>
          <w:szCs w:val="24"/>
        </w:rPr>
        <w:tab/>
        <w:t>Algoritmul A -  alocare proporțională cu consumul realizat la fiecare loc de consum pe intervalul de decontare;</w:t>
      </w:r>
    </w:p>
    <w:p w14:paraId="0A518B94"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w:t>
      </w:r>
      <w:r w:rsidRPr="00285AE3">
        <w:rPr>
          <w:rFonts w:ascii="Times New Roman" w:hAnsi="Times New Roman" w:cs="Times New Roman"/>
          <w:sz w:val="24"/>
          <w:szCs w:val="24"/>
        </w:rPr>
        <w:tab/>
        <w:t>Algoritmul B - alocare în procent fix, stabilit prin regulamentul de funcționare. Procentele fixe și modificările de structură (intrări/ieșiri membri) pot fi aplicate numai de la data de 1 a lunii și comunicate OD în cel mult 2 zile lucrătoare.</w:t>
      </w:r>
    </w:p>
    <w:p w14:paraId="24E4522F"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OD are rolul central de a determina și valida cantitățile de energie partajată, datele sale constituind baza unică pentru facturare și decontare. Erorile de măsurare sau alocare se corectează prin regularizări reflectate în facturile ulterioare.</w:t>
      </w:r>
    </w:p>
    <w:p w14:paraId="16C04A58" w14:textId="77777777" w:rsidR="00285AE3" w:rsidRPr="00285AE3" w:rsidRDefault="00285AE3" w:rsidP="00285AE3">
      <w:pPr>
        <w:jc w:val="both"/>
        <w:rPr>
          <w:rFonts w:ascii="Times New Roman" w:hAnsi="Times New Roman" w:cs="Times New Roman"/>
          <w:b/>
          <w:sz w:val="24"/>
          <w:szCs w:val="24"/>
        </w:rPr>
      </w:pPr>
      <w:r w:rsidRPr="00285AE3">
        <w:rPr>
          <w:rFonts w:ascii="Times New Roman" w:hAnsi="Times New Roman" w:cs="Times New Roman"/>
          <w:b/>
          <w:sz w:val="24"/>
          <w:szCs w:val="24"/>
        </w:rPr>
        <w:t>Licențiere și derogări</w:t>
      </w:r>
    </w:p>
    <w:p w14:paraId="69F0CE95"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Ordinul clarifică regimul de licențiere: comunitățile constituite din locuri de consum neracordate la SEN, condominiile al căror consum este 100% autoconsum, precum și ONG-urile și fundațiile cu statut de utilitate publică sunt exceptate de la obligația deținerii licenței de furnizare. Toate celelalte comunități care furnizează energie terților sau tranzacționează surplusul trebuie să dețină licență de furnizare sau de agregare, ori să delege aceste activități unui terț licențiat.</w:t>
      </w:r>
    </w:p>
    <w:p w14:paraId="5D41340B" w14:textId="77777777" w:rsidR="00285AE3" w:rsidRPr="00285AE3" w:rsidRDefault="00285AE3" w:rsidP="00285AE3">
      <w:pPr>
        <w:jc w:val="both"/>
        <w:rPr>
          <w:rFonts w:ascii="Times New Roman" w:hAnsi="Times New Roman" w:cs="Times New Roman"/>
          <w:b/>
          <w:sz w:val="24"/>
          <w:szCs w:val="24"/>
        </w:rPr>
      </w:pPr>
      <w:r w:rsidRPr="00285AE3">
        <w:rPr>
          <w:rFonts w:ascii="Times New Roman" w:hAnsi="Times New Roman" w:cs="Times New Roman"/>
          <w:b/>
          <w:sz w:val="24"/>
          <w:szCs w:val="24"/>
        </w:rPr>
        <w:t>Facturare în cadrul comunității de energie</w:t>
      </w:r>
    </w:p>
    <w:p w14:paraId="29765F91"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Comunitatea de energie emite factură lunară pentru energia partajată, conținând cantitatea alocată, prețul contractual și taxele legale, cu o anexă de transparență privind producția și regulile de alocare. Furnizorul principal facturează separat diferența de consum și serviciile de rețea. Conținutul facturilor emise de comunitate se stabilește prin regulamentul de funcționare și nu este supus modelului standard de factură aplicabil clienților casnici.</w:t>
      </w:r>
    </w:p>
    <w:p w14:paraId="3D3D01C9" w14:textId="77777777" w:rsidR="00285AE3" w:rsidRPr="00285AE3" w:rsidRDefault="00285AE3" w:rsidP="00285AE3">
      <w:pPr>
        <w:jc w:val="both"/>
        <w:rPr>
          <w:rFonts w:ascii="Times New Roman" w:hAnsi="Times New Roman" w:cs="Times New Roman"/>
          <w:sz w:val="24"/>
          <w:szCs w:val="24"/>
        </w:rPr>
      </w:pPr>
    </w:p>
    <w:p w14:paraId="687A5A21" w14:textId="77777777" w:rsidR="00285AE3" w:rsidRPr="00285AE3" w:rsidRDefault="00285AE3" w:rsidP="00285AE3">
      <w:pPr>
        <w:jc w:val="both"/>
        <w:rPr>
          <w:rFonts w:ascii="Times New Roman" w:hAnsi="Times New Roman" w:cs="Times New Roman"/>
          <w:b/>
          <w:sz w:val="24"/>
          <w:szCs w:val="24"/>
        </w:rPr>
      </w:pPr>
      <w:r w:rsidRPr="00285AE3">
        <w:rPr>
          <w:rFonts w:ascii="Times New Roman" w:hAnsi="Times New Roman" w:cs="Times New Roman"/>
          <w:b/>
          <w:sz w:val="24"/>
          <w:szCs w:val="24"/>
        </w:rPr>
        <w:t>2.</w:t>
      </w:r>
      <w:r w:rsidRPr="00285AE3">
        <w:rPr>
          <w:rFonts w:ascii="Times New Roman" w:hAnsi="Times New Roman" w:cs="Times New Roman"/>
          <w:b/>
          <w:sz w:val="24"/>
          <w:szCs w:val="24"/>
        </w:rPr>
        <w:tab/>
        <w:t>Digitalizarea relației furnizor–client: cont online obligatoriu de la 1 octombrie 2026</w:t>
      </w:r>
    </w:p>
    <w:p w14:paraId="38E08339" w14:textId="77777777" w:rsidR="00285AE3" w:rsidRPr="00285AE3" w:rsidRDefault="00285AE3" w:rsidP="00285AE3">
      <w:pPr>
        <w:jc w:val="both"/>
        <w:rPr>
          <w:rFonts w:ascii="Times New Roman" w:hAnsi="Times New Roman" w:cs="Times New Roman"/>
          <w:sz w:val="24"/>
          <w:szCs w:val="24"/>
        </w:rPr>
      </w:pPr>
    </w:p>
    <w:p w14:paraId="1816F661"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ANRE introduce obligația furnizorilor de energie electrică de a pune gratuit la dispoziția tuturor clienților finali un cont personalizat online, pe întreaga durată a contractului de furnizare.</w:t>
      </w:r>
    </w:p>
    <w:p w14:paraId="680FDF56"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Contul de client trebuie să ofere acces cel puțin la:</w:t>
      </w:r>
    </w:p>
    <w:p w14:paraId="43F7E758"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w:t>
      </w:r>
      <w:r w:rsidRPr="00285AE3">
        <w:rPr>
          <w:rFonts w:ascii="Times New Roman" w:hAnsi="Times New Roman" w:cs="Times New Roman"/>
          <w:sz w:val="24"/>
          <w:szCs w:val="24"/>
        </w:rPr>
        <w:tab/>
        <w:t>date de consum defalcate orar, zilnic, lunar și anual, în funcție de tipul contorului, inclusiv date istorice pe ultimii 3 ani sau de la instalarea contorului inteligent;</w:t>
      </w:r>
    </w:p>
    <w:p w14:paraId="1872F389"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lastRenderedPageBreak/>
        <w:t>-</w:t>
      </w:r>
      <w:r w:rsidRPr="00285AE3">
        <w:rPr>
          <w:rFonts w:ascii="Times New Roman" w:hAnsi="Times New Roman" w:cs="Times New Roman"/>
          <w:sz w:val="24"/>
          <w:szCs w:val="24"/>
        </w:rPr>
        <w:tab/>
        <w:t>facturi emise și istoricul plăților, cu structura detaliată a costurilor facturate;</w:t>
      </w:r>
    </w:p>
    <w:p w14:paraId="0CF59D13"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w:t>
      </w:r>
      <w:r w:rsidRPr="00285AE3">
        <w:rPr>
          <w:rFonts w:ascii="Times New Roman" w:hAnsi="Times New Roman" w:cs="Times New Roman"/>
          <w:sz w:val="24"/>
          <w:szCs w:val="24"/>
        </w:rPr>
        <w:tab/>
        <w:t>reprezentări grafice ale consumului și comparații cu perioade anterioare;</w:t>
      </w:r>
    </w:p>
    <w:p w14:paraId="45978E43"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w:t>
      </w:r>
      <w:r w:rsidRPr="00285AE3">
        <w:rPr>
          <w:rFonts w:ascii="Times New Roman" w:hAnsi="Times New Roman" w:cs="Times New Roman"/>
          <w:sz w:val="24"/>
          <w:szCs w:val="24"/>
        </w:rPr>
        <w:tab/>
        <w:t>funcționalități de comunicare electronică cu furnizorul, transmitere index autocitit, actualizare date de contact și consultare contract.</w:t>
      </w:r>
    </w:p>
    <w:p w14:paraId="4F5F276C"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Utilizarea contului este opțională pentru client și nu poate genera costuri suplimentare. Datele sunt actualizate cu frecvența pusă la dispoziție de operatorul de măsurare. Conținutul contului este descărcabil în format electronic uzual, interoperabil și reutilizabil.</w:t>
      </w:r>
    </w:p>
    <w:p w14:paraId="6D1F5DD5" w14:textId="77777777" w:rsidR="00285AE3" w:rsidRPr="00285AE3" w:rsidRDefault="00285AE3" w:rsidP="00285AE3">
      <w:pPr>
        <w:jc w:val="both"/>
        <w:rPr>
          <w:rFonts w:ascii="Times New Roman" w:hAnsi="Times New Roman" w:cs="Times New Roman"/>
          <w:b/>
          <w:sz w:val="24"/>
          <w:szCs w:val="24"/>
        </w:rPr>
      </w:pPr>
      <w:r w:rsidRPr="00285AE3">
        <w:rPr>
          <w:rFonts w:ascii="Times New Roman" w:hAnsi="Times New Roman" w:cs="Times New Roman"/>
          <w:b/>
          <w:sz w:val="24"/>
          <w:szCs w:val="24"/>
        </w:rPr>
        <w:t>Serviciu de notificare la prag de consum</w:t>
      </w:r>
    </w:p>
    <w:p w14:paraId="5BB1201E"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Clienții pot activa, prin contul online, un serviciu de notificare automată: la atingerea unui prag prestabilit de până la 80% din consumul estimat lunar din convenția de consum, furnizorul transmite o alertă cu datele de consum înregistrate, consumul lunar estimat, procentul de realizare și informații privind posibilitatea ajustării consumului. Notificarea se transmite prin e-mail, SMS sau alte canale electronice agreate. Serviciul are caracter exclusiv informativ și nu modifică obligațiile de plată.</w:t>
      </w:r>
    </w:p>
    <w:p w14:paraId="29EFB187" w14:textId="77777777" w:rsidR="00285AE3" w:rsidRPr="00285AE3" w:rsidRDefault="00285AE3" w:rsidP="00285AE3">
      <w:pPr>
        <w:jc w:val="both"/>
        <w:rPr>
          <w:rFonts w:ascii="Times New Roman" w:hAnsi="Times New Roman" w:cs="Times New Roman"/>
          <w:b/>
          <w:sz w:val="24"/>
          <w:szCs w:val="24"/>
        </w:rPr>
      </w:pPr>
      <w:r w:rsidRPr="00285AE3">
        <w:rPr>
          <w:rFonts w:ascii="Times New Roman" w:hAnsi="Times New Roman" w:cs="Times New Roman"/>
          <w:b/>
          <w:sz w:val="24"/>
          <w:szCs w:val="24"/>
        </w:rPr>
        <w:t>Rapoarte de consum și instrumente de estimare</w:t>
      </w:r>
    </w:p>
    <w:p w14:paraId="4DC57268"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Furnizorii pot pune la dispoziție rapoarte periodice privind evoluția consumului, comparații cu perioadele anterioare și informații privind structura costurilor, precum și instrumente orientative de estimare a costurilor viitoare. Furnizorii raportează anual către ANRE numărul clienților care au activat serviciul de notificare și numărul celor care dețin cont online activ.</w:t>
      </w:r>
    </w:p>
    <w:p w14:paraId="2AC2E336"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Termenul de implementare a contului online este 1 octombrie 2026.</w:t>
      </w:r>
    </w:p>
    <w:p w14:paraId="5F51BFB8" w14:textId="77777777" w:rsidR="00285AE3" w:rsidRPr="00285AE3" w:rsidRDefault="00285AE3" w:rsidP="00285AE3">
      <w:pPr>
        <w:jc w:val="both"/>
        <w:rPr>
          <w:rFonts w:ascii="Times New Roman" w:hAnsi="Times New Roman" w:cs="Times New Roman"/>
          <w:b/>
          <w:sz w:val="24"/>
          <w:szCs w:val="24"/>
        </w:rPr>
      </w:pPr>
      <w:r w:rsidRPr="00285AE3">
        <w:rPr>
          <w:rFonts w:ascii="Times New Roman" w:hAnsi="Times New Roman" w:cs="Times New Roman"/>
          <w:b/>
          <w:sz w:val="24"/>
          <w:szCs w:val="24"/>
        </w:rPr>
        <w:t>3. Comisioane de reziliere anticipată: transparență și verificabilitate obligatorii</w:t>
      </w:r>
    </w:p>
    <w:p w14:paraId="2AC2A1BD"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Ordinul consolidează protecția clienților finali care reziliază anticipat contractele cu preț fix pe durată determinată, aliniind legislația secundară la dispozițiile din Legea nr. 123/2012.</w:t>
      </w:r>
    </w:p>
    <w:p w14:paraId="07C3A53B"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Comisioanele de încetare anticipată sunt permise numai dacă îndeplinesc cumulativ următoarele condiții:</w:t>
      </w:r>
    </w:p>
    <w:p w14:paraId="77A68C8A"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w:t>
      </w:r>
      <w:r w:rsidRPr="00285AE3">
        <w:rPr>
          <w:rFonts w:ascii="Times New Roman" w:hAnsi="Times New Roman" w:cs="Times New Roman"/>
          <w:sz w:val="24"/>
          <w:szCs w:val="24"/>
        </w:rPr>
        <w:tab/>
        <w:t>sunt comunicate clar clientului înainte de semnarea contractului și incluse explicit în textul contractual;</w:t>
      </w:r>
    </w:p>
    <w:p w14:paraId="4B6A8E9B"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w:t>
      </w:r>
      <w:r w:rsidRPr="00285AE3">
        <w:rPr>
          <w:rFonts w:ascii="Times New Roman" w:hAnsi="Times New Roman" w:cs="Times New Roman"/>
          <w:sz w:val="24"/>
          <w:szCs w:val="24"/>
        </w:rPr>
        <w:tab/>
        <w:t>nu depășesc suma pierderilor economice directe ale furnizorului generate de reziliere;</w:t>
      </w:r>
    </w:p>
    <w:p w14:paraId="51EDAF8B"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w:t>
      </w:r>
      <w:r w:rsidRPr="00285AE3">
        <w:rPr>
          <w:rFonts w:ascii="Times New Roman" w:hAnsi="Times New Roman" w:cs="Times New Roman"/>
          <w:sz w:val="24"/>
          <w:szCs w:val="24"/>
        </w:rPr>
        <w:tab/>
        <w:t>sunt calculate printr-o metodologie transparentă și verificabilă, bazată pe: (a) diferența dintre prețul contractual și prețul unui produs de referință comparabil la momentul rezilierii; (b) cantitatea de energie rămasă de furnizat și perioada contractuală rămasă; (c) costurile directe aferente serviciilor sau beneficiilor deja acordate clientului;</w:t>
      </w:r>
    </w:p>
    <w:p w14:paraId="26743C2B"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w:t>
      </w:r>
      <w:r w:rsidRPr="00285AE3">
        <w:rPr>
          <w:rFonts w:ascii="Times New Roman" w:hAnsi="Times New Roman" w:cs="Times New Roman"/>
          <w:sz w:val="24"/>
          <w:szCs w:val="24"/>
        </w:rPr>
        <w:tab/>
        <w:t>sarcina probei privind existența și cuantumul pierderilor economice directe revine furnizorului sau agregatorului.</w:t>
      </w:r>
    </w:p>
    <w:p w14:paraId="5434FAD6" w14:textId="77777777" w:rsidR="00285AE3" w:rsidRPr="00285AE3" w:rsidRDefault="00285AE3" w:rsidP="00285AE3">
      <w:pPr>
        <w:jc w:val="both"/>
        <w:rPr>
          <w:rFonts w:ascii="Times New Roman" w:hAnsi="Times New Roman" w:cs="Times New Roman"/>
          <w:sz w:val="24"/>
          <w:szCs w:val="24"/>
        </w:rPr>
      </w:pPr>
    </w:p>
    <w:p w14:paraId="0F87CCF2" w14:textId="77777777" w:rsidR="00285AE3" w:rsidRPr="00285AE3" w:rsidRDefault="00285AE3" w:rsidP="00285AE3">
      <w:pPr>
        <w:jc w:val="both"/>
        <w:rPr>
          <w:rFonts w:ascii="Times New Roman" w:hAnsi="Times New Roman" w:cs="Times New Roman"/>
          <w:sz w:val="24"/>
          <w:szCs w:val="24"/>
        </w:rPr>
      </w:pPr>
      <w:r w:rsidRPr="00285AE3">
        <w:rPr>
          <w:rFonts w:ascii="Times New Roman" w:hAnsi="Times New Roman" w:cs="Times New Roman"/>
          <w:sz w:val="24"/>
          <w:szCs w:val="24"/>
        </w:rPr>
        <w:t>Furnizorii au obligația să notifice ANRE anterior aplicării sau modificării oricărui comision de reziliere, inclusiv metodologia de calcul utilizată. ANRE poate solicita orice informații suplimentare pentru verificarea conformității.</w:t>
      </w:r>
    </w:p>
    <w:p w14:paraId="6BBF0017" w14:textId="77777777" w:rsidR="00242E1E" w:rsidRPr="00242E1E" w:rsidRDefault="00242E1E" w:rsidP="00242E1E">
      <w:pPr>
        <w:jc w:val="both"/>
        <w:rPr>
          <w:rFonts w:ascii="Times New Roman" w:hAnsi="Times New Roman" w:cs="Times New Roman"/>
          <w:sz w:val="24"/>
          <w:szCs w:val="24"/>
        </w:rPr>
      </w:pPr>
    </w:p>
    <w:p w14:paraId="1B05AFA7" w14:textId="1E8023B4" w:rsidR="002D5ADC" w:rsidRPr="00396407" w:rsidRDefault="002D5ADC" w:rsidP="00396407">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96407">
        <w:rPr>
          <w:rFonts w:ascii="Times New Roman" w:eastAsia="Times New Roman" w:hAnsi="Times New Roman" w:cs="Times New Roman"/>
          <w:b/>
          <w:bCs/>
          <w:iCs/>
          <w:sz w:val="24"/>
          <w:szCs w:val="24"/>
          <w:lang w:val="en-US"/>
        </w:rPr>
        <w:lastRenderedPageBreak/>
        <w:t>Serviciul</w:t>
      </w:r>
      <w:proofErr w:type="spellEnd"/>
      <w:r w:rsidRPr="00396407">
        <w:rPr>
          <w:rFonts w:ascii="Times New Roman" w:eastAsia="Times New Roman" w:hAnsi="Times New Roman" w:cs="Times New Roman"/>
          <w:b/>
          <w:bCs/>
          <w:iCs/>
          <w:sz w:val="24"/>
          <w:szCs w:val="24"/>
          <w:lang w:val="en-US"/>
        </w:rPr>
        <w:t xml:space="preserve"> </w:t>
      </w:r>
      <w:proofErr w:type="spellStart"/>
      <w:r w:rsidRPr="00396407">
        <w:rPr>
          <w:rFonts w:ascii="Times New Roman" w:eastAsia="Times New Roman" w:hAnsi="Times New Roman" w:cs="Times New Roman"/>
          <w:b/>
          <w:bCs/>
          <w:iCs/>
          <w:sz w:val="24"/>
          <w:szCs w:val="24"/>
          <w:lang w:val="en-US"/>
        </w:rPr>
        <w:t>relaţii</w:t>
      </w:r>
      <w:proofErr w:type="spellEnd"/>
      <w:r w:rsidRPr="00396407">
        <w:rPr>
          <w:rFonts w:ascii="Times New Roman" w:eastAsia="Times New Roman" w:hAnsi="Times New Roman" w:cs="Times New Roman"/>
          <w:b/>
          <w:bCs/>
          <w:iCs/>
          <w:sz w:val="24"/>
          <w:szCs w:val="24"/>
          <w:lang w:val="en-US"/>
        </w:rPr>
        <w:t xml:space="preserve"> </w:t>
      </w:r>
      <w:proofErr w:type="spellStart"/>
      <w:r w:rsidRPr="00396407">
        <w:rPr>
          <w:rFonts w:ascii="Times New Roman" w:eastAsia="Times New Roman" w:hAnsi="Times New Roman" w:cs="Times New Roman"/>
          <w:b/>
          <w:bCs/>
          <w:iCs/>
          <w:sz w:val="24"/>
          <w:szCs w:val="24"/>
          <w:lang w:val="en-US"/>
        </w:rPr>
        <w:t>interinstituţionale</w:t>
      </w:r>
      <w:proofErr w:type="spellEnd"/>
    </w:p>
    <w:p w14:paraId="76E356F0" w14:textId="2F597EFD" w:rsidR="00A93C9B" w:rsidRPr="00396407" w:rsidRDefault="00285AE3" w:rsidP="00396407">
      <w:pPr>
        <w:spacing w:before="100" w:beforeAutospacing="1" w:after="100" w:afterAutospacing="1" w:line="240" w:lineRule="auto"/>
        <w:jc w:val="both"/>
        <w:rPr>
          <w:rStyle w:val="Emphasis"/>
          <w:rFonts w:ascii="Times New Roman" w:eastAsia="Times New Roman" w:hAnsi="Times New Roman" w:cs="Times New Roman"/>
          <w:i w:val="0"/>
          <w:iCs w:val="0"/>
          <w:sz w:val="24"/>
          <w:szCs w:val="24"/>
          <w:lang w:val="en-US"/>
        </w:rPr>
      </w:pPr>
      <w:r>
        <w:rPr>
          <w:rFonts w:ascii="Times New Roman" w:eastAsia="Times New Roman" w:hAnsi="Times New Roman" w:cs="Times New Roman"/>
          <w:b/>
          <w:bCs/>
          <w:iCs/>
          <w:sz w:val="24"/>
          <w:szCs w:val="24"/>
          <w:lang w:val="en-US"/>
        </w:rPr>
        <w:t>30</w:t>
      </w:r>
      <w:r w:rsidR="007D7020" w:rsidRPr="00396407">
        <w:rPr>
          <w:rFonts w:ascii="Times New Roman" w:eastAsia="Times New Roman" w:hAnsi="Times New Roman" w:cs="Times New Roman"/>
          <w:b/>
          <w:bCs/>
          <w:iCs/>
          <w:sz w:val="24"/>
          <w:szCs w:val="24"/>
          <w:lang w:val="en-US"/>
        </w:rPr>
        <w:t>.06</w:t>
      </w:r>
      <w:r w:rsidR="002D5ADC" w:rsidRPr="00396407">
        <w:rPr>
          <w:rFonts w:ascii="Times New Roman" w:eastAsia="Times New Roman" w:hAnsi="Times New Roman" w:cs="Times New Roman"/>
          <w:b/>
          <w:bCs/>
          <w:iCs/>
          <w:sz w:val="24"/>
          <w:szCs w:val="24"/>
          <w:lang w:val="en-US"/>
        </w:rPr>
        <w:t>.2026</w:t>
      </w:r>
    </w:p>
    <w:sectPr w:rsidR="00A93C9B" w:rsidRPr="00396407"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A991D" w14:textId="77777777" w:rsidR="001F0BDA" w:rsidRDefault="001F0BDA" w:rsidP="003B4C37">
      <w:pPr>
        <w:spacing w:after="0" w:line="240" w:lineRule="auto"/>
      </w:pPr>
      <w:r>
        <w:separator/>
      </w:r>
    </w:p>
  </w:endnote>
  <w:endnote w:type="continuationSeparator" w:id="0">
    <w:p w14:paraId="4398D385" w14:textId="77777777" w:rsidR="001F0BDA" w:rsidRDefault="001F0BDA"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956ED" w14:textId="77777777" w:rsidR="001F0BDA" w:rsidRDefault="001F0BDA" w:rsidP="003B4C37">
      <w:pPr>
        <w:spacing w:after="0" w:line="240" w:lineRule="auto"/>
      </w:pPr>
      <w:r>
        <w:separator/>
      </w:r>
    </w:p>
  </w:footnote>
  <w:footnote w:type="continuationSeparator" w:id="0">
    <w:p w14:paraId="004CF6B3" w14:textId="77777777" w:rsidR="001F0BDA" w:rsidRDefault="001F0BDA"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4154F23B" w:rsidR="00AF71FE" w:rsidRPr="004B1447" w:rsidRDefault="002D5ADC" w:rsidP="003B4C37">
                          <w:pPr>
                            <w:spacing w:after="0" w:line="240" w:lineRule="auto"/>
                            <w:jc w:val="center"/>
                            <w:rPr>
                              <w:rFonts w:ascii="Arial" w:hAnsi="Arial" w:cs="Arial"/>
                              <w:sz w:val="20"/>
                            </w:rPr>
                          </w:pPr>
                          <w:r>
                            <w:rPr>
                              <w:rFonts w:ascii="Arial" w:hAnsi="Arial" w:cs="Arial"/>
                              <w:sz w:val="20"/>
                            </w:rPr>
                            <w:t>Serviciul relaţii interinstituţionale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4154F23B" w:rsidR="00AF71FE" w:rsidRPr="004B1447" w:rsidRDefault="002D5ADC" w:rsidP="003B4C37">
                    <w:pPr>
                      <w:spacing w:after="0" w:line="240" w:lineRule="auto"/>
                      <w:jc w:val="center"/>
                      <w:rPr>
                        <w:rFonts w:ascii="Arial" w:hAnsi="Arial" w:cs="Arial"/>
                        <w:sz w:val="20"/>
                      </w:rPr>
                    </w:pPr>
                    <w:r>
                      <w:rPr>
                        <w:rFonts w:ascii="Arial" w:hAnsi="Arial" w:cs="Arial"/>
                        <w:sz w:val="20"/>
                      </w:rPr>
                      <w:t>Serviciul relaţii interinstituţionale</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C2C"/>
    <w:multiLevelType w:val="hybridMultilevel"/>
    <w:tmpl w:val="87C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3E6E"/>
    <w:multiLevelType w:val="multilevel"/>
    <w:tmpl w:val="9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15:restartNumberingAfterBreak="0">
    <w:nsid w:val="19C713CB"/>
    <w:multiLevelType w:val="multilevel"/>
    <w:tmpl w:val="F50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2" w15:restartNumberingAfterBreak="0">
    <w:nsid w:val="36993EE0"/>
    <w:multiLevelType w:val="hybridMultilevel"/>
    <w:tmpl w:val="B40832E0"/>
    <w:lvl w:ilvl="0" w:tplc="DD2A3E76">
      <w:numFmt w:val="bullet"/>
      <w:lvlText w:val="•"/>
      <w:lvlJc w:val="left"/>
      <w:pPr>
        <w:ind w:left="90" w:hanging="360"/>
      </w:pPr>
      <w:rPr>
        <w:rFonts w:ascii="Times New Roman" w:eastAsia="Times New Roman" w:hAnsi="Times New Roman" w:cs="Times New Roman"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3" w15:restartNumberingAfterBreak="0">
    <w:nsid w:val="38F310DE"/>
    <w:multiLevelType w:val="multilevel"/>
    <w:tmpl w:val="AA6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3FEC10D5"/>
    <w:multiLevelType w:val="hybridMultilevel"/>
    <w:tmpl w:val="25AA4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E53CE5"/>
    <w:multiLevelType w:val="multilevel"/>
    <w:tmpl w:val="CC7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7101D"/>
    <w:multiLevelType w:val="hybridMultilevel"/>
    <w:tmpl w:val="3E70DEF8"/>
    <w:lvl w:ilvl="0" w:tplc="A2840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62158"/>
    <w:multiLevelType w:val="hybridMultilevel"/>
    <w:tmpl w:val="AE0EC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11"/>
  </w:num>
  <w:num w:numId="4">
    <w:abstractNumId w:val="26"/>
  </w:num>
  <w:num w:numId="5">
    <w:abstractNumId w:val="4"/>
  </w:num>
  <w:num w:numId="6">
    <w:abstractNumId w:val="20"/>
  </w:num>
  <w:num w:numId="7">
    <w:abstractNumId w:val="9"/>
  </w:num>
  <w:num w:numId="8">
    <w:abstractNumId w:val="5"/>
  </w:num>
  <w:num w:numId="9">
    <w:abstractNumId w:val="7"/>
  </w:num>
  <w:num w:numId="10">
    <w:abstractNumId w:val="8"/>
  </w:num>
  <w:num w:numId="11">
    <w:abstractNumId w:val="21"/>
  </w:num>
  <w:num w:numId="12">
    <w:abstractNumId w:val="16"/>
  </w:num>
  <w:num w:numId="13">
    <w:abstractNumId w:val="14"/>
  </w:num>
  <w:num w:numId="14">
    <w:abstractNumId w:val="1"/>
  </w:num>
  <w:num w:numId="15">
    <w:abstractNumId w:val="22"/>
  </w:num>
  <w:num w:numId="16">
    <w:abstractNumId w:val="29"/>
  </w:num>
  <w:num w:numId="17">
    <w:abstractNumId w:val="10"/>
  </w:num>
  <w:num w:numId="18">
    <w:abstractNumId w:val="27"/>
  </w:num>
  <w:num w:numId="19">
    <w:abstractNumId w:val="19"/>
  </w:num>
  <w:num w:numId="20">
    <w:abstractNumId w:val="3"/>
  </w:num>
  <w:num w:numId="21">
    <w:abstractNumId w:val="28"/>
  </w:num>
  <w:num w:numId="22">
    <w:abstractNumId w:val="2"/>
  </w:num>
  <w:num w:numId="23">
    <w:abstractNumId w:val="23"/>
  </w:num>
  <w:num w:numId="24">
    <w:abstractNumId w:val="6"/>
  </w:num>
  <w:num w:numId="25">
    <w:abstractNumId w:val="0"/>
  </w:num>
  <w:num w:numId="26">
    <w:abstractNumId w:val="18"/>
  </w:num>
  <w:num w:numId="27">
    <w:abstractNumId w:val="13"/>
  </w:num>
  <w:num w:numId="28">
    <w:abstractNumId w:val="12"/>
  </w:num>
  <w:num w:numId="29">
    <w:abstractNumId w:val="1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8BE"/>
    <w:rsid w:val="0001331B"/>
    <w:rsid w:val="00014C58"/>
    <w:rsid w:val="0004383C"/>
    <w:rsid w:val="00060CDF"/>
    <w:rsid w:val="000770B3"/>
    <w:rsid w:val="00084A83"/>
    <w:rsid w:val="00090741"/>
    <w:rsid w:val="000936ED"/>
    <w:rsid w:val="000A3484"/>
    <w:rsid w:val="000A5D60"/>
    <w:rsid w:val="000C0560"/>
    <w:rsid w:val="000C3334"/>
    <w:rsid w:val="000D4689"/>
    <w:rsid w:val="000D7AE0"/>
    <w:rsid w:val="000E316D"/>
    <w:rsid w:val="000F246C"/>
    <w:rsid w:val="000F3DF1"/>
    <w:rsid w:val="00105619"/>
    <w:rsid w:val="001073B3"/>
    <w:rsid w:val="00110294"/>
    <w:rsid w:val="00110BD8"/>
    <w:rsid w:val="00123A54"/>
    <w:rsid w:val="00125D85"/>
    <w:rsid w:val="00140718"/>
    <w:rsid w:val="001552A6"/>
    <w:rsid w:val="00160D1D"/>
    <w:rsid w:val="0016112A"/>
    <w:rsid w:val="00166619"/>
    <w:rsid w:val="00172D21"/>
    <w:rsid w:val="00174E62"/>
    <w:rsid w:val="00183303"/>
    <w:rsid w:val="00185868"/>
    <w:rsid w:val="00191BAE"/>
    <w:rsid w:val="001A1DA0"/>
    <w:rsid w:val="001B48AD"/>
    <w:rsid w:val="001B58B7"/>
    <w:rsid w:val="001C00D5"/>
    <w:rsid w:val="001C4CA1"/>
    <w:rsid w:val="001D1F76"/>
    <w:rsid w:val="001E10BD"/>
    <w:rsid w:val="001E13AF"/>
    <w:rsid w:val="001E6B91"/>
    <w:rsid w:val="001F0BDA"/>
    <w:rsid w:val="00222280"/>
    <w:rsid w:val="0023637F"/>
    <w:rsid w:val="00242E1E"/>
    <w:rsid w:val="00247DA8"/>
    <w:rsid w:val="0027738A"/>
    <w:rsid w:val="00285AE3"/>
    <w:rsid w:val="00293F32"/>
    <w:rsid w:val="002A66A8"/>
    <w:rsid w:val="002A6DA5"/>
    <w:rsid w:val="002B3467"/>
    <w:rsid w:val="002C2346"/>
    <w:rsid w:val="002D5ADC"/>
    <w:rsid w:val="002D6F0B"/>
    <w:rsid w:val="002D7393"/>
    <w:rsid w:val="002D79C5"/>
    <w:rsid w:val="002E3CE4"/>
    <w:rsid w:val="0031219A"/>
    <w:rsid w:val="00313EBA"/>
    <w:rsid w:val="00326282"/>
    <w:rsid w:val="003326B4"/>
    <w:rsid w:val="00341BDF"/>
    <w:rsid w:val="003427FA"/>
    <w:rsid w:val="003543C8"/>
    <w:rsid w:val="00364C45"/>
    <w:rsid w:val="00364E3A"/>
    <w:rsid w:val="0037458E"/>
    <w:rsid w:val="0038084D"/>
    <w:rsid w:val="00395BF4"/>
    <w:rsid w:val="00396407"/>
    <w:rsid w:val="003A0854"/>
    <w:rsid w:val="003A2FF3"/>
    <w:rsid w:val="003B26B9"/>
    <w:rsid w:val="003B4C37"/>
    <w:rsid w:val="003C26D1"/>
    <w:rsid w:val="003C78E8"/>
    <w:rsid w:val="00405B8C"/>
    <w:rsid w:val="004119A7"/>
    <w:rsid w:val="0042783B"/>
    <w:rsid w:val="00435E29"/>
    <w:rsid w:val="00437C42"/>
    <w:rsid w:val="0044444A"/>
    <w:rsid w:val="00457B0E"/>
    <w:rsid w:val="0048138E"/>
    <w:rsid w:val="00481FB4"/>
    <w:rsid w:val="004B55AA"/>
    <w:rsid w:val="004C26C2"/>
    <w:rsid w:val="004C4C23"/>
    <w:rsid w:val="004D2EC1"/>
    <w:rsid w:val="004D364D"/>
    <w:rsid w:val="004D4AE6"/>
    <w:rsid w:val="004E2A22"/>
    <w:rsid w:val="004E5631"/>
    <w:rsid w:val="00500397"/>
    <w:rsid w:val="0051759B"/>
    <w:rsid w:val="00520268"/>
    <w:rsid w:val="0052287D"/>
    <w:rsid w:val="005261D6"/>
    <w:rsid w:val="005279ED"/>
    <w:rsid w:val="0053264E"/>
    <w:rsid w:val="00540FD2"/>
    <w:rsid w:val="00544B0D"/>
    <w:rsid w:val="0055789B"/>
    <w:rsid w:val="00557BC0"/>
    <w:rsid w:val="0056190F"/>
    <w:rsid w:val="00561D6D"/>
    <w:rsid w:val="00562F71"/>
    <w:rsid w:val="00572DF7"/>
    <w:rsid w:val="00574929"/>
    <w:rsid w:val="00587BE2"/>
    <w:rsid w:val="005D0E57"/>
    <w:rsid w:val="005E003D"/>
    <w:rsid w:val="005E3B03"/>
    <w:rsid w:val="005E64BD"/>
    <w:rsid w:val="005F509F"/>
    <w:rsid w:val="00607D44"/>
    <w:rsid w:val="00620875"/>
    <w:rsid w:val="0062605E"/>
    <w:rsid w:val="0063561F"/>
    <w:rsid w:val="00642271"/>
    <w:rsid w:val="00645DA4"/>
    <w:rsid w:val="0066785A"/>
    <w:rsid w:val="00677CF9"/>
    <w:rsid w:val="006A1460"/>
    <w:rsid w:val="006B51FC"/>
    <w:rsid w:val="006B7CD0"/>
    <w:rsid w:val="006C1CB9"/>
    <w:rsid w:val="006D4F08"/>
    <w:rsid w:val="006D5361"/>
    <w:rsid w:val="006E6A98"/>
    <w:rsid w:val="006F55C4"/>
    <w:rsid w:val="00711364"/>
    <w:rsid w:val="0071749B"/>
    <w:rsid w:val="00717D6D"/>
    <w:rsid w:val="00742998"/>
    <w:rsid w:val="0076099F"/>
    <w:rsid w:val="007825E2"/>
    <w:rsid w:val="00787AA2"/>
    <w:rsid w:val="00795361"/>
    <w:rsid w:val="007A3C37"/>
    <w:rsid w:val="007A7115"/>
    <w:rsid w:val="007A78E2"/>
    <w:rsid w:val="007B305C"/>
    <w:rsid w:val="007C7406"/>
    <w:rsid w:val="007D1F9B"/>
    <w:rsid w:val="007D4CCF"/>
    <w:rsid w:val="007D7020"/>
    <w:rsid w:val="007E1A9D"/>
    <w:rsid w:val="007F1C78"/>
    <w:rsid w:val="007F3199"/>
    <w:rsid w:val="00822101"/>
    <w:rsid w:val="00825359"/>
    <w:rsid w:val="0082578E"/>
    <w:rsid w:val="0083432D"/>
    <w:rsid w:val="00835EE2"/>
    <w:rsid w:val="00845749"/>
    <w:rsid w:val="00847506"/>
    <w:rsid w:val="0085060E"/>
    <w:rsid w:val="00853280"/>
    <w:rsid w:val="008620B0"/>
    <w:rsid w:val="0087454D"/>
    <w:rsid w:val="0088430C"/>
    <w:rsid w:val="0088656E"/>
    <w:rsid w:val="008A4DDE"/>
    <w:rsid w:val="008B0741"/>
    <w:rsid w:val="008C30EA"/>
    <w:rsid w:val="008D7198"/>
    <w:rsid w:val="008F401E"/>
    <w:rsid w:val="008F5263"/>
    <w:rsid w:val="008F6221"/>
    <w:rsid w:val="008F7808"/>
    <w:rsid w:val="00904AAE"/>
    <w:rsid w:val="009103E0"/>
    <w:rsid w:val="00915A76"/>
    <w:rsid w:val="00917CB4"/>
    <w:rsid w:val="009267F6"/>
    <w:rsid w:val="00934921"/>
    <w:rsid w:val="00936332"/>
    <w:rsid w:val="009432ED"/>
    <w:rsid w:val="009601B9"/>
    <w:rsid w:val="00962771"/>
    <w:rsid w:val="00974CA7"/>
    <w:rsid w:val="009961E4"/>
    <w:rsid w:val="00997D09"/>
    <w:rsid w:val="009A321B"/>
    <w:rsid w:val="009A626A"/>
    <w:rsid w:val="009B1577"/>
    <w:rsid w:val="009B2AF2"/>
    <w:rsid w:val="009B5806"/>
    <w:rsid w:val="009C5B10"/>
    <w:rsid w:val="00A029FA"/>
    <w:rsid w:val="00A04859"/>
    <w:rsid w:val="00A12310"/>
    <w:rsid w:val="00A17BBC"/>
    <w:rsid w:val="00A26582"/>
    <w:rsid w:val="00A270B1"/>
    <w:rsid w:val="00A277E7"/>
    <w:rsid w:val="00A27ADC"/>
    <w:rsid w:val="00A36C8C"/>
    <w:rsid w:val="00A40BDE"/>
    <w:rsid w:val="00A53F29"/>
    <w:rsid w:val="00A60696"/>
    <w:rsid w:val="00A672EA"/>
    <w:rsid w:val="00A67B3D"/>
    <w:rsid w:val="00A72D14"/>
    <w:rsid w:val="00A93C9B"/>
    <w:rsid w:val="00AA203C"/>
    <w:rsid w:val="00AB15FA"/>
    <w:rsid w:val="00AB62C4"/>
    <w:rsid w:val="00AD154F"/>
    <w:rsid w:val="00AE22CA"/>
    <w:rsid w:val="00AE6F05"/>
    <w:rsid w:val="00AF2BC1"/>
    <w:rsid w:val="00AF71FE"/>
    <w:rsid w:val="00B03DBB"/>
    <w:rsid w:val="00B06834"/>
    <w:rsid w:val="00B46A7F"/>
    <w:rsid w:val="00B50AEF"/>
    <w:rsid w:val="00B534BA"/>
    <w:rsid w:val="00B5576A"/>
    <w:rsid w:val="00B57094"/>
    <w:rsid w:val="00B57B95"/>
    <w:rsid w:val="00B63563"/>
    <w:rsid w:val="00B74F33"/>
    <w:rsid w:val="00B81C1F"/>
    <w:rsid w:val="00BA0A69"/>
    <w:rsid w:val="00BA14C9"/>
    <w:rsid w:val="00BA17F0"/>
    <w:rsid w:val="00BB3FA4"/>
    <w:rsid w:val="00BC0B70"/>
    <w:rsid w:val="00BC208A"/>
    <w:rsid w:val="00BD4091"/>
    <w:rsid w:val="00BE2B25"/>
    <w:rsid w:val="00BF2C67"/>
    <w:rsid w:val="00C042DC"/>
    <w:rsid w:val="00C059F2"/>
    <w:rsid w:val="00C166BB"/>
    <w:rsid w:val="00C17D43"/>
    <w:rsid w:val="00C2096C"/>
    <w:rsid w:val="00C27FA4"/>
    <w:rsid w:val="00C41C0C"/>
    <w:rsid w:val="00C428F5"/>
    <w:rsid w:val="00C85F0F"/>
    <w:rsid w:val="00CA0471"/>
    <w:rsid w:val="00CA38F4"/>
    <w:rsid w:val="00CD269C"/>
    <w:rsid w:val="00CD67A9"/>
    <w:rsid w:val="00CF0420"/>
    <w:rsid w:val="00CF0587"/>
    <w:rsid w:val="00CF06DB"/>
    <w:rsid w:val="00CF2E2C"/>
    <w:rsid w:val="00CF6045"/>
    <w:rsid w:val="00CF7DC2"/>
    <w:rsid w:val="00D005D5"/>
    <w:rsid w:val="00D027B4"/>
    <w:rsid w:val="00D133FD"/>
    <w:rsid w:val="00D3506D"/>
    <w:rsid w:val="00D37EC9"/>
    <w:rsid w:val="00D5062A"/>
    <w:rsid w:val="00D6263E"/>
    <w:rsid w:val="00D64C0C"/>
    <w:rsid w:val="00D72DAB"/>
    <w:rsid w:val="00D75725"/>
    <w:rsid w:val="00D76985"/>
    <w:rsid w:val="00DD1B7A"/>
    <w:rsid w:val="00DE40C1"/>
    <w:rsid w:val="00DE7A98"/>
    <w:rsid w:val="00DF7952"/>
    <w:rsid w:val="00E03D51"/>
    <w:rsid w:val="00E160B3"/>
    <w:rsid w:val="00E16640"/>
    <w:rsid w:val="00E43B64"/>
    <w:rsid w:val="00E56C1A"/>
    <w:rsid w:val="00E66BF7"/>
    <w:rsid w:val="00E7037E"/>
    <w:rsid w:val="00EA2E26"/>
    <w:rsid w:val="00EA4BD5"/>
    <w:rsid w:val="00EB25E6"/>
    <w:rsid w:val="00EC425E"/>
    <w:rsid w:val="00ED1E6B"/>
    <w:rsid w:val="00ED494E"/>
    <w:rsid w:val="00EE398F"/>
    <w:rsid w:val="00EF36DB"/>
    <w:rsid w:val="00EF44A3"/>
    <w:rsid w:val="00F00275"/>
    <w:rsid w:val="00F34184"/>
    <w:rsid w:val="00F404C1"/>
    <w:rsid w:val="00F41654"/>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915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 w:type="character" w:styleId="Strong">
    <w:name w:val="Strong"/>
    <w:basedOn w:val="DefaultParagraphFont"/>
    <w:uiPriority w:val="22"/>
    <w:qFormat/>
    <w:rsid w:val="00500397"/>
    <w:rPr>
      <w:b/>
      <w:bCs/>
    </w:rPr>
  </w:style>
  <w:style w:type="character" w:customStyle="1" w:styleId="Heading3Char">
    <w:name w:val="Heading 3 Char"/>
    <w:basedOn w:val="DefaultParagraphFont"/>
    <w:link w:val="Heading3"/>
    <w:uiPriority w:val="9"/>
    <w:semiHidden/>
    <w:rsid w:val="00915A76"/>
    <w:rPr>
      <w:rFonts w:asciiTheme="majorHAnsi" w:eastAsiaTheme="majorEastAsia" w:hAnsiTheme="majorHAnsi" w:cstheme="majorBidi"/>
      <w:color w:val="1F4D78" w:themeColor="accent1" w:themeShade="7F"/>
      <w:sz w:val="24"/>
      <w:szCs w:val="24"/>
      <w:lang w:val="ro-RO"/>
    </w:rPr>
  </w:style>
  <w:style w:type="character" w:customStyle="1" w:styleId="apple-converted-space">
    <w:name w:val="apple-converted-space"/>
    <w:basedOn w:val="DefaultParagraphFont"/>
    <w:rsid w:val="00915A76"/>
  </w:style>
  <w:style w:type="paragraph" w:styleId="PlainText">
    <w:name w:val="Plain Text"/>
    <w:basedOn w:val="Normal"/>
    <w:link w:val="PlainTextChar"/>
    <w:uiPriority w:val="99"/>
    <w:semiHidden/>
    <w:unhideWhenUsed/>
    <w:rsid w:val="00A93C9B"/>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93C9B"/>
    <w:rPr>
      <w:rFonts w:ascii="Calibri" w:hAnsi="Calibri" w:cs="Calibri"/>
      <w:lang w:val="en-US"/>
    </w:rPr>
  </w:style>
  <w:style w:type="paragraph" w:customStyle="1" w:styleId="Body">
    <w:name w:val="Body"/>
    <w:rsid w:val="0001331B"/>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lang w:val="de-DE" w:eastAsia="en-GB"/>
      <w14:textOutline w14:w="0" w14:cap="flat" w14:cmpd="sng" w14:algn="ctr">
        <w14:noFill/>
        <w14:prstDash w14:val="solid"/>
        <w14:bevel/>
      </w14:textOutline>
    </w:rPr>
  </w:style>
  <w:style w:type="paragraph" w:customStyle="1" w:styleId="isselectedend">
    <w:name w:val="isselectedend"/>
    <w:basedOn w:val="Normal"/>
    <w:rsid w:val="003964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4910">
      <w:bodyDiv w:val="1"/>
      <w:marLeft w:val="0"/>
      <w:marRight w:val="0"/>
      <w:marTop w:val="0"/>
      <w:marBottom w:val="0"/>
      <w:divBdr>
        <w:top w:val="none" w:sz="0" w:space="0" w:color="auto"/>
        <w:left w:val="none" w:sz="0" w:space="0" w:color="auto"/>
        <w:bottom w:val="none" w:sz="0" w:space="0" w:color="auto"/>
        <w:right w:val="none" w:sz="0" w:space="0" w:color="auto"/>
      </w:divBdr>
    </w:div>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945505521">
      <w:bodyDiv w:val="1"/>
      <w:marLeft w:val="0"/>
      <w:marRight w:val="0"/>
      <w:marTop w:val="0"/>
      <w:marBottom w:val="0"/>
      <w:divBdr>
        <w:top w:val="none" w:sz="0" w:space="0" w:color="auto"/>
        <w:left w:val="none" w:sz="0" w:space="0" w:color="auto"/>
        <w:bottom w:val="none" w:sz="0" w:space="0" w:color="auto"/>
        <w:right w:val="none" w:sz="0" w:space="0" w:color="auto"/>
      </w:divBdr>
      <w:divsChild>
        <w:div w:id="102374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6740">
      <w:bodyDiv w:val="1"/>
      <w:marLeft w:val="0"/>
      <w:marRight w:val="0"/>
      <w:marTop w:val="0"/>
      <w:marBottom w:val="0"/>
      <w:divBdr>
        <w:top w:val="none" w:sz="0" w:space="0" w:color="auto"/>
        <w:left w:val="none" w:sz="0" w:space="0" w:color="auto"/>
        <w:bottom w:val="none" w:sz="0" w:space="0" w:color="auto"/>
        <w:right w:val="none" w:sz="0" w:space="0" w:color="auto"/>
      </w:divBdr>
      <w:divsChild>
        <w:div w:id="42476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336879067">
      <w:bodyDiv w:val="1"/>
      <w:marLeft w:val="0"/>
      <w:marRight w:val="0"/>
      <w:marTop w:val="0"/>
      <w:marBottom w:val="0"/>
      <w:divBdr>
        <w:top w:val="none" w:sz="0" w:space="0" w:color="auto"/>
        <w:left w:val="none" w:sz="0" w:space="0" w:color="auto"/>
        <w:bottom w:val="none" w:sz="0" w:space="0" w:color="auto"/>
        <w:right w:val="none" w:sz="0" w:space="0" w:color="auto"/>
      </w:divBdr>
    </w:div>
    <w:div w:id="1358430398">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026976626">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2023-09-04T08:01:00Z</cp:lastPrinted>
  <dcterms:created xsi:type="dcterms:W3CDTF">2026-06-30T14:22:00Z</dcterms:created>
  <dcterms:modified xsi:type="dcterms:W3CDTF">2026-06-30T14:22:00Z</dcterms:modified>
</cp:coreProperties>
</file>